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Travel &amp; Expense Reimbursement Policy</w:t>
      </w:r>
    </w:p>
    <w:p>
      <w:pPr>
        <w:spacing w:after="120"/>
      </w:pPr>
      <w:r>
        <w:t xml:space="preserve">Effective Date: January 1, 2026   |   Department: Finance   |   Applies to: All employees who travel for business purposes</w:t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policy outlines the process, limits, and documentation required for business travel and expense reimbursement.</w:t>
      </w:r>
    </w:p>
    <w:p>
      <w:pPr>
        <w:pStyle w:val="Heading1"/>
        <w:spacing w:after="150" w:before="300"/>
      </w:pPr>
      <w:r>
        <w:t xml:space="preserve">2. Booking &amp;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domestic and international travel must be pre-approved by the employee's manager at least 7 days in advance.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Flights should be booked through the company's approved travel portal wherever possible.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Economy class is standard for flights under 6 hours; premium economy is permitted for flights over 6 hours.</w:t>
      </w:r>
    </w:p>
    <w:p>
      <w:pPr>
        <w:pStyle w:val="Heading1"/>
        <w:spacing w:after="150" w:before="300"/>
      </w:pPr>
      <w:r>
        <w:t xml:space="preserve">3. Daily Allowances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travel: daily meal allowance of ₹1,500 per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travel: daily meal allowance of $60 per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Hotel accommodation is capped at ₹8,000 per night domestically and $200 per night internationally.</w:t>
      </w:r>
    </w:p>
    <w:p>
      <w:pPr>
        <w:pStyle w:val="Heading1"/>
        <w:spacing w:after="150" w:before="300"/>
      </w:pPr>
      <w:r>
        <w:t xml:space="preserve">4. Ground Transportation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Ride-share and taxi expenses for business travel are reimbursable with a valid receipt.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vehicle use is reimbursed at ₹12 per kilometer.</w:t>
      </w:r>
    </w:p>
    <w:p>
      <w:pPr>
        <w:pStyle w:val="Heading1"/>
        <w:spacing w:after="150" w:before="300"/>
      </w:pPr>
      <w:r>
        <w:t xml:space="preserve">5. Submission &amp; Reimbursement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Expense reports must be submitted within 30 days of trip completion via the Finance portal.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submitted after 30 days require Finance Director approval and may be denied.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reimbursements are processed within 10 business days and paid via direct deposit.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expenses over ₹1,000 (or $15) require an itemized receipt; card statements alone are not sufficient.</w:t>
      </w:r>
    </w:p>
    <w:p>
      <w:pPr>
        <w:pStyle w:val="Heading1"/>
        <w:spacing w:after="150" w:before="300"/>
      </w:pPr>
      <w:r>
        <w:t xml:space="preserve">6. Non-Reimbursable Expenses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Alcohol, personal entertainment, and travel companion costs are not reimbursable.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Traffic violations and parking fines incurred during travel are not reimbursable.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2026-07-09T06:51:48.900Z</dcterms:created>
  <dcterms:modified xsi:type="dcterms:W3CDTF">2026-07-09T06:51:48.900Z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