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0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Registered No.0</w:t>
        <w:tab/>
        <w:tab/>
        <w:tab/>
        <w:tab/>
        <w:tab/>
        <w:tab/>
        <w:tab/>
        <w:t>Date:12/12/12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S.No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Gross Weight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Precious Metal Weight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Weight of Precious Stone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Value Of Stone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i/>
                <w:iCs/>
                <w:sz w:val="20"/>
                <w:szCs w:val="20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ACA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...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Gold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BJCaclma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...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0.0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sz w:val="20"/>
                <w:szCs w:val="20"/>
              </w:rPr>
              <w:t>Gold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</w:t>
        <w:tab/>
        <w:tab/>
        <w:tab/>
        <w:tab/>
        <w:t>Signatue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on:12/12/12</w:t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0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</w:t>
      </w:r>
      <w:r>
        <w:rPr>
          <w:rFonts w:ascii="Noto Sans CJK JP Bold" w:hAnsi="Noto Sans CJK JP Bold"/>
          <w:color w:val="000000"/>
          <w:sz w:val="18"/>
          <w:szCs w:val="18"/>
          <w:u w:val="none"/>
        </w:rPr>
        <w:t>e</w:t>
      </w:r>
      <w:r>
        <w:rPr>
          <w:rFonts w:ascii="Noto Sans CJK JP Bold" w:hAnsi="Noto Sans CJK JP Bold"/>
          <w:color w:val="000000"/>
          <w:sz w:val="18"/>
          <w:szCs w:val="18"/>
          <w:u w:val="none"/>
        </w:rPr>
        <w:t>ry valued</w:t>
        <w:tab/>
        <w:tab/>
        <w:tab/>
        <w:t>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135</Words>
  <Characters>749</Characters>
  <CharactersWithSpaces>875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2019-07-31T00:07:01Z</dcterms:modified>
  <cp:revision>7</cp:revision>
  <dc:subject/>
  <dc:title/>
</cp:coreProperties>
</file>