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Total allocated engineering budget: $100,000 for Q4 2025. 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Primary cost centers include cloud infrastructure, API usage, and developer time.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Google Cloud and Pinecone API usage expected to be $20,000 combined.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LLM inference costs estimated at $10,000 for internal testing.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Frontend and UI/UX development allocated $15,000.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Remaining $55,000 reserved for salaries and performance bonuses.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Budget review to occur monthly with adjustments based on feature rollout speed.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Any unspent funds by year-end will roll over to the R&amp;D account.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