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50A29" w:rsidRDefault="00850A29">
      <w:pPr>
        <w:spacing w:before="3600"/>
      </w:pPr>
    </w:p>
    <w:p w:rsidR="00850A29" w:rsidRDefault="00000000">
      <w:pPr>
        <w:spacing w:after="100"/>
      </w:pPr>
      <w:r>
        <w:rPr>
          <w:b/>
          <w:bCs/>
          <w:color w:val="1E3A5F"/>
          <w:sz w:val="60"/>
          <w:szCs w:val="60"/>
        </w:rPr>
        <w:t>BRIDGE</w:t>
      </w:r>
    </w:p>
    <w:p w:rsidR="00850A29" w:rsidRDefault="00000000">
      <w:pPr>
        <w:pBdr>
          <w:bottom w:val="single" w:sz="6" w:space="8" w:color="1E3A5F"/>
        </w:pBdr>
        <w:spacing w:after="400"/>
      </w:pPr>
      <w:r>
        <w:rPr>
          <w:color w:val="666666"/>
          <w:sz w:val="32"/>
          <w:szCs w:val="32"/>
        </w:rPr>
        <w:t>MPS Research &amp; Oversight Platform</w:t>
      </w:r>
    </w:p>
    <w:p w:rsidR="00850A29" w:rsidRDefault="00000000">
      <w:pPr>
        <w:spacing w:before="600" w:after="120"/>
      </w:pPr>
      <w:r>
        <w:rPr>
          <w:b/>
          <w:bCs/>
          <w:color w:val="1E3A5F"/>
          <w:sz w:val="28"/>
          <w:szCs w:val="28"/>
        </w:rPr>
        <w:t>MVP Build Summary</w:t>
      </w:r>
    </w:p>
    <w:p w:rsidR="00850A29" w:rsidRDefault="00000000">
      <w:pPr>
        <w:spacing w:after="60"/>
      </w:pPr>
      <w:r>
        <w:rPr>
          <w:color w:val="666666"/>
        </w:rPr>
        <w:t xml:space="preserve">Prepared by </w:t>
      </w:r>
      <w:proofErr w:type="spellStart"/>
      <w:r>
        <w:rPr>
          <w:color w:val="666666"/>
        </w:rPr>
        <w:t>Shivang</w:t>
      </w:r>
      <w:proofErr w:type="spellEnd"/>
      <w:r>
        <w:rPr>
          <w:color w:val="666666"/>
        </w:rPr>
        <w:t xml:space="preserve"> Chaudhary</w:t>
      </w:r>
    </w:p>
    <w:p w:rsidR="00850A29" w:rsidRDefault="00000000">
      <w:pPr>
        <w:spacing w:after="60"/>
      </w:pPr>
      <w:r>
        <w:rPr>
          <w:color w:val="666666"/>
        </w:rPr>
        <w:t>February 2026</w:t>
      </w:r>
    </w:p>
    <w:p w:rsidR="00850A29" w:rsidRDefault="00000000">
      <w:pPr>
        <w:spacing w:after="60"/>
      </w:pPr>
      <w:r>
        <w:rPr>
          <w:color w:val="666666"/>
        </w:rPr>
        <w:t>Status: MVP Complete</w:t>
      </w:r>
      <w:r w:rsidR="003052D8">
        <w:rPr>
          <w:color w:val="666666"/>
        </w:rPr>
        <w:t>:</w:t>
      </w:r>
      <w:r>
        <w:rPr>
          <w:color w:val="666666"/>
        </w:rPr>
        <w:t xml:space="preserve"> Ready for Review</w:t>
      </w:r>
    </w:p>
    <w:p w:rsidR="00850A29" w:rsidRDefault="00850A29">
      <w:pPr>
        <w:sectPr w:rsidR="00850A29">
          <w:pgSz w:w="12240" w:h="15840"/>
          <w:pgMar w:top="1440" w:right="1440" w:bottom="1440" w:left="1440" w:header="708" w:footer="708" w:gutter="0"/>
          <w:cols w:space="720"/>
          <w:docGrid w:linePitch="360"/>
        </w:sectPr>
      </w:pPr>
    </w:p>
    <w:p w:rsidR="00850A29" w:rsidRDefault="00000000">
      <w:pPr>
        <w:pStyle w:val="Heading1"/>
      </w:pPr>
      <w:r>
        <w:lastRenderedPageBreak/>
        <w:t>Executive Summary</w:t>
      </w:r>
    </w:p>
    <w:p w:rsidR="00850A29" w:rsidRDefault="00351938">
      <w:pPr>
        <w:spacing w:after="200"/>
      </w:pPr>
      <w:r>
        <w:t>This is</w:t>
      </w:r>
      <w:r w:rsidR="00000000">
        <w:t xml:space="preserve"> a working MVP of Bridge covering all three core modules from the product specification. The platform allows adviser firms to filter the MPS universe, access structured analytical dashboards for each provider, and read supporting research and commentary</w:t>
      </w:r>
      <w:r>
        <w:t xml:space="preserve">, </w:t>
      </w:r>
      <w:r w:rsidR="00000000">
        <w:t>all within a single application.</w:t>
      </w:r>
    </w:p>
    <w:p w:rsidR="00850A29" w:rsidRDefault="00000000">
      <w:pPr>
        <w:spacing w:after="200"/>
      </w:pPr>
      <w:r>
        <w:t>The MVP validates the analytical framework in software and demonstrates the end-to-end user journey: from filtering the universe, to deep-diving a provider, to reading supporting research. It is a foundation to build on, not a finished product.</w:t>
      </w:r>
    </w:p>
    <w:p w:rsidR="00850A29" w:rsidRDefault="00000000">
      <w:pPr>
        <w:pStyle w:val="Heading1"/>
      </w:pPr>
      <w:r>
        <w:t>What Has Been Built</w:t>
      </w:r>
    </w:p>
    <w:p w:rsidR="00850A29" w:rsidRDefault="00000000">
      <w:pPr>
        <w:pStyle w:val="Heading2"/>
      </w:pPr>
      <w:r>
        <w:t>Module A – MPS Selection</w:t>
      </w:r>
    </w:p>
    <w:p w:rsidR="00850A29" w:rsidRDefault="00000000">
      <w:pPr>
        <w:spacing w:after="120"/>
      </w:pPr>
      <w:r>
        <w:t>A filterable interface across the full MPS provider universe. Advisers can narrow down relevant solutions before deeper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50A29">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E8F0FE"/>
            <w:tcMar>
              <w:top w:w="80" w:type="dxa"/>
              <w:left w:w="120" w:type="dxa"/>
              <w:bottom w:w="80" w:type="dxa"/>
              <w:right w:w="120" w:type="dxa"/>
            </w:tcMar>
          </w:tcPr>
          <w:p w:rsidR="00850A29" w:rsidRDefault="00000000">
            <w:r>
              <w:rPr>
                <w:b/>
                <w:bCs/>
                <w:sz w:val="20"/>
                <w:szCs w:val="20"/>
              </w:rPr>
              <w:t>Feature</w:t>
            </w:r>
          </w:p>
        </w:tc>
        <w:tc>
          <w:tcPr>
            <w:tcW w:w="6240" w:type="dxa"/>
            <w:tcBorders>
              <w:top w:val="single" w:sz="1" w:space="0" w:color="D0D0D0"/>
              <w:left w:val="single" w:sz="1" w:space="0" w:color="D0D0D0"/>
              <w:bottom w:val="single" w:sz="1" w:space="0" w:color="D0D0D0"/>
              <w:right w:val="single" w:sz="1" w:space="0" w:color="D0D0D0"/>
            </w:tcBorders>
            <w:shd w:val="clear" w:color="auto" w:fill="E8F0FE"/>
            <w:tcMar>
              <w:top w:w="80" w:type="dxa"/>
              <w:left w:w="120" w:type="dxa"/>
              <w:bottom w:w="80" w:type="dxa"/>
              <w:right w:w="120" w:type="dxa"/>
            </w:tcMar>
          </w:tcPr>
          <w:p w:rsidR="00850A29" w:rsidRDefault="00000000">
            <w:r>
              <w:rPr>
                <w:b/>
                <w:bCs/>
                <w:sz w:val="20"/>
                <w:szCs w:val="20"/>
              </w:rPr>
              <w:t>Detail</w:t>
            </w:r>
          </w:p>
        </w:tc>
      </w:tr>
      <w:tr w:rsidR="00850A29">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b/>
                <w:bCs/>
                <w:sz w:val="20"/>
                <w:szCs w:val="20"/>
              </w:rPr>
              <w:t>Coverage</w:t>
            </w:r>
          </w:p>
        </w:tc>
        <w:tc>
          <w:tcPr>
            <w:tcW w:w="62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sz w:val="20"/>
                <w:szCs w:val="20"/>
              </w:rPr>
              <w:t>17 portfolios across 5 providers (Vanguard, 7IM, Tatton, EQ Investors, Parmenion)</w:t>
            </w:r>
          </w:p>
        </w:tc>
      </w:tr>
      <w:tr w:rsidR="00850A29">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b/>
                <w:bCs/>
                <w:sz w:val="20"/>
                <w:szCs w:val="20"/>
              </w:rPr>
              <w:t>Filters</w:t>
            </w:r>
          </w:p>
        </w:tc>
        <w:tc>
          <w:tcPr>
            <w:tcW w:w="62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sz w:val="20"/>
                <w:szCs w:val="20"/>
              </w:rPr>
              <w:t>Platform, provider, risk rating range (1–10), ESG/ethical preference</w:t>
            </w:r>
          </w:p>
        </w:tc>
      </w:tr>
      <w:tr w:rsidR="00850A29">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b/>
                <w:bCs/>
                <w:sz w:val="20"/>
                <w:szCs w:val="20"/>
              </w:rPr>
              <w:t>Data shown</w:t>
            </w:r>
          </w:p>
        </w:tc>
        <w:tc>
          <w:tcPr>
            <w:tcW w:w="62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sz w:val="20"/>
                <w:szCs w:val="20"/>
              </w:rPr>
              <w:t>Asset allocation bars, OCF, 1yr/3yr/5yr returns, volatility, Sharpe ratio, platform availability</w:t>
            </w:r>
          </w:p>
        </w:tc>
      </w:tr>
      <w:tr w:rsidR="00850A29">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b/>
                <w:bCs/>
                <w:sz w:val="20"/>
                <w:szCs w:val="20"/>
              </w:rPr>
              <w:t>Platforms</w:t>
            </w:r>
          </w:p>
        </w:tc>
        <w:tc>
          <w:tcPr>
            <w:tcW w:w="62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sz w:val="20"/>
                <w:szCs w:val="20"/>
              </w:rPr>
              <w:t xml:space="preserve">Transact, </w:t>
            </w:r>
            <w:proofErr w:type="spellStart"/>
            <w:r>
              <w:rPr>
                <w:sz w:val="20"/>
                <w:szCs w:val="20"/>
              </w:rPr>
              <w:t>Fundment</w:t>
            </w:r>
            <w:proofErr w:type="spellEnd"/>
            <w:r>
              <w:rPr>
                <w:sz w:val="20"/>
                <w:szCs w:val="20"/>
              </w:rPr>
              <w:t xml:space="preserve">, Quilter, Aegon, </w:t>
            </w:r>
            <w:proofErr w:type="spellStart"/>
            <w:r>
              <w:rPr>
                <w:sz w:val="20"/>
                <w:szCs w:val="20"/>
              </w:rPr>
              <w:t>abrdn</w:t>
            </w:r>
            <w:proofErr w:type="spellEnd"/>
            <w:r>
              <w:rPr>
                <w:sz w:val="20"/>
                <w:szCs w:val="20"/>
              </w:rPr>
              <w:t>, Parmenion</w:t>
            </w:r>
          </w:p>
        </w:tc>
      </w:tr>
    </w:tbl>
    <w:p w:rsidR="00850A29" w:rsidRDefault="00000000">
      <w:pPr>
        <w:spacing w:before="80" w:after="200"/>
      </w:pPr>
      <w:r>
        <w:rPr>
          <w:b/>
          <w:bCs/>
          <w:color w:val="666666"/>
          <w:sz w:val="20"/>
          <w:szCs w:val="20"/>
        </w:rPr>
        <w:t xml:space="preserve">Maps to spec: </w:t>
      </w:r>
      <w:r>
        <w:rPr>
          <w:i/>
          <w:iCs/>
          <w:color w:val="666666"/>
          <w:sz w:val="20"/>
          <w:szCs w:val="20"/>
        </w:rPr>
        <w:t>Section 4A – MPS Selection</w:t>
      </w:r>
    </w:p>
    <w:p w:rsidR="00850A29" w:rsidRDefault="00000000">
      <w:pPr>
        <w:pStyle w:val="Heading2"/>
      </w:pPr>
      <w:r>
        <w:t>Module B – MPS Analysis</w:t>
      </w:r>
    </w:p>
    <w:p w:rsidR="00850A29" w:rsidRDefault="00000000">
      <w:pPr>
        <w:spacing w:after="120"/>
      </w:pPr>
      <w:r>
        <w:t>Structured analytical dashboards for each approved provider, with multiple analysis tabs and drill-down into individual portfolios.</w:t>
      </w:r>
    </w:p>
    <w:p w:rsidR="00850A29" w:rsidRDefault="00000000">
      <w:pPr>
        <w:pStyle w:val="ListParagraph"/>
        <w:numPr>
          <w:ilvl w:val="0"/>
          <w:numId w:val="2"/>
        </w:numPr>
        <w:spacing w:after="60"/>
      </w:pPr>
      <w:r>
        <w:rPr>
          <w:b/>
          <w:bCs/>
        </w:rPr>
        <w:t xml:space="preserve">Provider dashboards </w:t>
      </w:r>
      <w:r>
        <w:t>with interactive charts (asset allocation, risk vs return scatter), portfolio range tables, and aggregate analytics</w:t>
      </w:r>
    </w:p>
    <w:p w:rsidR="00850A29" w:rsidRDefault="00000000">
      <w:pPr>
        <w:pStyle w:val="ListParagraph"/>
        <w:numPr>
          <w:ilvl w:val="0"/>
          <w:numId w:val="2"/>
        </w:numPr>
        <w:spacing w:after="60"/>
      </w:pPr>
      <w:r>
        <w:rPr>
          <w:b/>
          <w:bCs/>
        </w:rPr>
        <w:t xml:space="preserve">Strengths &amp; considerations </w:t>
      </w:r>
      <w:r>
        <w:t>for each provider, clearly articulated as per the spec requirement</w:t>
      </w:r>
    </w:p>
    <w:p w:rsidR="00850A29" w:rsidRDefault="00000000">
      <w:pPr>
        <w:pStyle w:val="ListParagraph"/>
        <w:numPr>
          <w:ilvl w:val="0"/>
          <w:numId w:val="2"/>
        </w:numPr>
        <w:spacing w:after="60"/>
      </w:pPr>
      <w:r>
        <w:rPr>
          <w:b/>
          <w:bCs/>
        </w:rPr>
        <w:t xml:space="preserve">Individual MPS detail pages </w:t>
      </w:r>
      <w:r>
        <w:t>with 36-month performance history, asset and geographic allocation breakdowns, underlying fund holdings, and peer comparison against same-risk portfolios</w:t>
      </w:r>
    </w:p>
    <w:p w:rsidR="00850A29" w:rsidRDefault="00000000">
      <w:pPr>
        <w:pStyle w:val="ListParagraph"/>
        <w:numPr>
          <w:ilvl w:val="0"/>
          <w:numId w:val="2"/>
        </w:numPr>
        <w:spacing w:after="60"/>
      </w:pPr>
      <w:r>
        <w:rPr>
          <w:b/>
          <w:bCs/>
        </w:rPr>
        <w:t xml:space="preserve">Key personnel </w:t>
      </w:r>
      <w:r>
        <w:t>listed for each provider</w:t>
      </w:r>
    </w:p>
    <w:p w:rsidR="00850A29" w:rsidRDefault="00000000">
      <w:pPr>
        <w:pStyle w:val="ListParagraph"/>
        <w:numPr>
          <w:ilvl w:val="0"/>
          <w:numId w:val="2"/>
        </w:numPr>
        <w:spacing w:after="60"/>
      </w:pPr>
      <w:r>
        <w:rPr>
          <w:b/>
          <w:bCs/>
        </w:rPr>
        <w:t xml:space="preserve">Peer comparison tables </w:t>
      </w:r>
      <w:r>
        <w:t>at each risk level to support selection decisions</w:t>
      </w:r>
    </w:p>
    <w:p w:rsidR="00850A29" w:rsidRDefault="00000000">
      <w:pPr>
        <w:spacing w:before="80" w:after="200"/>
      </w:pPr>
      <w:r>
        <w:rPr>
          <w:b/>
          <w:bCs/>
          <w:color w:val="666666"/>
          <w:sz w:val="20"/>
          <w:szCs w:val="20"/>
        </w:rPr>
        <w:t xml:space="preserve">Maps to spec: </w:t>
      </w:r>
      <w:r>
        <w:rPr>
          <w:i/>
          <w:iCs/>
          <w:color w:val="666666"/>
          <w:sz w:val="20"/>
          <w:szCs w:val="20"/>
        </w:rPr>
        <w:t>Section 4B – MPS Analysis (interactive charts, data tables, written commentary, strengths and considerations)</w:t>
      </w:r>
    </w:p>
    <w:p w:rsidR="00850A29" w:rsidRDefault="00000000">
      <w:pPr>
        <w:pStyle w:val="Heading2"/>
      </w:pPr>
      <w:r>
        <w:t>Module C – Insights</w:t>
      </w:r>
    </w:p>
    <w:p w:rsidR="00850A29" w:rsidRDefault="00000000">
      <w:pPr>
        <w:spacing w:after="120"/>
      </w:pPr>
      <w:r>
        <w:lastRenderedPageBreak/>
        <w:t>A content section with market commentary, regulatory analysis, and thematic thought pieces. Filterable by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50A29">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E8F0FE"/>
            <w:tcMar>
              <w:top w:w="80" w:type="dxa"/>
              <w:left w:w="120" w:type="dxa"/>
              <w:bottom w:w="80" w:type="dxa"/>
              <w:right w:w="120" w:type="dxa"/>
            </w:tcMar>
          </w:tcPr>
          <w:p w:rsidR="00850A29" w:rsidRDefault="00000000">
            <w:r>
              <w:rPr>
                <w:b/>
                <w:bCs/>
                <w:sz w:val="20"/>
                <w:szCs w:val="20"/>
              </w:rPr>
              <w:t>Content Type</w:t>
            </w:r>
          </w:p>
        </w:tc>
        <w:tc>
          <w:tcPr>
            <w:tcW w:w="6240" w:type="dxa"/>
            <w:tcBorders>
              <w:top w:val="single" w:sz="1" w:space="0" w:color="D0D0D0"/>
              <w:left w:val="single" w:sz="1" w:space="0" w:color="D0D0D0"/>
              <w:bottom w:val="single" w:sz="1" w:space="0" w:color="D0D0D0"/>
              <w:right w:val="single" w:sz="1" w:space="0" w:color="D0D0D0"/>
            </w:tcBorders>
            <w:shd w:val="clear" w:color="auto" w:fill="E8F0FE"/>
            <w:tcMar>
              <w:top w:w="80" w:type="dxa"/>
              <w:left w:w="120" w:type="dxa"/>
              <w:bottom w:w="80" w:type="dxa"/>
              <w:right w:w="120" w:type="dxa"/>
            </w:tcMar>
          </w:tcPr>
          <w:p w:rsidR="00850A29" w:rsidRDefault="00000000">
            <w:r>
              <w:rPr>
                <w:b/>
                <w:bCs/>
                <w:sz w:val="20"/>
                <w:szCs w:val="20"/>
              </w:rPr>
              <w:t>Example</w:t>
            </w:r>
          </w:p>
        </w:tc>
      </w:tr>
      <w:tr w:rsidR="00850A29">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b/>
                <w:bCs/>
                <w:sz w:val="20"/>
                <w:szCs w:val="20"/>
              </w:rPr>
              <w:t>Weekly Commentary</w:t>
            </w:r>
          </w:p>
        </w:tc>
        <w:tc>
          <w:tcPr>
            <w:tcW w:w="62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sz w:val="20"/>
                <w:szCs w:val="20"/>
              </w:rPr>
              <w:t>Weekly Market Update covering equity/bond movements, MPS portfolio implications</w:t>
            </w:r>
          </w:p>
        </w:tc>
      </w:tr>
      <w:tr w:rsidR="00850A29">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b/>
                <w:bCs/>
                <w:sz w:val="20"/>
                <w:szCs w:val="20"/>
              </w:rPr>
              <w:t>Regulatory</w:t>
            </w:r>
          </w:p>
        </w:tc>
        <w:tc>
          <w:tcPr>
            <w:tcW w:w="62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sz w:val="20"/>
                <w:szCs w:val="20"/>
              </w:rPr>
              <w:t>Consumer Duty One Year On – practical guidance on MPS oversight obligations</w:t>
            </w:r>
          </w:p>
        </w:tc>
      </w:tr>
      <w:tr w:rsidR="00850A29">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b/>
                <w:bCs/>
                <w:sz w:val="20"/>
                <w:szCs w:val="20"/>
              </w:rPr>
              <w:t>Thematic Analysis</w:t>
            </w:r>
          </w:p>
        </w:tc>
        <w:tc>
          <w:tcPr>
            <w:tcW w:w="62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sz w:val="20"/>
                <w:szCs w:val="20"/>
              </w:rPr>
              <w:t>Passive vs Active MPS framework; MPS rebalancing frequency analysis</w:t>
            </w:r>
          </w:p>
        </w:tc>
      </w:tr>
      <w:tr w:rsidR="00850A29">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b/>
                <w:bCs/>
                <w:sz w:val="20"/>
                <w:szCs w:val="20"/>
              </w:rPr>
              <w:t>Market Review</w:t>
            </w:r>
          </w:p>
        </w:tc>
        <w:tc>
          <w:tcPr>
            <w:tcW w:w="62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sz w:val="20"/>
                <w:szCs w:val="20"/>
              </w:rPr>
              <w:t>Q4 2025 MPS Market Review across the provider universe</w:t>
            </w:r>
          </w:p>
        </w:tc>
      </w:tr>
    </w:tbl>
    <w:p w:rsidR="00850A29" w:rsidRDefault="00000000">
      <w:pPr>
        <w:spacing w:before="80" w:after="200"/>
      </w:pPr>
      <w:r>
        <w:rPr>
          <w:b/>
          <w:bCs/>
          <w:color w:val="666666"/>
          <w:sz w:val="20"/>
          <w:szCs w:val="20"/>
        </w:rPr>
        <w:t xml:space="preserve">Maps to spec: </w:t>
      </w:r>
      <w:r>
        <w:rPr>
          <w:i/>
          <w:iCs/>
          <w:color w:val="666666"/>
          <w:sz w:val="20"/>
          <w:szCs w:val="20"/>
        </w:rPr>
        <w:t>Section 4C – Insights (weekly commentary, thought pieces, thematic analysis)</w:t>
      </w:r>
    </w:p>
    <w:p w:rsidR="00850A29" w:rsidRDefault="00000000">
      <w:pPr>
        <w:pStyle w:val="Heading2"/>
      </w:pPr>
      <w:r>
        <w:t>Dashboard</w:t>
      </w:r>
    </w:p>
    <w:p w:rsidR="00850A29" w:rsidRDefault="00000000">
      <w:pPr>
        <w:spacing w:after="200"/>
      </w:pPr>
      <w:r>
        <w:t>A central overview tying the three modules together: aggregate market stats, provider summary table, risk distribution chart, and links to the latest insights. Serves as the entry point to the platform.</w:t>
      </w:r>
    </w:p>
    <w:p w:rsidR="00850A29" w:rsidRDefault="00000000">
      <w:pPr>
        <w:pStyle w:val="Heading1"/>
      </w:pPr>
      <w:r>
        <w:t>What Is Intentionally Deferred</w:t>
      </w:r>
    </w:p>
    <w:p w:rsidR="00850A29" w:rsidRDefault="00000000">
      <w:pPr>
        <w:spacing w:after="120"/>
      </w:pPr>
      <w:r>
        <w:t>The following items from the product spec are acknowledged but intentionally deferred from the MVP:</w:t>
      </w:r>
    </w:p>
    <w:p w:rsidR="00850A29" w:rsidRDefault="00000000">
      <w:pPr>
        <w:pStyle w:val="Heading3"/>
      </w:pPr>
      <w:r>
        <w:t>Phase 2 – Strengthening &amp; Scaling</w:t>
      </w:r>
    </w:p>
    <w:p w:rsidR="00850A29" w:rsidRDefault="00000000">
      <w:pPr>
        <w:pStyle w:val="ListParagraph"/>
        <w:numPr>
          <w:ilvl w:val="0"/>
          <w:numId w:val="2"/>
        </w:numPr>
        <w:spacing w:after="60"/>
      </w:pPr>
      <w:r>
        <w:rPr>
          <w:b/>
          <w:bCs/>
        </w:rPr>
        <w:t xml:space="preserve">Automated data ingestion </w:t>
      </w:r>
      <w:r>
        <w:t>– data is currently static/illustrative, mirroring the manual approach described in the spec but in a more structured format</w:t>
      </w:r>
    </w:p>
    <w:p w:rsidR="00850A29" w:rsidRDefault="00000000">
      <w:pPr>
        <w:pStyle w:val="ListParagraph"/>
        <w:numPr>
          <w:ilvl w:val="0"/>
          <w:numId w:val="2"/>
        </w:numPr>
        <w:spacing w:after="60"/>
      </w:pPr>
      <w:r>
        <w:rPr>
          <w:b/>
          <w:bCs/>
        </w:rPr>
        <w:t xml:space="preserve">Platform rebuild for scale </w:t>
      </w:r>
      <w:r>
        <w:t>– database layer, cleaner internal structure, improved scalability</w:t>
      </w:r>
    </w:p>
    <w:p w:rsidR="00850A29" w:rsidRDefault="00000000">
      <w:pPr>
        <w:pStyle w:val="ListParagraph"/>
        <w:numPr>
          <w:ilvl w:val="0"/>
          <w:numId w:val="2"/>
        </w:numPr>
        <w:spacing w:after="60"/>
      </w:pPr>
      <w:r>
        <w:rPr>
          <w:b/>
          <w:bCs/>
        </w:rPr>
        <w:t xml:space="preserve">UX refinements </w:t>
      </w:r>
      <w:r>
        <w:t>– further responsive design, navigation polish, visual presentation improvements</w:t>
      </w:r>
    </w:p>
    <w:p w:rsidR="00850A29" w:rsidRDefault="00000000">
      <w:pPr>
        <w:pStyle w:val="Heading3"/>
      </w:pPr>
      <w:r>
        <w:t>Phase 3 – Expansion &amp; Advanced Features</w:t>
      </w:r>
    </w:p>
    <w:p w:rsidR="00850A29" w:rsidRDefault="00000000">
      <w:pPr>
        <w:pStyle w:val="ListParagraph"/>
        <w:numPr>
          <w:ilvl w:val="0"/>
          <w:numId w:val="2"/>
        </w:numPr>
        <w:spacing w:after="60"/>
      </w:pPr>
      <w:r>
        <w:rPr>
          <w:b/>
          <w:bCs/>
        </w:rPr>
        <w:t xml:space="preserve">AI-enhanced commentary </w:t>
      </w:r>
      <w:r>
        <w:t>– AI-generated summaries, “Explain this chart” functionality, customisable regulatory reports</w:t>
      </w:r>
    </w:p>
    <w:p w:rsidR="00850A29" w:rsidRDefault="00000000">
      <w:pPr>
        <w:pStyle w:val="ListParagraph"/>
        <w:numPr>
          <w:ilvl w:val="0"/>
          <w:numId w:val="2"/>
        </w:numPr>
        <w:spacing w:after="60"/>
      </w:pPr>
      <w:r>
        <w:rPr>
          <w:b/>
          <w:bCs/>
        </w:rPr>
        <w:t xml:space="preserve">Communication layer </w:t>
      </w:r>
      <w:r>
        <w:t>– integrated messaging between advisers, Bridge, and MPS providers</w:t>
      </w:r>
    </w:p>
    <w:p w:rsidR="00850A29" w:rsidRDefault="00000000">
      <w:pPr>
        <w:pStyle w:val="ListParagraph"/>
        <w:numPr>
          <w:ilvl w:val="0"/>
          <w:numId w:val="2"/>
        </w:numPr>
        <w:spacing w:after="60"/>
      </w:pPr>
      <w:r>
        <w:rPr>
          <w:b/>
          <w:bCs/>
        </w:rPr>
        <w:t xml:space="preserve">Portfolio change tracking </w:t>
      </w:r>
      <w:r>
        <w:t>– AI analysis of allocation changes over time, automated alerts</w:t>
      </w:r>
    </w:p>
    <w:p w:rsidR="00850A29" w:rsidRDefault="00000000">
      <w:pPr>
        <w:pStyle w:val="ListParagraph"/>
        <w:numPr>
          <w:ilvl w:val="0"/>
          <w:numId w:val="2"/>
        </w:numPr>
        <w:spacing w:after="60"/>
      </w:pPr>
      <w:r>
        <w:rPr>
          <w:b/>
          <w:bCs/>
        </w:rPr>
        <w:t xml:space="preserve">Downloadable PDF reports </w:t>
      </w:r>
      <w:r>
        <w:t>– audit-ready documents for regulatory compliance</w:t>
      </w:r>
    </w:p>
    <w:p w:rsidR="00850A29" w:rsidRDefault="00000000">
      <w:pPr>
        <w:pStyle w:val="ListParagraph"/>
        <w:numPr>
          <w:ilvl w:val="0"/>
          <w:numId w:val="2"/>
        </w:numPr>
        <w:spacing w:after="60"/>
      </w:pPr>
      <w:r>
        <w:rPr>
          <w:b/>
          <w:bCs/>
        </w:rPr>
        <w:t xml:space="preserve">User authentication &amp; multi-tenancy </w:t>
      </w:r>
      <w:r>
        <w:t>– firm-wide licensing, subscription management, user roles</w:t>
      </w:r>
    </w:p>
    <w:p w:rsidR="00850A29" w:rsidRDefault="00000000">
      <w:pPr>
        <w:pStyle w:val="ListParagraph"/>
        <w:numPr>
          <w:ilvl w:val="0"/>
          <w:numId w:val="2"/>
        </w:numPr>
        <w:spacing w:after="200"/>
      </w:pPr>
      <w:r>
        <w:rPr>
          <w:b/>
          <w:bCs/>
        </w:rPr>
        <w:t xml:space="preserve">Subscription alerts </w:t>
      </w:r>
      <w:r>
        <w:t>– notifications when subscribed providers publish updates or make portfolio changes</w:t>
      </w:r>
    </w:p>
    <w:p w:rsidR="00850A29" w:rsidRDefault="00000000">
      <w:pPr>
        <w:pStyle w:val="Heading1"/>
      </w:pPr>
      <w:r>
        <w:lastRenderedPageBreak/>
        <w:t>What This Proves</w:t>
      </w:r>
    </w:p>
    <w:p w:rsidR="00850A29" w:rsidRDefault="00000000">
      <w:pPr>
        <w:pStyle w:val="ListParagraph"/>
        <w:numPr>
          <w:ilvl w:val="0"/>
          <w:numId w:val="3"/>
        </w:numPr>
        <w:spacing w:after="60"/>
      </w:pPr>
      <w:r>
        <w:rPr>
          <w:b/>
          <w:bCs/>
        </w:rPr>
        <w:t xml:space="preserve">The analytical framework works in software. </w:t>
      </w:r>
      <w:r>
        <w:t>The three-module structure from the spec holds up in practice and delivers a coherent user experience.</w:t>
      </w:r>
    </w:p>
    <w:p w:rsidR="00850A29" w:rsidRDefault="00000000">
      <w:pPr>
        <w:pStyle w:val="ListParagraph"/>
        <w:numPr>
          <w:ilvl w:val="0"/>
          <w:numId w:val="3"/>
        </w:numPr>
        <w:spacing w:after="60"/>
      </w:pPr>
      <w:r>
        <w:rPr>
          <w:b/>
          <w:bCs/>
        </w:rPr>
        <w:t xml:space="preserve">The end-to-end user journey is functional. </w:t>
      </w:r>
      <w:r>
        <w:t>An adviser can go from filtering the universe, to deep-diving a provider, to reviewing underlying holdings, to reading supporting research</w:t>
      </w:r>
      <w:r w:rsidR="00351938">
        <w:t>,</w:t>
      </w:r>
      <w:r>
        <w:t xml:space="preserve"> all in one platform.</w:t>
      </w:r>
    </w:p>
    <w:p w:rsidR="00850A29" w:rsidRDefault="00000000">
      <w:pPr>
        <w:pStyle w:val="ListParagraph"/>
        <w:numPr>
          <w:ilvl w:val="0"/>
          <w:numId w:val="3"/>
        </w:numPr>
        <w:spacing w:after="60"/>
      </w:pPr>
      <w:r>
        <w:rPr>
          <w:b/>
          <w:bCs/>
        </w:rPr>
        <w:t xml:space="preserve">The data model supports the vision. </w:t>
      </w:r>
      <w:r>
        <w:t>Provider metadata, portfolio analytics, performance history, peer comparison, geographic allocation, and underlying fund data are all structured and extensible.</w:t>
      </w:r>
    </w:p>
    <w:p w:rsidR="00850A29" w:rsidRDefault="00000000">
      <w:pPr>
        <w:pStyle w:val="ListParagraph"/>
        <w:numPr>
          <w:ilvl w:val="0"/>
          <w:numId w:val="3"/>
        </w:numPr>
        <w:spacing w:after="200"/>
      </w:pPr>
      <w:r>
        <w:rPr>
          <w:b/>
          <w:bCs/>
        </w:rPr>
        <w:t xml:space="preserve">The content layer adds tangible value. </w:t>
      </w:r>
      <w:r>
        <w:t>Insights demonstrate the type of independent research that differentiates Bridge from provider-produced material.</w:t>
      </w:r>
    </w:p>
    <w:p w:rsidR="00850A29" w:rsidRDefault="00000000">
      <w:pPr>
        <w:pStyle w:val="Heading1"/>
      </w:pPr>
      <w:r>
        <w:t>Technical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50A29">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E8F0FE"/>
            <w:tcMar>
              <w:top w:w="80" w:type="dxa"/>
              <w:left w:w="120" w:type="dxa"/>
              <w:bottom w:w="80" w:type="dxa"/>
              <w:right w:w="120" w:type="dxa"/>
            </w:tcMar>
          </w:tcPr>
          <w:p w:rsidR="00850A29" w:rsidRDefault="00000000">
            <w:r>
              <w:rPr>
                <w:b/>
                <w:bCs/>
                <w:sz w:val="20"/>
                <w:szCs w:val="20"/>
              </w:rPr>
              <w:t>Component</w:t>
            </w:r>
          </w:p>
        </w:tc>
        <w:tc>
          <w:tcPr>
            <w:tcW w:w="6240" w:type="dxa"/>
            <w:tcBorders>
              <w:top w:val="single" w:sz="1" w:space="0" w:color="D0D0D0"/>
              <w:left w:val="single" w:sz="1" w:space="0" w:color="D0D0D0"/>
              <w:bottom w:val="single" w:sz="1" w:space="0" w:color="D0D0D0"/>
              <w:right w:val="single" w:sz="1" w:space="0" w:color="D0D0D0"/>
            </w:tcBorders>
            <w:shd w:val="clear" w:color="auto" w:fill="E8F0FE"/>
            <w:tcMar>
              <w:top w:w="80" w:type="dxa"/>
              <w:left w:w="120" w:type="dxa"/>
              <w:bottom w:w="80" w:type="dxa"/>
              <w:right w:w="120" w:type="dxa"/>
            </w:tcMar>
          </w:tcPr>
          <w:p w:rsidR="00850A29" w:rsidRDefault="00000000">
            <w:r>
              <w:rPr>
                <w:b/>
                <w:bCs/>
                <w:sz w:val="20"/>
                <w:szCs w:val="20"/>
              </w:rPr>
              <w:t>Detail</w:t>
            </w:r>
          </w:p>
        </w:tc>
      </w:tr>
      <w:tr w:rsidR="00850A29">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b/>
                <w:bCs/>
                <w:sz w:val="20"/>
                <w:szCs w:val="20"/>
              </w:rPr>
              <w:t>Backend</w:t>
            </w:r>
          </w:p>
        </w:tc>
        <w:tc>
          <w:tcPr>
            <w:tcW w:w="62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proofErr w:type="spellStart"/>
            <w:r>
              <w:rPr>
                <w:sz w:val="20"/>
                <w:szCs w:val="20"/>
              </w:rPr>
              <w:t>FastAPI</w:t>
            </w:r>
            <w:proofErr w:type="spellEnd"/>
            <w:r>
              <w:rPr>
                <w:sz w:val="20"/>
                <w:szCs w:val="20"/>
              </w:rPr>
              <w:t xml:space="preserve"> (Python) with RESTful API endpoints</w:t>
            </w:r>
          </w:p>
        </w:tc>
      </w:tr>
      <w:tr w:rsidR="00850A29">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b/>
                <w:bCs/>
                <w:sz w:val="20"/>
                <w:szCs w:val="20"/>
              </w:rPr>
              <w:t>Frontend</w:t>
            </w:r>
          </w:p>
        </w:tc>
        <w:tc>
          <w:tcPr>
            <w:tcW w:w="62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sz w:val="20"/>
                <w:szCs w:val="20"/>
              </w:rPr>
              <w:t>Single-page application with Chart.js for interactive visualisations</w:t>
            </w:r>
          </w:p>
        </w:tc>
      </w:tr>
      <w:tr w:rsidR="00850A29">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b/>
                <w:bCs/>
                <w:sz w:val="20"/>
                <w:szCs w:val="20"/>
              </w:rPr>
              <w:t>Data</w:t>
            </w:r>
          </w:p>
        </w:tc>
        <w:tc>
          <w:tcPr>
            <w:tcW w:w="62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sz w:val="20"/>
                <w:szCs w:val="20"/>
              </w:rPr>
              <w:t>17 MPS portfolios, 5 providers, 8 platforms, 5 research articles</w:t>
            </w:r>
          </w:p>
        </w:tc>
      </w:tr>
      <w:tr w:rsidR="00850A29">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b/>
                <w:bCs/>
                <w:sz w:val="20"/>
                <w:szCs w:val="20"/>
              </w:rPr>
              <w:t>API endpoints</w:t>
            </w:r>
          </w:p>
        </w:tc>
        <w:tc>
          <w:tcPr>
            <w:tcW w:w="62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sz w:val="20"/>
                <w:szCs w:val="20"/>
              </w:rPr>
              <w:t>10 endpoints covering dashboard, selection, analysis, insights, and comparison</w:t>
            </w:r>
          </w:p>
        </w:tc>
      </w:tr>
      <w:tr w:rsidR="00850A29">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b/>
                <w:bCs/>
                <w:sz w:val="20"/>
                <w:szCs w:val="20"/>
              </w:rPr>
              <w:t>Deployment</w:t>
            </w:r>
          </w:p>
        </w:tc>
        <w:tc>
          <w:tcPr>
            <w:tcW w:w="62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sz w:val="20"/>
                <w:szCs w:val="20"/>
              </w:rPr>
              <w:t>Single command: python main.py → runs on localhost:8000</w:t>
            </w:r>
          </w:p>
        </w:tc>
      </w:tr>
      <w:tr w:rsidR="00850A29">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b/>
                <w:bCs/>
                <w:sz w:val="20"/>
                <w:szCs w:val="20"/>
              </w:rPr>
              <w:t>Codebase</w:t>
            </w:r>
          </w:p>
        </w:tc>
        <w:tc>
          <w:tcPr>
            <w:tcW w:w="624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rsidR="00850A29" w:rsidRDefault="00000000">
            <w:r>
              <w:rPr>
                <w:sz w:val="20"/>
                <w:szCs w:val="20"/>
              </w:rPr>
              <w:t>5 files, lightweight and extensible</w:t>
            </w:r>
          </w:p>
        </w:tc>
      </w:tr>
    </w:tbl>
    <w:p w:rsidR="00850A29" w:rsidRDefault="00850A29">
      <w:pPr>
        <w:pBdr>
          <w:top w:val="single" w:sz="2" w:space="12" w:color="1E3A5F"/>
        </w:pBdr>
        <w:spacing w:before="400"/>
      </w:pPr>
    </w:p>
    <w:p w:rsidR="00850A29" w:rsidRDefault="00000000">
      <w:pPr>
        <w:spacing w:after="100"/>
        <w:jc w:val="center"/>
      </w:pPr>
      <w:r>
        <w:rPr>
          <w:b/>
          <w:bCs/>
          <w:color w:val="1E3A5F"/>
        </w:rPr>
        <w:t>Bridge MVP – Built and ready for review.</w:t>
      </w:r>
    </w:p>
    <w:sectPr w:rsidR="00850A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A230DD"/>
    <w:multiLevelType w:val="hybridMultilevel"/>
    <w:tmpl w:val="8B1C4CBE"/>
    <w:lvl w:ilvl="0" w:tplc="A0AA199E">
      <w:start w:val="1"/>
      <w:numFmt w:val="bullet"/>
      <w:lvlText w:val="●"/>
      <w:lvlJc w:val="left"/>
      <w:pPr>
        <w:ind w:left="720" w:hanging="360"/>
      </w:pPr>
    </w:lvl>
    <w:lvl w:ilvl="1" w:tplc="04767D2C">
      <w:start w:val="1"/>
      <w:numFmt w:val="bullet"/>
      <w:lvlText w:val="○"/>
      <w:lvlJc w:val="left"/>
      <w:pPr>
        <w:ind w:left="1440" w:hanging="360"/>
      </w:pPr>
    </w:lvl>
    <w:lvl w:ilvl="2" w:tplc="91307A14">
      <w:start w:val="1"/>
      <w:numFmt w:val="bullet"/>
      <w:lvlText w:val="■"/>
      <w:lvlJc w:val="left"/>
      <w:pPr>
        <w:ind w:left="2160" w:hanging="360"/>
      </w:pPr>
    </w:lvl>
    <w:lvl w:ilvl="3" w:tplc="DEC83570">
      <w:start w:val="1"/>
      <w:numFmt w:val="bullet"/>
      <w:lvlText w:val="●"/>
      <w:lvlJc w:val="left"/>
      <w:pPr>
        <w:ind w:left="2880" w:hanging="360"/>
      </w:pPr>
    </w:lvl>
    <w:lvl w:ilvl="4" w:tplc="7B5871A2">
      <w:start w:val="1"/>
      <w:numFmt w:val="bullet"/>
      <w:lvlText w:val="○"/>
      <w:lvlJc w:val="left"/>
      <w:pPr>
        <w:ind w:left="3600" w:hanging="360"/>
      </w:pPr>
    </w:lvl>
    <w:lvl w:ilvl="5" w:tplc="EB3E4F60">
      <w:start w:val="1"/>
      <w:numFmt w:val="bullet"/>
      <w:lvlText w:val="■"/>
      <w:lvlJc w:val="left"/>
      <w:pPr>
        <w:ind w:left="4320" w:hanging="360"/>
      </w:pPr>
    </w:lvl>
    <w:lvl w:ilvl="6" w:tplc="9AEE4B5E">
      <w:start w:val="1"/>
      <w:numFmt w:val="bullet"/>
      <w:lvlText w:val="●"/>
      <w:lvlJc w:val="left"/>
      <w:pPr>
        <w:ind w:left="5040" w:hanging="360"/>
      </w:pPr>
    </w:lvl>
    <w:lvl w:ilvl="7" w:tplc="B09493BC">
      <w:start w:val="1"/>
      <w:numFmt w:val="bullet"/>
      <w:lvlText w:val="●"/>
      <w:lvlJc w:val="left"/>
      <w:pPr>
        <w:ind w:left="5760" w:hanging="360"/>
      </w:pPr>
    </w:lvl>
    <w:lvl w:ilvl="8" w:tplc="F8FECA30">
      <w:start w:val="1"/>
      <w:numFmt w:val="bullet"/>
      <w:lvlText w:val="●"/>
      <w:lvlJc w:val="left"/>
      <w:pPr>
        <w:ind w:left="6480" w:hanging="360"/>
      </w:pPr>
    </w:lvl>
  </w:abstractNum>
  <w:abstractNum w:abstractNumId="1" w15:restartNumberingAfterBreak="0">
    <w:nsid w:val="405C52CF"/>
    <w:multiLevelType w:val="hybridMultilevel"/>
    <w:tmpl w:val="28C223E2"/>
    <w:lvl w:ilvl="0" w:tplc="21D8A4CE">
      <w:start w:val="1"/>
      <w:numFmt w:val="decimal"/>
      <w:lvlText w:val="%1."/>
      <w:lvlJc w:val="left"/>
      <w:pPr>
        <w:ind w:left="720" w:hanging="360"/>
      </w:pPr>
    </w:lvl>
    <w:lvl w:ilvl="1" w:tplc="ED5EC8D2">
      <w:numFmt w:val="decimal"/>
      <w:lvlText w:val=""/>
      <w:lvlJc w:val="left"/>
    </w:lvl>
    <w:lvl w:ilvl="2" w:tplc="AD121FD0">
      <w:numFmt w:val="decimal"/>
      <w:lvlText w:val=""/>
      <w:lvlJc w:val="left"/>
    </w:lvl>
    <w:lvl w:ilvl="3" w:tplc="F73A271E">
      <w:numFmt w:val="decimal"/>
      <w:lvlText w:val=""/>
      <w:lvlJc w:val="left"/>
    </w:lvl>
    <w:lvl w:ilvl="4" w:tplc="0A7A3522">
      <w:numFmt w:val="decimal"/>
      <w:lvlText w:val=""/>
      <w:lvlJc w:val="left"/>
    </w:lvl>
    <w:lvl w:ilvl="5" w:tplc="D54AFEC6">
      <w:numFmt w:val="decimal"/>
      <w:lvlText w:val=""/>
      <w:lvlJc w:val="left"/>
    </w:lvl>
    <w:lvl w:ilvl="6" w:tplc="B7BC3C56">
      <w:numFmt w:val="decimal"/>
      <w:lvlText w:val=""/>
      <w:lvlJc w:val="left"/>
    </w:lvl>
    <w:lvl w:ilvl="7" w:tplc="33907C3C">
      <w:numFmt w:val="decimal"/>
      <w:lvlText w:val=""/>
      <w:lvlJc w:val="left"/>
    </w:lvl>
    <w:lvl w:ilvl="8" w:tplc="6EA66328">
      <w:numFmt w:val="decimal"/>
      <w:lvlText w:val=""/>
      <w:lvlJc w:val="left"/>
    </w:lvl>
  </w:abstractNum>
  <w:abstractNum w:abstractNumId="2" w15:restartNumberingAfterBreak="0">
    <w:nsid w:val="618E612C"/>
    <w:multiLevelType w:val="hybridMultilevel"/>
    <w:tmpl w:val="2498581E"/>
    <w:lvl w:ilvl="0" w:tplc="11E62742">
      <w:start w:val="1"/>
      <w:numFmt w:val="bullet"/>
      <w:lvlText w:val="•"/>
      <w:lvlJc w:val="left"/>
      <w:pPr>
        <w:ind w:left="720" w:hanging="360"/>
      </w:pPr>
    </w:lvl>
    <w:lvl w:ilvl="1" w:tplc="648A7CF8">
      <w:numFmt w:val="decimal"/>
      <w:lvlText w:val=""/>
      <w:lvlJc w:val="left"/>
    </w:lvl>
    <w:lvl w:ilvl="2" w:tplc="B7A47CFA">
      <w:numFmt w:val="decimal"/>
      <w:lvlText w:val=""/>
      <w:lvlJc w:val="left"/>
    </w:lvl>
    <w:lvl w:ilvl="3" w:tplc="EB84E93E">
      <w:numFmt w:val="decimal"/>
      <w:lvlText w:val=""/>
      <w:lvlJc w:val="left"/>
    </w:lvl>
    <w:lvl w:ilvl="4" w:tplc="6BB47A0C">
      <w:numFmt w:val="decimal"/>
      <w:lvlText w:val=""/>
      <w:lvlJc w:val="left"/>
    </w:lvl>
    <w:lvl w:ilvl="5" w:tplc="7C042416">
      <w:numFmt w:val="decimal"/>
      <w:lvlText w:val=""/>
      <w:lvlJc w:val="left"/>
    </w:lvl>
    <w:lvl w:ilvl="6" w:tplc="DA826476">
      <w:numFmt w:val="decimal"/>
      <w:lvlText w:val=""/>
      <w:lvlJc w:val="left"/>
    </w:lvl>
    <w:lvl w:ilvl="7" w:tplc="628ADA64">
      <w:numFmt w:val="decimal"/>
      <w:lvlText w:val=""/>
      <w:lvlJc w:val="left"/>
    </w:lvl>
    <w:lvl w:ilvl="8" w:tplc="D8EC941E">
      <w:numFmt w:val="decimal"/>
      <w:lvlText w:val=""/>
      <w:lvlJc w:val="left"/>
    </w:lvl>
  </w:abstractNum>
  <w:num w:numId="1" w16cid:durableId="2075156678">
    <w:abstractNumId w:val="0"/>
    <w:lvlOverride w:ilvl="0">
      <w:startOverride w:val="1"/>
    </w:lvlOverride>
  </w:num>
  <w:num w:numId="2" w16cid:durableId="1530411889">
    <w:abstractNumId w:val="2"/>
    <w:lvlOverride w:ilvl="0">
      <w:startOverride w:val="1"/>
    </w:lvlOverride>
  </w:num>
  <w:num w:numId="3" w16cid:durableId="4404918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A29"/>
    <w:rsid w:val="003052D8"/>
    <w:rsid w:val="00351938"/>
    <w:rsid w:val="00850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0D9991"/>
  <w15:docId w15:val="{5A114B9E-E68E-0B45-927F-F1D8B5D33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6"/>
      <w:szCs w:val="36"/>
    </w:rPr>
  </w:style>
  <w:style w:type="paragraph" w:styleId="Heading2">
    <w:name w:val="heading 2"/>
    <w:uiPriority w:val="9"/>
    <w:unhideWhenUsed/>
    <w:qFormat/>
    <w:pPr>
      <w:spacing w:before="280" w:after="160"/>
      <w:outlineLvl w:val="1"/>
    </w:pPr>
    <w:rPr>
      <w:b/>
      <w:bCs/>
      <w:color w:val="1E3A5F"/>
      <w:sz w:val="28"/>
      <w:szCs w:val="28"/>
    </w:rPr>
  </w:style>
  <w:style w:type="paragraph" w:styleId="Heading3">
    <w:name w:val="heading 3"/>
    <w:uiPriority w:val="9"/>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777</Words>
  <Characters>4430</Characters>
  <Application>Microsoft Office Word</Application>
  <DocSecurity>0</DocSecurity>
  <Lines>36</Lines>
  <Paragraphs>10</Paragraphs>
  <ScaleCrop>false</ScaleCrop>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Shivang Chaudhary</cp:lastModifiedBy>
  <cp:revision>3</cp:revision>
  <dcterms:created xsi:type="dcterms:W3CDTF">2026-02-14T15:09:00Z</dcterms:created>
  <dcterms:modified xsi:type="dcterms:W3CDTF">2026-02-14T15:27:00Z</dcterms:modified>
</cp:coreProperties>
</file>