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pPr>
      <w:r>
        <w:rPr>
          <w:rFonts w:ascii="Calibri" w:cs="Calibri" w:eastAsia="Calibri" w:hAnsi="Calibri"/>
          <w:b/>
          <w:bCs/>
          <w:color w:val="0F6B5C"/>
          <w:sz w:val="22"/>
          <w:szCs w:val="22"/>
        </w:rPr>
        <w:t xml:space="preserve">OpenDhi Group</w:t>
      </w:r>
    </w:p>
    <w:p>
      <w:pPr>
        <w:spacing w:after="100" w:before="200"/>
      </w:pPr>
      <w:r>
        <w:rPr>
          <w:rFonts w:ascii="Calibri" w:cs="Calibri" w:eastAsia="Calibri" w:hAnsi="Calibri"/>
          <w:b/>
          <w:bCs/>
          <w:color w:val="1F3864"/>
          <w:sz w:val="56"/>
          <w:szCs w:val="56"/>
        </w:rPr>
        <w:t xml:space="preserve">AI Agents &amp; Model Architecture</w:t>
      </w:r>
    </w:p>
    <w:p>
      <w:pPr>
        <w:spacing w:after="300"/>
      </w:pPr>
      <w:r>
        <w:rPr>
          <w:rFonts w:ascii="Calibri" w:cs="Calibri" w:eastAsia="Calibri" w:hAnsi="Calibri"/>
          <w:color w:val="0F6B5C"/>
          <w:sz w:val="28"/>
          <w:szCs w:val="28"/>
        </w:rPr>
        <w:t xml:space="preserve">Agent Design, Governance, Scaling &amp; Cost Plan — AI Execution Layer</w:t>
      </w:r>
    </w:p>
    <w:p>
      <w:pPr>
        <w:pBdr>
          <w:bottom w:val="single" w:color="1F3864" w:sz="10" w:space="8"/>
        </w:pBdr>
        <w:spacing w:after="400"/>
      </w:pPr>
      <w:r>
        <w:rPr>
          <w:sz w:val="4"/>
          <w:szCs w:val="4"/>
        </w:rPr>
        <w:t xml:space="preserve"> </w:t>
      </w:r>
    </w:p>
    <w:p>
      <w:pPr>
        <w:spacing w:after="200"/>
      </w:pPr>
      <w:r>
        <w:rPr>
          <w:rFonts w:ascii="Calibri" w:cs="Calibri" w:eastAsia="Calibri" w:hAnsi="Calibri"/>
          <w:i/>
          <w:iCs/>
          <w:color w:val="222222"/>
          <w:sz w:val="22"/>
          <w:szCs w:val="22"/>
        </w:rPr>
        <w:t xml:space="preserve">A consolidated reference covering how AI agents are invoked, which steps genuinely need a model versus deterministic code, how data access is governed, how the system scales, and what it costs at pilot, growth, and enterprise scale.</w:t>
      </w:r>
    </w:p>
    <w:p>
      <w:pPr>
        <w:spacing w:before="600"/>
      </w:pP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480"/>
      </w:tblGrid>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Version</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1.0 — Draft for internal review</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Status</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Compiled from architecture working sessions — for consolidation into the AI Agents build spec</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Scope</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AI Execution Layer — agent design, governance, model selection, cost and scale planning</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Date</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23 July 2026</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Classification</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Internal — Confidential</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Companion documents</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AI Execution Layer — End-to-End Architecture v1.0; AI Execution Product Thinking v3.0</w:t>
            </w:r>
          </w:p>
        </w:tc>
      </w:tr>
    </w:tbl>
    <w:p>
      <w:pPr>
        <w:sectPr>
          <w:pgSz w:w="12240" w:h="15840" w:orient="portrait"/>
          <w:pgMar w:top="1440" w:right="1080" w:bottom="144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Contents</w:t>
      </w:r>
    </w:p>
    <w:p>
      <w:pPr>
        <w:spacing w:after="110"/>
      </w:pPr>
      <w:r>
        <w:rPr>
          <w:rFonts w:ascii="Calibri" w:cs="Calibri" w:eastAsia="Calibri" w:hAnsi="Calibri"/>
          <w:color w:val="222222"/>
          <w:sz w:val="22"/>
          <w:szCs w:val="22"/>
        </w:rPr>
        <w:t xml:space="preserve">1. Executive Summary</w:t>
      </w:r>
    </w:p>
    <w:p>
      <w:pPr>
        <w:spacing w:after="110"/>
      </w:pPr>
      <w:r>
        <w:rPr>
          <w:rFonts w:ascii="Calibri" w:cs="Calibri" w:eastAsia="Calibri" w:hAnsi="Calibri"/>
          <w:color w:val="222222"/>
          <w:sz w:val="22"/>
          <w:szCs w:val="22"/>
        </w:rPr>
        <w:t xml:space="preserve">2. Journey Engine — Orchestration Architecture</w:t>
      </w:r>
    </w:p>
    <w:p>
      <w:pPr>
        <w:spacing w:after="110"/>
      </w:pPr>
      <w:r>
        <w:rPr>
          <w:rFonts w:ascii="Calibri" w:cs="Calibri" w:eastAsia="Calibri" w:hAnsi="Calibri"/>
          <w:color w:val="222222"/>
          <w:sz w:val="22"/>
          <w:szCs w:val="22"/>
        </w:rPr>
        <w:t xml:space="preserve">3. The Agent-vs-Code Test</w:t>
      </w:r>
    </w:p>
    <w:p>
      <w:pPr>
        <w:spacing w:after="110"/>
      </w:pPr>
      <w:r>
        <w:rPr>
          <w:rFonts w:ascii="Calibri" w:cs="Calibri" w:eastAsia="Calibri" w:hAnsi="Calibri"/>
          <w:color w:val="222222"/>
          <w:sz w:val="22"/>
          <w:szCs w:val="22"/>
        </w:rPr>
        <w:t xml:space="preserve">4. Per-Journey Step Classification — Contract Creation, Payroll Creation, H2R Lifecycle</w:t>
      </w:r>
    </w:p>
    <w:p>
      <w:pPr>
        <w:spacing w:after="110"/>
      </w:pPr>
      <w:r>
        <w:rPr>
          <w:rFonts w:ascii="Calibri" w:cs="Calibri" w:eastAsia="Calibri" w:hAnsi="Calibri"/>
          <w:color w:val="222222"/>
          <w:sz w:val="22"/>
          <w:szCs w:val="22"/>
        </w:rPr>
        <w:t xml:space="preserve">5. Data Governance &amp; Access Control</w:t>
      </w:r>
    </w:p>
    <w:p>
      <w:pPr>
        <w:spacing w:after="110"/>
      </w:pPr>
      <w:r>
        <w:rPr>
          <w:rFonts w:ascii="Calibri" w:cs="Calibri" w:eastAsia="Calibri" w:hAnsi="Calibri"/>
          <w:color w:val="222222"/>
          <w:sz w:val="22"/>
          <w:szCs w:val="22"/>
        </w:rPr>
        <w:t xml:space="preserve">6. Data Freshness &amp; Caching Policy</w:t>
      </w:r>
    </w:p>
    <w:p>
      <w:pPr>
        <w:spacing w:after="110"/>
      </w:pPr>
      <w:r>
        <w:rPr>
          <w:rFonts w:ascii="Calibri" w:cs="Calibri" w:eastAsia="Calibri" w:hAnsi="Calibri"/>
          <w:color w:val="222222"/>
          <w:sz w:val="22"/>
          <w:szCs w:val="22"/>
        </w:rPr>
        <w:t xml:space="preserve">7. Reliability &amp; Scaling Decisions</w:t>
      </w:r>
    </w:p>
    <w:p>
      <w:pPr>
        <w:spacing w:after="110"/>
      </w:pPr>
      <w:r>
        <w:rPr>
          <w:rFonts w:ascii="Calibri" w:cs="Calibri" w:eastAsia="Calibri" w:hAnsi="Calibri"/>
          <w:color w:val="222222"/>
          <w:sz w:val="22"/>
          <w:szCs w:val="22"/>
        </w:rPr>
        <w:t xml:space="preserve">8. Model Selection Across the Agent Catalog</w:t>
      </w:r>
    </w:p>
    <w:p>
      <w:pPr>
        <w:spacing w:after="110"/>
      </w:pPr>
      <w:r>
        <w:rPr>
          <w:rFonts w:ascii="Calibri" w:cs="Calibri" w:eastAsia="Calibri" w:hAnsi="Calibri"/>
          <w:color w:val="222222"/>
          <w:sz w:val="22"/>
          <w:szCs w:val="22"/>
        </w:rPr>
        <w:t xml:space="preserve">9. Model Plan by Scale — Pilot, Growth, Enterprise</w:t>
      </w:r>
    </w:p>
    <w:p>
      <w:pPr>
        <w:spacing w:after="110"/>
      </w:pPr>
      <w:r>
        <w:rPr>
          <w:rFonts w:ascii="Calibri" w:cs="Calibri" w:eastAsia="Calibri" w:hAnsi="Calibri"/>
          <w:color w:val="222222"/>
          <w:sz w:val="22"/>
          <w:szCs w:val="22"/>
        </w:rPr>
        <w:t xml:space="preserve">10. Scale Economics — API Limits, Volume &amp; Cost</w:t>
      </w:r>
    </w:p>
    <w:p>
      <w:pPr>
        <w:spacing w:after="110"/>
      </w:pPr>
      <w:r>
        <w:rPr>
          <w:rFonts w:ascii="Calibri" w:cs="Calibri" w:eastAsia="Calibri" w:hAnsi="Calibri"/>
          <w:color w:val="222222"/>
          <w:sz w:val="22"/>
          <w:szCs w:val="22"/>
        </w:rPr>
        <w:t xml:space="preserve">11. Competitive Benchmark — How Palantir Runs Agents on SAP</w:t>
      </w:r>
    </w:p>
    <w:p>
      <w:pPr>
        <w:spacing w:after="110"/>
      </w:pPr>
      <w:r>
        <w:rPr>
          <w:rFonts w:ascii="Calibri" w:cs="Calibri" w:eastAsia="Calibri" w:hAnsi="Calibri"/>
          <w:color w:val="222222"/>
          <w:sz w:val="22"/>
          <w:szCs w:val="22"/>
        </w:rPr>
        <w:t xml:space="preserve">12. Open Gaps &amp; Recommendations</w:t>
      </w:r>
    </w:p>
    <w:p>
      <w:pPr>
        <w:spacing w:after="110"/>
      </w:pPr>
      <w:r>
        <w:rPr>
          <w:rFonts w:ascii="Calibri" w:cs="Calibri" w:eastAsia="Calibri" w:hAnsi="Calibri"/>
          <w:color w:val="222222"/>
          <w:sz w:val="22"/>
          <w:szCs w:val="22"/>
        </w:rPr>
        <w:t xml:space="preserve">13. Open Questions Still Needing a Decision</w:t>
      </w:r>
    </w:p>
    <w:p>
      <w:r>
        <w:br w:type="page"/>
      </w:r>
    </w:p>
    <w:p>
      <w:pPr>
        <w:sectPr>
          <w:headerReference w:type="default" r:id="rId7"/>
          <w:footerReference w:type="default" r:id="rId8"/>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 Executive Summary</w:t>
      </w:r>
    </w:p>
    <w:tbl>
      <w:tblPr>
        <w:tblW w:type="pct" w:w="100%"/>
        <w:tblBorders>
          <w:top w:val="none"/>
          <w:left w:val="single" w:color="0F6B5C" w:sz="18"/>
          <w:bottom w:val="none"/>
          <w:right w:val="none"/>
          <w:insideH w:val="none"/>
          <w:insideV w:val="none"/>
        </w:tblBorders>
      </w:tblPr>
      <w:tblGrid>
        <w:gridCol w:w="100"/>
      </w:tblGrid>
      <w:tr>
        <w:tc>
          <w:tcPr>
            <w:shd w:fill="E2F0E4"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THE ONE-LINE VERSION</w:t>
            </w:r>
          </w:p>
          <w:p>
            <w:r>
              <w:rPr>
                <w:rFonts w:ascii="Calibri" w:cs="Calibri" w:eastAsia="Calibri" w:hAnsi="Calibri"/>
                <w:color w:val="222222"/>
                <w:sz w:val="20"/>
                <w:szCs w:val="20"/>
              </w:rPr>
              <w:t xml:space="preserve">Most of what looks like an “AI agent” in the current catalog is not. Once you test every step by whether its input is already clean and structured or genuinely needs interpretation, only a small number of agents across the whole journey catalog need a real model call — the rest is deterministic code wearing an AI label. That single test, applied consistently, is what keeps this system cheap, auditable, and safe to scale.</w:t>
            </w:r>
          </w:p>
        </w:tc>
      </w:tr>
    </w:tbl>
    <w:p>
      <w:pPr>
        <w:spacing w:after="160" w:line="276"/>
      </w:pPr>
      <w:r>
        <w:rPr>
          <w:rFonts w:ascii="Calibri" w:cs="Calibri" w:eastAsia="Calibri" w:hAnsi="Calibri"/>
          <w:color w:val="222222"/>
          <w:sz w:val="21"/>
          <w:szCs w:val="21"/>
        </w:rPr>
        <w:t xml:space="preserve"/>
      </w:r>
    </w:p>
    <w:p>
      <w:pPr>
        <w:spacing w:after="160" w:line="276"/>
      </w:pPr>
      <w:r>
        <w:rPr>
          <w:rFonts w:ascii="Calibri" w:cs="Calibri" w:eastAsia="Calibri" w:hAnsi="Calibri"/>
          <w:b/>
          <w:bCs/>
          <w:color w:val="222222"/>
          <w:sz w:val="21"/>
          <w:szCs w:val="21"/>
        </w:rPr>
        <w:t xml:space="preserve">What this document covers. </w:t>
      </w:r>
      <w:r>
        <w:rPr>
          <w:rFonts w:ascii="Calibri" w:cs="Calibri" w:eastAsia="Calibri" w:hAnsi="Calibri"/>
          <w:color w:val="222222"/>
          <w:sz w:val="21"/>
          <w:szCs w:val="21"/>
        </w:rPr>
        <w:t xml:space="preserve">This is a working consolidation of the AI agent architecture for the AI Execution Layer — how the Journey Engine invokes agents, which journey steps need a model versus plain code, how data access is governed per acting identity, how the system scales across pilot/growth/enterprise, what it costs, and where the open gaps still are. It is written to sit alongside, not replace, the existing </w:t>
      </w:r>
    </w:p>
    <w:p>
      <w:pPr>
        <w:spacing w:after="160" w:line="276"/>
      </w:pPr>
      <w:r>
        <w:rPr>
          <w:rFonts w:ascii="Calibri" w:cs="Calibri" w:eastAsia="Calibri" w:hAnsi="Calibri"/>
          <w:color w:val="222222"/>
          <w:sz w:val="21"/>
          <w:szCs w:val="21"/>
        </w:rPr>
        <w:t xml:space="preserve">AI Execution Layer — End-to-End Architecture v1.0</w:t>
      </w:r>
      <w:r>
        <w:rPr>
          <w:rFonts w:ascii="Calibri" w:cs="Calibri" w:eastAsia="Calibri" w:hAnsi="Calibri"/>
          <w:color w:val="222222"/>
          <w:sz w:val="21"/>
          <w:szCs w:val="21"/>
        </w:rPr>
        <w:t xml:space="preserve"> and </w:t>
      </w:r>
      <w:r>
        <w:rPr>
          <w:rFonts w:ascii="Calibri" w:cs="Calibri" w:eastAsia="Calibri" w:hAnsi="Calibri"/>
          <w:color w:val="222222"/>
          <w:sz w:val="21"/>
          <w:szCs w:val="21"/>
        </w:rPr>
        <w:t xml:space="preserve">AI Execution Product Thinking v3.0</w:t>
      </w:r>
      <w:r>
        <w:rPr>
          <w:rFonts w:ascii="Calibri" w:cs="Calibri" w:eastAsia="Calibri" w:hAnsi="Calibri"/>
          <w:color w:val="222222"/>
          <w:sz w:val="21"/>
          <w:szCs w:val="21"/>
        </w:rPr>
        <w:t xml:space="preserve"> documents — this one goes one level deeper on the agent and model layer specifically.</w:t>
      </w:r>
    </w:p>
    <w:p>
      <w:pPr>
        <w:pStyle w:val="Heading2"/>
        <w:spacing w:after="140" w:before="320"/>
      </w:pPr>
      <w:r>
        <w:rPr>
          <w:rFonts w:ascii="Calibri" w:cs="Calibri" w:eastAsia="Calibri" w:hAnsi="Calibri"/>
          <w:b/>
          <w:bCs/>
          <w:color w:val="0F6B5C"/>
          <w:sz w:val="24"/>
          <w:szCs w:val="24"/>
        </w:rPr>
        <w:t xml:space="preserve">Key conclusions</w:t>
      </w:r>
    </w:p>
    <w:p>
      <w:pPr>
        <w:pStyle w:val="ListParagraph"/>
        <w:numPr>
          <w:ilvl w:val="0"/>
          <w:numId w:val="2"/>
        </w:numPr>
        <w:spacing w:after="90" w:line="270"/>
      </w:pPr>
      <w:r>
        <w:rPr>
          <w:rFonts w:ascii="Calibri" w:cs="Calibri" w:eastAsia="Calibri" w:hAnsi="Calibri"/>
          <w:color w:val="222222"/>
          <w:sz w:val="21"/>
          <w:szCs w:val="21"/>
        </w:rPr>
        <w:t xml:space="preserve">Across all nine journeys in the catalog (three active, six planned), only a handful of agents genuinely need an LLM call. The rest — template merges, completeness checks, data syncs, storage writes — are deterministic code.</w:t>
      </w:r>
    </w:p>
    <w:p>
      <w:pPr>
        <w:pStyle w:val="ListParagraph"/>
        <w:numPr>
          <w:ilvl w:val="0"/>
          <w:numId w:val="2"/>
        </w:numPr>
        <w:spacing w:after="90" w:line="270"/>
      </w:pPr>
      <w:r>
        <w:rPr>
          <w:rFonts w:ascii="Calibri" w:cs="Calibri" w:eastAsia="Calibri" w:hAnsi="Calibri"/>
          <w:color w:val="222222"/>
          <w:sz w:val="21"/>
          <w:szCs w:val="21"/>
        </w:rPr>
        <w:t xml:space="preserve">The three confirmed model-needing agents in the active journeys are AI Prompt Parser, AI Payroll Engine, and AI Leave Policy Engine. AI Contract Assistant was originally assumed to need a premium model for drafting; it does not, once proposal generation was confirmed to be template-based fetch-and-fill.</w:t>
      </w:r>
    </w:p>
    <w:p>
      <w:pPr>
        <w:pStyle w:val="ListParagraph"/>
        <w:numPr>
          <w:ilvl w:val="0"/>
          <w:numId w:val="2"/>
        </w:numPr>
        <w:spacing w:after="90" w:line="270"/>
      </w:pPr>
      <w:r>
        <w:rPr>
          <w:rFonts w:ascii="Calibri" w:cs="Calibri" w:eastAsia="Calibri" w:hAnsi="Calibri"/>
          <w:color w:val="222222"/>
          <w:sz w:val="21"/>
          <w:szCs w:val="21"/>
        </w:rPr>
        <w:t xml:space="preserve">Claude Haiku 4.5 is the right default model for every agent that does need one, across pilot, growth, and enterprise scale alike. No agent in the current catalog has a confirmed need for a premium-tier model (Claude Sonnet 5, Opus 4.8, or Fable 5).</w:t>
      </w:r>
    </w:p>
    <w:p>
      <w:pPr>
        <w:pStyle w:val="ListParagraph"/>
        <w:numPr>
          <w:ilvl w:val="0"/>
          <w:numId w:val="2"/>
        </w:numPr>
        <w:spacing w:after="90" w:line="270"/>
      </w:pPr>
      <w:r>
        <w:rPr>
          <w:rFonts w:ascii="Calibri" w:cs="Calibri" w:eastAsia="Calibri" w:hAnsi="Calibri"/>
          <w:color w:val="222222"/>
          <w:sz w:val="21"/>
          <w:szCs w:val="21"/>
        </w:rPr>
        <w:t xml:space="preserve">Total AI model spend stays under roughly $650/month even at enterprise scale (150,000 employees, all nine journeys active). The AI token bill was never the cost risk in this system.</w:t>
      </w:r>
    </w:p>
    <w:p>
      <w:pPr>
        <w:pStyle w:val="ListParagraph"/>
        <w:numPr>
          <w:ilvl w:val="0"/>
          <w:numId w:val="2"/>
        </w:numPr>
        <w:spacing w:after="90" w:line="270"/>
      </w:pPr>
      <w:r>
        <w:rPr>
          <w:rFonts w:ascii="Calibri" w:cs="Calibri" w:eastAsia="Calibri" w:hAnsi="Calibri"/>
          <w:color w:val="222222"/>
          <w:sz w:val="21"/>
          <w:szCs w:val="21"/>
        </w:rPr>
        <w:t xml:space="preserve">The larger, real cost risk is on the customer's side: SAP Digital Access document licensing, which scales with every write-back your agents trigger and must be surfaced proactively in SAP-connected deals, especially for Procure-to-Pay and Finance-to-Accounts, which touch SAP's heaviest-weighted document categories.</w:t>
      </w:r>
    </w:p>
    <w:p>
      <w:pPr>
        <w:pStyle w:val="ListParagraph"/>
        <w:numPr>
          <w:ilvl w:val="0"/>
          <w:numId w:val="2"/>
        </w:numPr>
        <w:spacing w:after="90" w:line="270"/>
      </w:pPr>
      <w:r>
        <w:rPr>
          <w:rFonts w:ascii="Calibri" w:cs="Calibri" w:eastAsia="Calibri" w:hAnsi="Calibri"/>
          <w:color w:val="222222"/>
          <w:sz w:val="21"/>
          <w:szCs w:val="21"/>
        </w:rPr>
        <w:t xml:space="preserve">Governance and orchestration follow one governing rule throughout: the model proposes, deterministic code and a human, where required, decide. No agent ever decides its own oversight — guardrail routing, retries, and access control are always evaluated in code against a rule or a threshold, never delegated to model judgment.</w:t>
      </w:r>
    </w:p>
    <w:p>
      <w:pPr>
        <w:sectPr>
          <w:headerReference w:type="default" r:id="rId9"/>
          <w:footerReference w:type="default" r:id="rId10"/>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2. Journey Engine — Orchestration Architecture</w:t>
      </w:r>
    </w:p>
    <w:p>
      <w:pPr>
        <w:spacing w:after="160" w:line="276"/>
      </w:pPr>
      <w:r>
        <w:rPr>
          <w:rFonts w:ascii="Calibri" w:cs="Calibri" w:eastAsia="Calibri" w:hAnsi="Calibri"/>
          <w:b/>
          <w:bCs/>
          <w:color w:val="222222"/>
          <w:sz w:val="21"/>
          <w:szCs w:val="21"/>
        </w:rPr>
        <w:t xml:space="preserve">Decision (confirmed): </w:t>
      </w:r>
      <w:r>
        <w:rPr>
          <w:rFonts w:ascii="Calibri" w:cs="Calibri" w:eastAsia="Calibri" w:hAnsi="Calibri"/>
          <w:color w:val="222222"/>
          <w:sz w:val="21"/>
          <w:szCs w:val="21"/>
        </w:rPr>
        <w:t xml:space="preserve">the Journey Engine is a deterministic state machine — not an LLM — and it lives inside the AI Execution Layer itself, not as a separate orchestration service (e.g. Temporal).</w:t>
      </w:r>
    </w:p>
    <w:p>
      <w:pPr>
        <w:pStyle w:val="Heading2"/>
        <w:spacing w:after="140" w:before="320"/>
      </w:pPr>
      <w:r>
        <w:rPr>
          <w:rFonts w:ascii="Calibri" w:cs="Calibri" w:eastAsia="Calibri" w:hAnsi="Calibri"/>
          <w:b/>
          <w:bCs/>
          <w:color w:val="0F6B5C"/>
          <w:sz w:val="24"/>
          <w:szCs w:val="24"/>
        </w:rPr>
        <w:t xml:space="preserve">Why not let agents watch the journey and self-trigger</w:t>
      </w:r>
    </w:p>
    <w:p>
      <w:pPr>
        <w:spacing w:after="160" w:line="276"/>
      </w:pPr>
      <w:r>
        <w:rPr>
          <w:rFonts w:ascii="Calibri" w:cs="Calibri" w:eastAsia="Calibri" w:hAnsi="Calibri"/>
          <w:color w:val="222222"/>
          <w:sz w:val="21"/>
          <w:szCs w:val="21"/>
        </w:rPr>
        <w:t xml:space="preserve">If agents poll or watch shared journey state to decide when to act, the system ends up with many independent processes racing against shared state — a real risk the moment two agents' guardrails touch the same record (for example, the Payroll Engine and the Leave Policy Engine both touching the same employee). Instead, the Journey Engine owns the step sequence and invokes the assigned agent when it is that step's turn. Agents are stateless: called, reasoned, returned a structured tool call, done. They never watch anything and never call an external API directly.</w:t>
      </w:r>
    </w:p>
    <w:p>
      <w:pPr>
        <w:pStyle w:val="Heading2"/>
        <w:spacing w:after="140" w:before="320"/>
      </w:pPr>
      <w:r>
        <w:rPr>
          <w:rFonts w:ascii="Calibri" w:cs="Calibri" w:eastAsia="Calibri" w:hAnsi="Calibri"/>
          <w:b/>
          <w:bCs/>
          <w:color w:val="0F6B5C"/>
          <w:sz w:val="24"/>
          <w:szCs w:val="24"/>
        </w:rPr>
        <w:t xml:space="preserve">The per-step loop</w:t>
      </w:r>
    </w:p>
    <w:p>
      <w:pPr>
        <w:spacing w:after="160" w:line="276"/>
      </w:pPr>
      <w:r>
        <w:rPr>
          <w:rFonts w:ascii="Calibri" w:cs="Calibri" w:eastAsia="Calibri" w:hAnsi="Calibri"/>
          <w:color w:val="222222"/>
          <w:sz w:val="21"/>
          <w:szCs w:val="21"/>
        </w:rPr>
        <w:t xml:space="preserve">Every step, whether it runs an agent or plain code, follows the same sequence:</w:t>
      </w:r>
    </w:p>
    <w:p>
      <w:pPr>
        <w:pStyle w:val="ListParagraph"/>
        <w:numPr>
          <w:ilvl w:val="0"/>
          <w:numId w:val="2"/>
        </w:numPr>
        <w:spacing w:after="90" w:line="270"/>
      </w:pPr>
      <w:r>
        <w:rPr>
          <w:rFonts w:ascii="Calibri" w:cs="Calibri" w:eastAsia="Calibri" w:hAnsi="Calibri"/>
          <w:color w:val="222222"/>
          <w:sz w:val="21"/>
          <w:szCs w:val="21"/>
        </w:rPr>
        <w:t xml:space="preserve">Journey Engine reaches Step N and looks up the actor type and, if applicable, the assigned agent and its skill.md contract.</w:t>
      </w:r>
    </w:p>
    <w:p>
      <w:pPr>
        <w:pStyle w:val="ListParagraph"/>
        <w:numPr>
          <w:ilvl w:val="0"/>
          <w:numId w:val="2"/>
        </w:numPr>
        <w:spacing w:after="90" w:line="270"/>
      </w:pPr>
      <w:r>
        <w:rPr>
          <w:rFonts w:ascii="Calibri" w:cs="Calibri" w:eastAsia="Calibri" w:hAnsi="Calibri"/>
          <w:color w:val="222222"/>
          <w:sz w:val="21"/>
          <w:szCs w:val="21"/>
        </w:rPr>
        <w:t xml:space="preserve">Load Journey Context — the Journey ID's timeline plus exactly the Input Fields that step's skill.md declares, assembled from the Data Foundation.</w:t>
      </w:r>
    </w:p>
    <w:p>
      <w:pPr>
        <w:pStyle w:val="ListParagraph"/>
        <w:numPr>
          <w:ilvl w:val="0"/>
          <w:numId w:val="2"/>
        </w:numPr>
        <w:spacing w:after="90" w:line="270"/>
      </w:pPr>
      <w:r>
        <w:rPr>
          <w:rFonts w:ascii="Calibri" w:cs="Calibri" w:eastAsia="Calibri" w:hAnsi="Calibri"/>
          <w:color w:val="222222"/>
          <w:sz w:val="21"/>
          <w:szCs w:val="21"/>
        </w:rPr>
        <w:t xml:space="preserve">If the step needs an agent: the model reasons over that context and returns a structured tool call — a proposal, not an executed action.</w:t>
      </w:r>
    </w:p>
    <w:p>
      <w:pPr>
        <w:pStyle w:val="ListParagraph"/>
        <w:numPr>
          <w:ilvl w:val="0"/>
          <w:numId w:val="2"/>
        </w:numPr>
        <w:spacing w:after="90" w:line="270"/>
      </w:pPr>
      <w:r>
        <w:rPr>
          <w:rFonts w:ascii="Calibri" w:cs="Calibri" w:eastAsia="Calibri" w:hAnsi="Calibri"/>
          <w:color w:val="222222"/>
          <w:sz w:val="21"/>
          <w:szCs w:val="21"/>
        </w:rPr>
        <w:t xml:space="preserve">Validate Output — deterministic code checks the proposal (or, for code-only steps, the fetched data) against schema and business rules from skill.md's Validation field.</w:t>
      </w:r>
    </w:p>
    <w:p>
      <w:pPr>
        <w:pStyle w:val="ListParagraph"/>
        <w:numPr>
          <w:ilvl w:val="0"/>
          <w:numId w:val="2"/>
        </w:numPr>
        <w:spacing w:after="90" w:line="270"/>
      </w:pPr>
      <w:r>
        <w:rPr>
          <w:rFonts w:ascii="Calibri" w:cs="Calibri" w:eastAsia="Calibri" w:hAnsi="Calibri"/>
          <w:color w:val="222222"/>
          <w:sz w:val="21"/>
          <w:szCs w:val="21"/>
        </w:rPr>
        <w:t xml:space="preserve">Governance Gate — RBAC and guardrail-threshold checks. Within-guardrail proceeds automatically; a breach routes to the Action Inbox for human approval.</w:t>
      </w:r>
    </w:p>
    <w:p>
      <w:pPr>
        <w:pStyle w:val="ListParagraph"/>
        <w:numPr>
          <w:ilvl w:val="0"/>
          <w:numId w:val="2"/>
        </w:numPr>
        <w:spacing w:after="90" w:line="270"/>
      </w:pPr>
      <w:r>
        <w:rPr>
          <w:rFonts w:ascii="Calibri" w:cs="Calibri" w:eastAsia="Calibri" w:hAnsi="Calibri"/>
          <w:color w:val="222222"/>
          <w:sz w:val="21"/>
          <w:szCs w:val="21"/>
        </w:rPr>
        <w:t xml:space="preserve">Connector Executes — plain code calls the real external API (SAP, ADT, Docuseal, RBL) with the approved action. No model is ever in this path.</w:t>
      </w:r>
    </w:p>
    <w:p>
      <w:pPr>
        <w:pStyle w:val="ListParagraph"/>
        <w:numPr>
          <w:ilvl w:val="0"/>
          <w:numId w:val="2"/>
        </w:numPr>
        <w:spacing w:after="90" w:line="270"/>
      </w:pPr>
      <w:r>
        <w:rPr>
          <w:rFonts w:ascii="Calibri" w:cs="Calibri" w:eastAsia="Calibri" w:hAnsi="Calibri"/>
          <w:color w:val="222222"/>
          <w:sz w:val="21"/>
          <w:szCs w:val="21"/>
        </w:rPr>
        <w:t xml:space="preserve">Audit + Journey Timeline — the action, its inputs, and the decision are logged against the Journey ID.</w:t>
      </w:r>
    </w:p>
    <w:p>
      <w:pPr>
        <w:pStyle w:val="ListParagraph"/>
        <w:numPr>
          <w:ilvl w:val="0"/>
          <w:numId w:val="2"/>
        </w:numPr>
        <w:spacing w:after="90" w:line="270"/>
      </w:pPr>
      <w:r>
        <w:rPr>
          <w:rFonts w:ascii="Calibri" w:cs="Calibri" w:eastAsia="Calibri" w:hAnsi="Calibri"/>
          <w:color w:val="222222"/>
          <w:sz w:val="21"/>
          <w:szCs w:val="21"/>
        </w:rPr>
        <w:t xml:space="preserve">Journey Engine advances to the next step per skill.md.</w:t>
      </w:r>
    </w:p>
    <w:p>
      <w:pPr>
        <w:spacing w:after="160" w:line="276"/>
      </w:pPr>
      <w:r>
        <w:rPr>
          <w:rFonts w:ascii="Calibri" w:cs="Calibri" w:eastAsia="Calibri" w:hAnsi="Calibri"/>
          <w:color w:val="222222"/>
          <w:sz w:val="21"/>
          <w:szCs w:val="21"/>
        </w:rPr>
        <w:t xml:space="preserve">A validation failure or a rejected escalation both drop into the same Exception / Create Ticket path already defined in the product design — AI-prefilled, journey paused, routed to the role that owns the step.</w:t>
      </w:r>
    </w:p>
    <w:p>
      <w:pPr>
        <w:pStyle w:val="Heading2"/>
        <w:spacing w:after="140" w:before="320"/>
      </w:pPr>
      <w:r>
        <w:rPr>
          <w:rFonts w:ascii="Calibri" w:cs="Calibri" w:eastAsia="Calibri" w:hAnsi="Calibri"/>
          <w:b/>
          <w:bCs/>
          <w:color w:val="0F6B5C"/>
          <w:sz w:val="24"/>
          <w:szCs w:val="24"/>
        </w:rPr>
        <w:t xml:space="preserve">What this decision commits the team to</w:t>
      </w:r>
    </w:p>
    <w:p>
      <w:pPr>
        <w:spacing w:after="160" w:line="276"/>
      </w:pPr>
      <w:r>
        <w:rPr>
          <w:rFonts w:ascii="Calibri" w:cs="Calibri" w:eastAsia="Calibri" w:hAnsi="Calibri"/>
          <w:color w:val="222222"/>
          <w:sz w:val="21"/>
          <w:szCs w:val="21"/>
        </w:rPr>
        <w:t xml:space="preserve">Keeping the Journey Engine in-layer (versus a durable-execution framework like Temporal) is consistent with the “lighter, sovereign” positioning already stated in the architecture PDF — no third-party runtime dependency. It also means retries, timeouts, and dead-letter handling are not inherited for free and have to be built deliberately (see Section 7).</w:t>
      </w:r>
    </w:p>
    <w:p>
      <w:pPr>
        <w:sectPr>
          <w:headerReference w:type="default" r:id="rId11"/>
          <w:footerReference w:type="default" r:id="rId12"/>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3. The Agent-vs-Code Test</w:t>
      </w:r>
    </w:p>
    <w:tbl>
      <w:tblPr>
        <w:tblW w:type="pct" w:w="100%"/>
        <w:tblBorders>
          <w:top w:val="none"/>
          <w:left w:val="single" w:color="1F3864" w:sz="18"/>
          <w:bottom w:val="none"/>
          <w:right w:val="none"/>
          <w:insideH w:val="none"/>
          <w:insideV w:val="none"/>
        </w:tblBorders>
      </w:tblPr>
      <w:tblGrid>
        <w:gridCol w:w="100"/>
      </w:tblGrid>
      <w:tr>
        <w:tc>
          <w:tcPr>
            <w:shd w:fill="FCE9D8"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THE TEST</w:t>
            </w:r>
          </w:p>
          <w:p>
            <w:r>
              <w:rPr>
                <w:rFonts w:ascii="Calibri" w:cs="Calibri" w:eastAsia="Calibri" w:hAnsi="Calibri"/>
                <w:color w:val="222222"/>
                <w:sz w:val="20"/>
                <w:szCs w:val="20"/>
              </w:rPr>
              <w:t xml:space="preserve">For every step in the catalog, ask: is the input already clean and structured, or does it require interpreting something loose or unstructured? Only the second case needs a model call. The first is deterministic code — a decision table, a completeness check, or a template-merge engine — wearing an “AI Agent” label.</w:t>
            </w:r>
          </w:p>
        </w:tc>
      </w:tr>
    </w:tbl>
    <w:p>
      <w:pPr>
        <w:spacing w:after="160" w:line="276"/>
      </w:pPr>
      <w:r>
        <w:rPr>
          <w:rFonts w:ascii="Calibri" w:cs="Calibri" w:eastAsia="Calibri" w:hAnsi="Calibri"/>
          <w:color w:val="222222"/>
          <w:sz w:val="21"/>
          <w:szCs w:val="21"/>
        </w:rPr>
        <w:t xml:space="preserve"/>
      </w:r>
    </w:p>
    <w:p>
      <w:pPr>
        <w:spacing w:after="160" w:line="276"/>
      </w:pPr>
      <w:r>
        <w:rPr>
          <w:rFonts w:ascii="Calibri" w:cs="Calibri" w:eastAsia="Calibri" w:hAnsi="Calibri"/>
          <w:color w:val="222222"/>
          <w:sz w:val="21"/>
          <w:szCs w:val="21"/>
        </w:rPr>
        <w:t xml:space="preserve">This test came directly out of reviewing the Contract Creation journey's Proposal Generation step. It was originally assumed to need a premium generative model, on the theory that it was drafting free-form commercial content. Once it was confirmed that proposal generation works from a fixed set of templates, selected via clean structured fields (contract type, country, employment type) that the Prompt Parser has already extracted, the step collapsed to a deterministic decision table plus a template-merge — no model call needed at all.</w:t>
      </w:r>
    </w:p>
    <w:p>
      <w:pPr>
        <w:pStyle w:val="Heading2"/>
        <w:spacing w:after="140" w:before="320"/>
      </w:pPr>
      <w:r>
        <w:rPr>
          <w:rFonts w:ascii="Calibri" w:cs="Calibri" w:eastAsia="Calibri" w:hAnsi="Calibri"/>
          <w:b/>
          <w:bCs/>
          <w:color w:val="0F6B5C"/>
          <w:sz w:val="24"/>
          <w:szCs w:val="24"/>
        </w:rPr>
        <w:t xml:space="preserve">Where the real intelligence concentrates</w:t>
      </w:r>
    </w:p>
    <w:p>
      <w:pPr>
        <w:spacing w:after="160" w:line="276"/>
      </w:pPr>
      <w:r>
        <w:rPr>
          <w:rFonts w:ascii="Calibri" w:cs="Calibri" w:eastAsia="Calibri" w:hAnsi="Calibri"/>
          <w:color w:val="222222"/>
          <w:sz w:val="21"/>
          <w:szCs w:val="21"/>
        </w:rPr>
        <w:t xml:space="preserve">Applying this test consistently across the catalog shows that interpretation work concentrates at a small number of points, and everything downstream of them consumes already-clean data:</w:t>
      </w:r>
    </w:p>
    <w:p>
      <w:pPr>
        <w:pStyle w:val="ListParagraph"/>
        <w:numPr>
          <w:ilvl w:val="0"/>
          <w:numId w:val="2"/>
        </w:numPr>
        <w:spacing w:after="90" w:line="270"/>
      </w:pPr>
      <w:r>
        <w:rPr>
          <w:rFonts w:ascii="Calibri" w:cs="Calibri" w:eastAsia="Calibri" w:hAnsi="Calibri"/>
          <w:color w:val="222222"/>
          <w:sz w:val="21"/>
          <w:szCs w:val="21"/>
        </w:rPr>
        <w:t xml:space="preserve">AI Prompt Parser — turns a free-text prompt or deal description into structured fields. This is where genuine interpretation happens, once, per journey run. Every later step consumes its clean output.</w:t>
      </w:r>
    </w:p>
    <w:p>
      <w:pPr>
        <w:pStyle w:val="ListParagraph"/>
        <w:numPr>
          <w:ilvl w:val="0"/>
          <w:numId w:val="2"/>
        </w:numPr>
        <w:spacing w:after="90" w:line="270"/>
      </w:pPr>
      <w:r>
        <w:rPr>
          <w:rFonts w:ascii="Calibri" w:cs="Calibri" w:eastAsia="Calibri" w:hAnsi="Calibri"/>
          <w:color w:val="222222"/>
          <w:sz w:val="21"/>
          <w:szCs w:val="21"/>
        </w:rPr>
        <w:t xml:space="preserve">AI Payroll Engine — applies rate rules and evaluates for anomalies. The arithmetic itself is deterministic; the judgment is in resolving which rule applies and flagging anything that does not fit a known pattern.</w:t>
      </w:r>
    </w:p>
    <w:p>
      <w:pPr>
        <w:pStyle w:val="ListParagraph"/>
        <w:numPr>
          <w:ilvl w:val="0"/>
          <w:numId w:val="2"/>
        </w:numPr>
        <w:spacing w:after="90" w:line="270"/>
      </w:pPr>
      <w:r>
        <w:rPr>
          <w:rFonts w:ascii="Calibri" w:cs="Calibri" w:eastAsia="Calibri" w:hAnsi="Calibri"/>
          <w:color w:val="222222"/>
          <w:sz w:val="21"/>
          <w:szCs w:val="21"/>
        </w:rPr>
        <w:t xml:space="preserve">AI Leave Policy Engine — matches a country to a policy where no clean one-to-one mapping exists; genuine retrieval and deviation judgment.</w:t>
      </w:r>
    </w:p>
    <w:p>
      <w:pPr>
        <w:pStyle w:val="ListParagraph"/>
        <w:numPr>
          <w:ilvl w:val="0"/>
          <w:numId w:val="2"/>
        </w:numPr>
        <w:spacing w:after="90" w:line="270"/>
      </w:pPr>
      <w:r>
        <w:rPr>
          <w:rFonts w:ascii="Calibri" w:cs="Calibri" w:eastAsia="Calibri" w:hAnsi="Calibri"/>
          <w:color w:val="222222"/>
          <w:sz w:val="21"/>
          <w:szCs w:val="21"/>
        </w:rPr>
        <w:t xml:space="preserve">Any step handling unstructured source documents — scanned receipts, passport or permit scans, PDF vendor invoices — needs a model for the extraction step specifically, even if everything downstream of that extraction is deterministic.</w:t>
      </w:r>
    </w:p>
    <w:p>
      <w:pPr>
        <w:pStyle w:val="Heading2"/>
        <w:spacing w:after="140" w:before="320"/>
      </w:pPr>
      <w:r>
        <w:rPr>
          <w:rFonts w:ascii="Calibri" w:cs="Calibri" w:eastAsia="Calibri" w:hAnsi="Calibri"/>
          <w:b/>
          <w:bCs/>
          <w:color w:val="0F6B5C"/>
          <w:sz w:val="24"/>
          <w:szCs w:val="24"/>
        </w:rPr>
        <w:t xml:space="preserve">The guardrail corollary</w:t>
      </w:r>
    </w:p>
    <w:p>
      <w:pPr>
        <w:spacing w:after="160" w:line="276"/>
      </w:pPr>
      <w:r>
        <w:rPr>
          <w:rFonts w:ascii="Calibri" w:cs="Calibri" w:eastAsia="Calibri" w:hAnsi="Calibri"/>
          <w:color w:val="222222"/>
          <w:sz w:val="21"/>
          <w:szCs w:val="21"/>
        </w:rPr>
        <w:t xml:space="preserve">An agent or a code path never decides whether a human needs to look at something. That routing decision — auto-proceed versus escalate — is always deterministic code, evaluating either a numeric threshold (Payroll Engine's guardrail check) or a confidence signal the agent produced (Leave Policy Engine's match confidence). The model's role, when there is one, stops at producing a proposal or a judgment signal; it never gets to decide its own oversight.</w:t>
      </w:r>
    </w:p>
    <w:p>
      <w:pPr>
        <w:sectPr>
          <w:headerReference w:type="default" r:id="rId13"/>
          <w:footerReference w:type="default" r:id="rId14"/>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4. Per-Journey Step Classification</w:t>
      </w:r>
    </w:p>
    <w:p>
      <w:pPr>
        <w:spacing w:after="160" w:line="276"/>
      </w:pPr>
      <w:r>
        <w:rPr>
          <w:rFonts w:ascii="Calibri" w:cs="Calibri" w:eastAsia="Calibri" w:hAnsi="Calibri"/>
          <w:color w:val="222222"/>
          <w:sz w:val="21"/>
          <w:szCs w:val="21"/>
        </w:rPr>
        <w:t xml:space="preserve">The full step-by-step application of the Agent-vs-Code Test to all three active journeys. This is the definitive reference for what to build as an agent versus what to build as plain automation.</w:t>
      </w:r>
    </w:p>
    <w:p>
      <w:pPr>
        <w:pStyle w:val="Heading2"/>
        <w:spacing w:after="140" w:before="320"/>
      </w:pPr>
      <w:r>
        <w:rPr>
          <w:rFonts w:ascii="Calibri" w:cs="Calibri" w:eastAsia="Calibri" w:hAnsi="Calibri"/>
          <w:b/>
          <w:bCs/>
          <w:color w:val="0F6B5C"/>
          <w:sz w:val="24"/>
          <w:szCs w:val="24"/>
        </w:rPr>
        <w:t xml:space="preserve">4.1 Contract Creation (O2C)</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2100"/>
        <w:gridCol w:w="1500"/>
        <w:gridCol w:w="2500"/>
        <w:gridCol w:w="3080"/>
      </w:tblGrid>
      <w:tr>
        <w:trPr>
          <w:tblHeader/>
        </w:trPr>
        <w:tc>
          <w:tcPr>
            <w:tcW w:type="dxa" w:w="9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Step</w:t>
            </w:r>
          </w:p>
        </w:tc>
        <w:tc>
          <w:tcPr>
            <w:tcW w:type="dxa" w:w="21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Actor (per journey doc)</w:t>
            </w:r>
          </w:p>
        </w:tc>
        <w:tc>
          <w:tcPr>
            <w:tcW w:type="dxa" w:w="1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Agent or Code?</w:t>
            </w:r>
          </w:p>
        </w:tc>
        <w:tc>
          <w:tcPr>
            <w:tcW w:type="dxa" w:w="2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Guardrail</w:t>
            </w:r>
          </w:p>
        </w:tc>
        <w:tc>
          <w:tcPr>
            <w:tcW w:type="dxa" w:w="30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Note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Prompt Parser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Free-text deal/employee prompt into structured fields. Ambiguous-match exception is a code check on extraction confidence.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Contract Assistant</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Confirmed: fixed template set, clean structured selection criteria (contract type, country, employment type) → decision table + template-merge.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Journey Initiator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Next Step</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Mandatory checkpoint by design — not an automation target.</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4</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 Docuseal</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Template-merge into contract doc + Docuseal API trigger. Failure → deterministic exception/retry.</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5</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Contract Reviewer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Next Step</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Deliberate control point, same as Step 3.</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6</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Client Action (Docuseal)</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 (mechanics only)</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 then waits</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System sends request and tracks status via code. The signing act itself belongs to the client.</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7</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Onboarding Engine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Likely code — confirm</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Checklist/document-presence tracking is deterministic unless document verification classifies unstructured uploads.</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8</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Payroll Readiness Check</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Completeness check — required fields present, yes/no.</w:t>
            </w:r>
          </w:p>
        </w:tc>
      </w:tr>
    </w:tbl>
    <w:p>
      <w:pPr>
        <w:spacing w:after="240"/>
      </w:pPr>
    </w:p>
    <w:p>
      <w:pPr>
        <w:pStyle w:val="Heading2"/>
        <w:spacing w:after="140" w:before="320"/>
      </w:pPr>
      <w:r>
        <w:rPr>
          <w:rFonts w:ascii="Calibri" w:cs="Calibri" w:eastAsia="Calibri" w:hAnsi="Calibri"/>
          <w:b/>
          <w:bCs/>
          <w:color w:val="0F6B5C"/>
          <w:sz w:val="24"/>
          <w:szCs w:val="24"/>
        </w:rPr>
        <w:t xml:space="preserve">4.2 Payroll Creation (H2R)</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2100"/>
        <w:gridCol w:w="1500"/>
        <w:gridCol w:w="2500"/>
        <w:gridCol w:w="3080"/>
      </w:tblGrid>
      <w:tr>
        <w:trPr>
          <w:tblHeader/>
        </w:trPr>
        <w:tc>
          <w:tcPr>
            <w:tcW w:type="dxa" w:w="9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Step</w:t>
            </w:r>
          </w:p>
        </w:tc>
        <w:tc>
          <w:tcPr>
            <w:tcW w:type="dxa" w:w="21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Actor (per journey doc)</w:t>
            </w:r>
          </w:p>
        </w:tc>
        <w:tc>
          <w:tcPr>
            <w:tcW w:type="dxa" w:w="1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Agent or Code?</w:t>
            </w:r>
          </w:p>
        </w:tc>
        <w:tc>
          <w:tcPr>
            <w:tcW w:type="dxa" w:w="2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Guardrail</w:t>
            </w:r>
          </w:p>
        </w:tc>
        <w:tc>
          <w:tcPr>
            <w:tcW w:type="dxa" w:w="30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Note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Prompt Parser (shared)</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shared Prompt Parser used across all three active journeys — one model config, reused.</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Timesheet Sync</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Structured data sync from ADT (your own system) — no interpretation.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Payroll Engine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Code (hybrid)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Guardrail Evaluated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Model resolves which rate/rule applies and flags anomalies. Arithmetic is a deterministic function. The guardrail threshold check is code comparing the computed value to the configured limit — the model never decides whether it breached the guardrail.</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3a</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Journey Initiator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Next Step</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Routing is code (guardrail passed); the approval act is human.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3b</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Department Manager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on Deviation</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Routing is code (guardrail breached); the approval act is human.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4</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Finance Approver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Next Step, always</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Non-negotiable regardless of guardrail outcome — deliberate final control point, never an automation target.</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5</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Payslip Generator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Template-merge.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6</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Payroll Archive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Pure storage write — arguably should not be labelled an “AI” agent at all.</w:t>
            </w:r>
          </w:p>
        </w:tc>
      </w:tr>
    </w:tbl>
    <w:p>
      <w:pPr>
        <w:spacing w:after="240"/>
      </w:pPr>
    </w:p>
    <w:p>
      <w:pPr>
        <w:pStyle w:val="Heading2"/>
        <w:spacing w:after="140" w:before="320"/>
      </w:pPr>
      <w:r>
        <w:rPr>
          <w:rFonts w:ascii="Calibri" w:cs="Calibri" w:eastAsia="Calibri" w:hAnsi="Calibri"/>
          <w:b/>
          <w:bCs/>
          <w:color w:val="0F6B5C"/>
          <w:sz w:val="24"/>
          <w:szCs w:val="24"/>
        </w:rPr>
        <w:t xml:space="preserve">4.3 H2R Lifecycle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2100"/>
        <w:gridCol w:w="1500"/>
        <w:gridCol w:w="2500"/>
        <w:gridCol w:w="3080"/>
      </w:tblGrid>
      <w:tr>
        <w:trPr>
          <w:tblHeader/>
        </w:trPr>
        <w:tc>
          <w:tcPr>
            <w:tcW w:type="dxa" w:w="9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Step</w:t>
            </w:r>
          </w:p>
        </w:tc>
        <w:tc>
          <w:tcPr>
            <w:tcW w:type="dxa" w:w="21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Actor (per journey doc)</w:t>
            </w:r>
          </w:p>
        </w:tc>
        <w:tc>
          <w:tcPr>
            <w:tcW w:type="dxa" w:w="1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Agent or Code?</w:t>
            </w:r>
          </w:p>
        </w:tc>
        <w:tc>
          <w:tcPr>
            <w:tcW w:type="dxa" w:w="2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Guardrail</w:t>
            </w:r>
          </w:p>
        </w:tc>
        <w:tc>
          <w:tcPr>
            <w:tcW w:type="dxa" w:w="30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Note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Prompt Parser (shared)</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shared agent again.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Compliance Hub Sync</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Structured fetch from Compliance Hub — no interpretation.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Leave Policy Engine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on Deviation</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Genuine judgment — matching country to policy with no clean 1:1 mapping. Escalation should be code checking the model's match-confidence score against a threshold, not the model declaring itself uncertain.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4</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Department Manager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on Deviation</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Fires only when the confidence check says so; the decision itself stays human.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5</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Offboarding Engine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Likely code — confirm</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open question as Contract Creation's Onboarding step.</w:t>
            </w:r>
          </w:p>
        </w:tc>
      </w:tr>
    </w:tbl>
    <w:p>
      <w:pPr>
        <w:spacing w:after="160"/>
      </w:pPr>
    </w:p>
    <w:tbl>
      <w:tblPr>
        <w:tblW w:type="pct" w:w="100%"/>
        <w:tblBorders>
          <w:top w:val="none"/>
          <w:left w:val="single" w:color="0F6B5C" w:sz="18"/>
          <w:bottom w:val="none"/>
          <w:right w:val="none"/>
          <w:insideH w:val="none"/>
          <w:insideV w:val="none"/>
        </w:tblBorders>
      </w:tblPr>
      <w:tblGrid>
        <w:gridCol w:w="100"/>
      </w:tblGrid>
      <w:tr>
        <w:tc>
          <w:tcPr>
            <w:shd w:fill="E2F0E4"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PRINCIPLE</w:t>
            </w:r>
          </w:p>
          <w:p>
            <w:r>
              <w:rPr>
                <w:rFonts w:ascii="Calibri" w:cs="Calibri" w:eastAsia="Calibri" w:hAnsi="Calibri"/>
                <w:color w:val="222222"/>
                <w:sz w:val="20"/>
                <w:szCs w:val="20"/>
              </w:rPr>
              <w:t xml:space="preserve">Every Human Step stays a Human Step, regardless of how capable the agents get. Proposal Approved, Contract Approved, the within-guardrail and escalated approvals, Finance Sign-Off, and Deviation Approval are intentional control points, not automation backlog. What shrinks with better engineering is the code layer, not the human layer.</w:t>
            </w:r>
          </w:p>
        </w:tc>
      </w:tr>
    </w:tbl>
    <w:p>
      <w:pPr>
        <w:sectPr>
          <w:headerReference w:type="default" r:id="rId15"/>
          <w:footerReference w:type="default" r:id="rId16"/>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5. Data Governance &amp; Access Control</w:t>
      </w:r>
    </w:p>
    <w:p>
      <w:pPr>
        <w:spacing w:after="160" w:line="276"/>
      </w:pPr>
      <w:r>
        <w:rPr>
          <w:rFonts w:ascii="Calibri" w:cs="Calibri" w:eastAsia="Calibri" w:hAnsi="Calibri"/>
          <w:b/>
          <w:bCs/>
          <w:color w:val="222222"/>
          <w:sz w:val="21"/>
          <w:szCs w:val="21"/>
        </w:rPr>
        <w:t xml:space="preserve">Benchmark: </w:t>
      </w:r>
      <w:r>
        <w:rPr>
          <w:rFonts w:ascii="Calibri" w:cs="Calibri" w:eastAsia="Calibri" w:hAnsi="Calibri"/>
          <w:color w:val="222222"/>
          <w:sz w:val="21"/>
          <w:szCs w:val="21"/>
        </w:rPr>
        <w:t xml:space="preserve">modelled on how Palantir's Ontology enforces access for AIP agents — object/property-level security policies, acting-identity propagation, and per-query dynamic enforcement — but deliberately right-sized for this platform's small, fixed role taxonomy rather than ported over wholesale. Palantir's full generalized policy engine (markings, dynamic per-object policies as a standalone subsystem) is built for arbitrary, unknown org structures across every customer; this platform has five well-defined roles, so the same guarantee can be achieved far more cheaply.</w:t>
      </w:r>
    </w:p>
    <w:p>
      <w:pPr>
        <w:pStyle w:val="Heading2"/>
        <w:spacing w:after="140" w:before="320"/>
      </w:pPr>
      <w:r>
        <w:rPr>
          <w:rFonts w:ascii="Calibri" w:cs="Calibri" w:eastAsia="Calibri" w:hAnsi="Calibri"/>
          <w:b/>
          <w:bCs/>
          <w:color w:val="0F6B5C"/>
          <w:sz w:val="24"/>
          <w:szCs w:val="24"/>
        </w:rPr>
        <w:t xml:space="preserve">5.1 Acting identity</w:t>
      </w:r>
    </w:p>
    <w:p>
      <w:pPr>
        <w:spacing w:after="160" w:line="276"/>
      </w:pPr>
      <w:r>
        <w:rPr>
          <w:rFonts w:ascii="Calibri" w:cs="Calibri" w:eastAsia="Calibri" w:hAnsi="Calibri"/>
          <w:color w:val="222222"/>
          <w:sz w:val="21"/>
          <w:szCs w:val="21"/>
        </w:rPr>
        <w:t xml:space="preserve">Decision (confirmed): each journey type gets a dedicated service identity (e.g. payroll-engine-svc, contract-assistant-svc, leave-policy-svc), scoped to exactly the object types, rows, and fields that journey needs. This identity is set in every query's session context. Every audit log entry still records two things: which service identity ran the query, and which human/role owns the journey run it belongs to — service identity is not a substitute for human accountability.</w:t>
      </w:r>
    </w:p>
    <w:p>
      <w:pPr>
        <w:pStyle w:val="Heading2"/>
        <w:spacing w:after="140" w:before="320"/>
      </w:pPr>
      <w:r>
        <w:rPr>
          <w:rFonts w:ascii="Calibri" w:cs="Calibri" w:eastAsia="Calibri" w:hAnsi="Calibri"/>
          <w:b/>
          <w:bCs/>
          <w:color w:val="0F6B5C"/>
          <w:sz w:val="24"/>
          <w:szCs w:val="24"/>
        </w:rPr>
        <w:t xml:space="preserve">5.2 Clearance tiers</w:t>
      </w:r>
    </w:p>
    <w:p>
      <w:pPr>
        <w:spacing w:after="160" w:line="276"/>
      </w:pPr>
      <w:r>
        <w:rPr>
          <w:rFonts w:ascii="Calibri" w:cs="Calibri" w:eastAsia="Calibri" w:hAnsi="Calibri"/>
          <w:color w:val="222222"/>
          <w:sz w:val="21"/>
          <w:szCs w:val="21"/>
        </w:rPr>
        <w:t xml:space="preserve">Decision (confirmed): reuse the existing role ladder — Journey Initiator &lt; Department Manager &lt; Finance Approver &lt; Entity Admin. Every sensitive field (bank details, wage amount, compliance/immigration documents) is tagged with the minimum tier required to see it. A service identity's grant is capped at the clearance level of whichever human role normally owns that step.</w:t>
      </w:r>
    </w:p>
    <w:p>
      <w:pPr>
        <w:pStyle w:val="Heading2"/>
        <w:spacing w:after="140" w:before="320"/>
      </w:pPr>
      <w:r>
        <w:rPr>
          <w:rFonts w:ascii="Calibri" w:cs="Calibri" w:eastAsia="Calibri" w:hAnsi="Calibri"/>
          <w:b/>
          <w:bCs/>
          <w:color w:val="0F6B5C"/>
          <w:sz w:val="24"/>
          <w:szCs w:val="24"/>
        </w:rPr>
        <w:t xml:space="preserve">5.3 Policy ownership</w:t>
      </w:r>
    </w:p>
    <w:p>
      <w:pPr>
        <w:spacing w:after="160" w:line="276"/>
      </w:pPr>
      <w:r>
        <w:rPr>
          <w:rFonts w:ascii="Calibri" w:cs="Calibri" w:eastAsia="Calibri" w:hAnsi="Calibri"/>
          <w:color w:val="222222"/>
          <w:sz w:val="21"/>
          <w:szCs w:val="21"/>
        </w:rPr>
        <w:t xml:space="preserve">Decision (confirmed): Super Admin sets the platform-default grant list per service identity per object type; Entity Admin can tighten it per company, never loosen it — identical to the existing guardrail-threshold override pattern.</w:t>
      </w:r>
    </w:p>
    <w:p>
      <w:pPr>
        <w:pStyle w:val="Heading2"/>
        <w:spacing w:after="140" w:before="320"/>
      </w:pPr>
      <w:r>
        <w:rPr>
          <w:rFonts w:ascii="Calibri" w:cs="Calibri" w:eastAsia="Calibri" w:hAnsi="Calibri"/>
          <w:b/>
          <w:bCs/>
          <w:color w:val="0F6B5C"/>
          <w:sz w:val="24"/>
          <w:szCs w:val="24"/>
        </w:rPr>
        <w:t xml:space="preserve">5.4 On denial</w:t>
      </w:r>
    </w:p>
    <w:p>
      <w:pPr>
        <w:spacing w:after="160" w:line="276"/>
      </w:pPr>
      <w:r>
        <w:rPr>
          <w:rFonts w:ascii="Calibri" w:cs="Calibri" w:eastAsia="Calibri" w:hAnsi="Calibri"/>
          <w:color w:val="222222"/>
          <w:sz w:val="21"/>
          <w:szCs w:val="21"/>
        </w:rPr>
        <w:t xml:space="preserve">Decision (confirmed): any out-of-scope field or row access blocks the query and raises an Exception through the existing skill.md Failure Behavior path — same Create Ticket / AI-prefill flow as any other validation failure. Practical consequence: there is no soft landing, so every service identity's grant list must be scoped generously and correctly before go-live — start from exactly the fields each skill.md already declares as Input Fields, then tighten later only if an audit shows a field is never used, not the reverse.</w:t>
      </w:r>
    </w:p>
    <w:p>
      <w:pPr>
        <w:pStyle w:val="Heading2"/>
        <w:spacing w:after="140" w:before="320"/>
      </w:pPr>
      <w:r>
        <w:rPr>
          <w:rFonts w:ascii="Calibri" w:cs="Calibri" w:eastAsia="Calibri" w:hAnsi="Calibri"/>
          <w:b/>
          <w:bCs/>
          <w:color w:val="0F6B5C"/>
          <w:sz w:val="24"/>
          <w:szCs w:val="24"/>
        </w:rPr>
        <w:t xml:space="preserve">5.5 Technical implementation</w:t>
      </w:r>
    </w:p>
    <w:p>
      <w:pPr>
        <w:pStyle w:val="ListParagraph"/>
        <w:numPr>
          <w:ilvl w:val="0"/>
          <w:numId w:val="2"/>
        </w:numPr>
        <w:spacing w:after="90" w:line="270"/>
      </w:pPr>
      <w:r>
        <w:rPr>
          <w:rFonts w:ascii="Calibri" w:cs="Calibri" w:eastAsia="Calibri" w:hAnsi="Calibri"/>
          <w:color w:val="222222"/>
          <w:sz w:val="21"/>
          <w:szCs w:val="21"/>
        </w:rPr>
        <w:t xml:space="preserve">PostgreSQL (Data Foundation's AI/RAG side): native Row-Level Security, one policy per object type keyed on service identity + company_id (+ batch/department scope where relevant), session variable set before every query.</w:t>
      </w:r>
    </w:p>
    <w:p>
      <w:pPr>
        <w:pStyle w:val="ListParagraph"/>
        <w:numPr>
          <w:ilvl w:val="0"/>
          <w:numId w:val="2"/>
        </w:numPr>
        <w:spacing w:after="90" w:line="270"/>
      </w:pPr>
      <w:r>
        <w:rPr>
          <w:rFonts w:ascii="Calibri" w:cs="Calibri" w:eastAsia="Calibri" w:hAnsi="Calibri"/>
          <w:color w:val="222222"/>
          <w:sz w:val="21"/>
          <w:szCs w:val="21"/>
        </w:rPr>
        <w:t xml:space="preserve">MySQL (ledger): no native RLS — enforced via a single mandatory query-scoping wrapper function; no connector or agent tool queries the ledger directly.</w:t>
      </w:r>
    </w:p>
    <w:p>
      <w:pPr>
        <w:pStyle w:val="ListParagraph"/>
        <w:numPr>
          <w:ilvl w:val="0"/>
          <w:numId w:val="2"/>
        </w:numPr>
        <w:spacing w:after="90" w:line="270"/>
      </w:pPr>
      <w:r>
        <w:rPr>
          <w:rFonts w:ascii="Calibri" w:cs="Calibri" w:eastAsia="Calibri" w:hAnsi="Calibri"/>
          <w:color w:val="222222"/>
          <w:sz w:val="21"/>
          <w:szCs w:val="21"/>
        </w:rPr>
        <w:t xml:space="preserve">Field clearance: one shared serialization/masking function, applied when assembling each skill.md's declared Input Fields, strips anything above the acting identity's clearance before it reaches the agent's context.</w:t>
      </w:r>
    </w:p>
    <w:p>
      <w:pPr>
        <w:pStyle w:val="ListParagraph"/>
        <w:numPr>
          <w:ilvl w:val="0"/>
          <w:numId w:val="2"/>
        </w:numPr>
        <w:spacing w:after="90" w:line="270"/>
      </w:pPr>
      <w:r>
        <w:rPr>
          <w:rFonts w:ascii="Calibri" w:cs="Calibri" w:eastAsia="Calibri" w:hAnsi="Calibri"/>
          <w:color w:val="222222"/>
          <w:sz w:val="21"/>
          <w:szCs w:val="21"/>
        </w:rPr>
        <w:t xml:space="preserve">Registry: a versioned table of service identities and their grant lists, owned by Super Admin, tightenable by Entity Admin — same storage pattern as guardrail thresholds.</w:t>
      </w:r>
    </w:p>
    <w:p>
      <w:pPr>
        <w:pStyle w:val="Heading2"/>
        <w:spacing w:after="140" w:before="320"/>
      </w:pPr>
      <w:r>
        <w:rPr>
          <w:rFonts w:ascii="Calibri" w:cs="Calibri" w:eastAsia="Calibri" w:hAnsi="Calibri"/>
          <w:b/>
          <w:bCs/>
          <w:color w:val="0F6B5C"/>
          <w:sz w:val="24"/>
          <w:szCs w:val="24"/>
        </w:rPr>
        <w:t xml:space="preserve">5.6 When to revisit this</w:t>
      </w:r>
    </w:p>
    <w:p>
      <w:pPr>
        <w:spacing w:after="160" w:line="276"/>
      </w:pPr>
      <w:r>
        <w:rPr>
          <w:rFonts w:ascii="Calibri" w:cs="Calibri" w:eastAsia="Calibri" w:hAnsi="Calibri"/>
          <w:color w:val="222222"/>
          <w:sz w:val="21"/>
          <w:szCs w:val="21"/>
        </w:rPr>
        <w:t xml:space="preserve">This right-sized model holds as long as access is being filtered against this platform's own five generic roles. Once Phase 3 connects directly to a customer's own SAP or Oracle instance, the platform is respecting whatever arbitrary, customer-specific role structure already exists inside their ERP — at that point, something closer to Palantir's full dynamic marking system becomes the appropriate tool. Build it when that connector work starts, not speculatively now.</w:t>
      </w:r>
    </w:p>
    <w:p>
      <w:pPr>
        <w:sectPr>
          <w:headerReference w:type="default" r:id="rId17"/>
          <w:footerReference w:type="default" r:id="rId18"/>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6. Data Freshness &amp; Caching Policy</w:t>
      </w:r>
    </w:p>
    <w:tbl>
      <w:tblPr>
        <w:tblW w:type="pct" w:w="100%"/>
        <w:tblBorders>
          <w:top w:val="none"/>
          <w:left w:val="single" w:color="1F3864" w:sz="18"/>
          <w:bottom w:val="none"/>
          <w:right w:val="none"/>
          <w:insideH w:val="none"/>
          <w:insideV w:val="none"/>
        </w:tblBorders>
      </w:tblPr>
      <w:tblGrid>
        <w:gridCol w:w="100"/>
      </w:tblGrid>
      <w:tr>
        <w:tc>
          <w:tcPr>
            <w:shd w:fill="FCE9D8"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CORRECTING A COMMON MISREADING</w:t>
            </w:r>
          </w:p>
          <w:p>
            <w:r>
              <w:rPr>
                <w:rFonts w:ascii="Calibri" w:cs="Calibri" w:eastAsia="Calibri" w:hAnsi="Calibri"/>
                <w:color w:val="222222"/>
                <w:sz w:val="20"/>
                <w:szCs w:val="20"/>
              </w:rPr>
              <w:t xml:space="preserve">“Linked, not merged” and “reads live, copies the minimum” does not mean every step re-hits the source system's live API for the same fact, every time. Once a fact is fetched for a journey run, it is stitched into that run's timeline as a Journey event, and every later step in the same run reads it from there — never re-fetched live within one run.</w:t>
            </w:r>
          </w:p>
        </w:tc>
      </w:tr>
    </w:tbl>
    <w:p>
      <w:pPr>
        <w:spacing w:after="160" w:line="276"/>
      </w:pPr>
      <w:r>
        <w:rPr>
          <w:rFonts w:ascii="Calibri" w:cs="Calibri" w:eastAsia="Calibri" w:hAnsi="Calibri"/>
          <w:color w:val="222222"/>
          <w:sz w:val="21"/>
          <w:szCs w:val="21"/>
        </w:rPr>
        <w:t xml:space="preserve"/>
      </w:r>
    </w:p>
    <w:p>
      <w:pPr>
        <w:pStyle w:val="Heading2"/>
        <w:spacing w:after="140" w:before="320"/>
      </w:pPr>
      <w:r>
        <w:rPr>
          <w:rFonts w:ascii="Calibri" w:cs="Calibri" w:eastAsia="Calibri" w:hAnsi="Calibri"/>
          <w:b/>
          <w:bCs/>
          <w:color w:val="0F6B5C"/>
          <w:sz w:val="24"/>
          <w:szCs w:val="24"/>
        </w:rPr>
        <w:t xml:space="preserve">Three freshness tiers</w:t>
      </w:r>
    </w:p>
    <w:p>
      <w:pPr>
        <w:pStyle w:val="ListParagraph"/>
        <w:numPr>
          <w:ilvl w:val="0"/>
          <w:numId w:val="2"/>
        </w:numPr>
        <w:spacing w:after="90" w:line="270"/>
      </w:pPr>
      <w:r>
        <w:rPr>
          <w:rFonts w:ascii="Calibri" w:cs="Calibri" w:eastAsia="Calibri" w:hAnsi="Calibri"/>
          <w:color w:val="222222"/>
          <w:sz w:val="21"/>
          <w:szCs w:val="21"/>
        </w:rPr>
        <w:t xml:space="preserve">Reference data that rarely changes (rate cards, leave policy documents, org structure) — fetch once, cache with a TTL of hours to a day, refresh in the background.</w:t>
      </w:r>
    </w:p>
    <w:p>
      <w:pPr>
        <w:pStyle w:val="ListParagraph"/>
        <w:numPr>
          <w:ilvl w:val="0"/>
          <w:numId w:val="2"/>
        </w:numPr>
        <w:spacing w:after="90" w:line="270"/>
      </w:pPr>
      <w:r>
        <w:rPr>
          <w:rFonts w:ascii="Calibri" w:cs="Calibri" w:eastAsia="Calibri" w:hAnsi="Calibri"/>
          <w:color w:val="222222"/>
          <w:sz w:val="21"/>
          <w:szCs w:val="21"/>
        </w:rPr>
        <w:t xml:space="preserve">Journey-scoped facts (this employee's attendance for this pay period, this deal's terms) — fetch once when first needed in the run, persist as a Journey event, reused by every later step in that same run.</w:t>
      </w:r>
    </w:p>
    <w:p>
      <w:pPr>
        <w:pStyle w:val="ListParagraph"/>
        <w:numPr>
          <w:ilvl w:val="0"/>
          <w:numId w:val="2"/>
        </w:numPr>
        <w:spacing w:after="90" w:line="270"/>
      </w:pPr>
      <w:r>
        <w:rPr>
          <w:rFonts w:ascii="Calibri" w:cs="Calibri" w:eastAsia="Calibri" w:hAnsi="Calibri"/>
          <w:color w:val="222222"/>
          <w:sz w:val="21"/>
          <w:szCs w:val="21"/>
        </w:rPr>
        <w:t xml:space="preserve">Point-of-action data where staleness is the actual risk (current card balance right before disbursal, compliance status right before it gates an action) — deliberately re-fetch fresh at the moment of execution, even if a similar fact was fetched earlier in the run.</w:t>
      </w:r>
    </w:p>
    <w:p>
      <w:pPr>
        <w:pStyle w:val="Heading2"/>
        <w:spacing w:after="140" w:before="320"/>
      </w:pPr>
      <w:r>
        <w:rPr>
          <w:rFonts w:ascii="Calibri" w:cs="Calibri" w:eastAsia="Calibri" w:hAnsi="Calibri"/>
          <w:b/>
          <w:bCs/>
          <w:color w:val="0F6B5C"/>
          <w:sz w:val="24"/>
          <w:szCs w:val="24"/>
        </w:rPr>
        <w:t xml:space="preserve">Connector-level notes</w:t>
      </w:r>
    </w:p>
    <w:p>
      <w:pPr>
        <w:pStyle w:val="ListParagraph"/>
        <w:numPr>
          <w:ilvl w:val="0"/>
          <w:numId w:val="2"/>
        </w:numPr>
        <w:spacing w:after="90" w:line="270"/>
      </w:pPr>
      <w:r>
        <w:rPr>
          <w:rFonts w:ascii="Calibri" w:cs="Calibri" w:eastAsia="Calibri" w:hAnsi="Calibri"/>
          <w:color w:val="222222"/>
          <w:sz w:val="21"/>
          <w:szCs w:val="21"/>
        </w:rPr>
        <w:t xml:space="preserve">Deterministic (“System Action” / no-LLM) steps call the Connector function directly from the Journey Engine — no model anywhere in that path.</w:t>
      </w:r>
    </w:p>
    <w:p>
      <w:pPr>
        <w:pStyle w:val="ListParagraph"/>
        <w:numPr>
          <w:ilvl w:val="0"/>
          <w:numId w:val="2"/>
        </w:numPr>
        <w:spacing w:after="90" w:line="270"/>
      </w:pPr>
      <w:r>
        <w:rPr>
          <w:rFonts w:ascii="Calibri" w:cs="Calibri" w:eastAsia="Calibri" w:hAnsi="Calibri"/>
          <w:color w:val="222222"/>
          <w:sz w:val="21"/>
          <w:szCs w:val="21"/>
        </w:rPr>
        <w:t xml:space="preserve">For batch operations (e.g. a payroll run across hundreds of employees), use the source system's bulk/batch endpoint (SAP OData $batch, ADT bulk export) instead of firing one live call per record — this is both a rate-limit and a cost consideration (see Section 10).</w:t>
      </w:r>
    </w:p>
    <w:p>
      <w:pPr>
        <w:sectPr>
          <w:headerReference w:type="default" r:id="rId19"/>
          <w:footerReference w:type="default" r:id="rId20"/>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7. Reliability &amp; Scaling Decisions</w:t>
      </w:r>
    </w:p>
    <w:p>
      <w:pPr>
        <w:pStyle w:val="Heading2"/>
        <w:spacing w:after="140" w:before="320"/>
      </w:pPr>
      <w:r>
        <w:rPr>
          <w:rFonts w:ascii="Calibri" w:cs="Calibri" w:eastAsia="Calibri" w:hAnsi="Calibri"/>
          <w:b/>
          <w:bCs/>
          <w:color w:val="0F6B5C"/>
          <w:sz w:val="24"/>
          <w:szCs w:val="24"/>
        </w:rPr>
        <w:t xml:space="preserve">7.1 Retry &amp; idempotency</w:t>
      </w:r>
    </w:p>
    <w:p>
      <w:pPr>
        <w:spacing w:after="160" w:line="276"/>
      </w:pPr>
      <w:r>
        <w:rPr>
          <w:rFonts w:ascii="Calibri" w:cs="Calibri" w:eastAsia="Calibri" w:hAnsi="Calibri"/>
          <w:color w:val="222222"/>
          <w:sz w:val="21"/>
          <w:szCs w:val="21"/>
        </w:rPr>
        <w:t xml:space="preserve">Decision (confirmed): platform-default retry policy (Super Admin-set), with per-step configuration that can only tighten, never loosen — the same override pattern already used for guardrail thresholds. Still open: the actual retry count, backoff curve, and the idempotency-key scheme for write-back, so a retried disbursal call cannot double-load a card. These need input from whoever owns the SAP/RBL connector build.</w:t>
      </w:r>
    </w:p>
    <w:p>
      <w:pPr>
        <w:pStyle w:val="Heading2"/>
        <w:spacing w:after="140" w:before="320"/>
      </w:pPr>
      <w:r>
        <w:rPr>
          <w:rFonts w:ascii="Calibri" w:cs="Calibri" w:eastAsia="Calibri" w:hAnsi="Calibri"/>
          <w:b/>
          <w:bCs/>
          <w:color w:val="0F6B5C"/>
          <w:sz w:val="24"/>
          <w:szCs w:val="24"/>
        </w:rPr>
        <w:t xml:space="preserve">7.2 Multi-tenancy</w:t>
      </w:r>
    </w:p>
    <w:p>
      <w:pPr>
        <w:spacing w:after="160" w:line="276"/>
      </w:pPr>
      <w:r>
        <w:rPr>
          <w:rFonts w:ascii="Calibri" w:cs="Calibri" w:eastAsia="Calibri" w:hAnsi="Calibri"/>
          <w:color w:val="222222"/>
          <w:sz w:val="21"/>
          <w:szCs w:val="21"/>
        </w:rPr>
        <w:t xml:space="preserve">Decision (confirmed): a single shared, stateless Journey Engine instance, tenant-isolated by company_id at every context lookup and database query — no per-tenant dedicated deployments for now. This matches the “stateless and horizontally scalable” reliability claim already in the architecture PDF, and is the cheapest option to run and operate.</w:t>
      </w:r>
    </w:p>
    <w:tbl>
      <w:tblPr>
        <w:tblW w:type="pct" w:w="100%"/>
        <w:tblBorders>
          <w:top w:val="none"/>
          <w:left w:val="single" w:color="1F3864" w:sz="18"/>
          <w:bottom w:val="none"/>
          <w:right w:val="none"/>
          <w:insideH w:val="none"/>
          <w:insideV w:val="none"/>
        </w:tblBorders>
      </w:tblPr>
      <w:tblGrid>
        <w:gridCol w:w="100"/>
      </w:tblGrid>
      <w:tr>
        <w:tc>
          <w:tcPr>
            <w:shd w:fill="FCE9D8"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CORRECTNESS FLAG</w:t>
            </w:r>
          </w:p>
          <w:p>
            <w:r>
              <w:rPr>
                <w:rFonts w:ascii="Calibri" w:cs="Calibri" w:eastAsia="Calibri" w:hAnsi="Calibri"/>
                <w:color w:val="222222"/>
                <w:sz w:val="20"/>
                <w:szCs w:val="20"/>
              </w:rPr>
              <w:t xml:space="preserve">The single most common way multi-tenant SaaS platforms fail is not a compromised API key — it is one query somewhere that omitted the company_id filter. Tenant isolation should be enforced at the data-access layer itself (every table has a non-optional company_id, every query goes through a wrapper that cannot omit it), not trusted to application logic scattered across agents and connectors.</w:t>
            </w:r>
          </w:p>
        </w:tc>
      </w:tr>
    </w:tbl>
    <w:p>
      <w:pPr>
        <w:spacing w:after="160" w:line="276"/>
      </w:pPr>
      <w:r>
        <w:rPr>
          <w:rFonts w:ascii="Calibri" w:cs="Calibri" w:eastAsia="Calibri" w:hAnsi="Calibri"/>
          <w:color w:val="222222"/>
          <w:sz w:val="21"/>
          <w:szCs w:val="21"/>
        </w:rPr>
        <w:t xml:space="preserve"/>
      </w:r>
    </w:p>
    <w:p>
      <w:pPr>
        <w:pStyle w:val="Heading2"/>
        <w:spacing w:after="140" w:before="320"/>
      </w:pPr>
      <w:r>
        <w:rPr>
          <w:rFonts w:ascii="Calibri" w:cs="Calibri" w:eastAsia="Calibri" w:hAnsi="Calibri"/>
          <w:b/>
          <w:bCs/>
          <w:color w:val="0F6B5C"/>
          <w:sz w:val="24"/>
          <w:szCs w:val="24"/>
        </w:rPr>
        <w:t xml:space="preserve">7.3 LLM concurrency &amp; batching at scale</w:t>
      </w:r>
    </w:p>
    <w:p>
      <w:pPr>
        <w:spacing w:after="160" w:line="276"/>
      </w:pPr>
      <w:r>
        <w:rPr>
          <w:rFonts w:ascii="Calibri" w:cs="Calibri" w:eastAsia="Calibri" w:hAnsi="Calibri"/>
          <w:color w:val="222222"/>
          <w:sz w:val="21"/>
          <w:szCs w:val="21"/>
        </w:rPr>
        <w:t xml:space="preserve">Decision (confirmed): use the model vendor's Batch API for bulk, non-urgent steps — the monthly Payroll Engine run across all employees is the clear fit (roughly half the per-token cost, naturally paced). Live, interactive steps (Contract Creation's back-and-forth) stay on synchronous calls — batch results land in minutes to hours, which is wrong for anything a person is waiting on in real time.</w:t>
      </w:r>
    </w:p>
    <w:p>
      <w:pPr>
        <w:pStyle w:val="Heading2"/>
        <w:spacing w:after="140" w:before="320"/>
      </w:pPr>
      <w:r>
        <w:rPr>
          <w:rFonts w:ascii="Calibri" w:cs="Calibri" w:eastAsia="Calibri" w:hAnsi="Calibri"/>
          <w:b/>
          <w:bCs/>
          <w:color w:val="0F6B5C"/>
          <w:sz w:val="24"/>
          <w:szCs w:val="24"/>
        </w:rPr>
        <w:t xml:space="preserve">7.4 Model fallback</w:t>
      </w:r>
    </w:p>
    <w:p>
      <w:pPr>
        <w:spacing w:after="160" w:line="276"/>
      </w:pPr>
      <w:r>
        <w:rPr>
          <w:rFonts w:ascii="Calibri" w:cs="Calibri" w:eastAsia="Calibri" w:hAnsi="Calibri"/>
          <w:color w:val="222222"/>
          <w:sz w:val="21"/>
          <w:szCs w:val="21"/>
        </w:rPr>
        <w:t xml:space="preserve">Decision (confirmed): each agent has a primary and an automatic fallback, and the fallback is same-vendor (Claude Haiku 4.5 primary, the same model via AWS Bedrock cross-region inference as fallback on a direct-API outage) rather than cross-vendor. One tool-call schema and one audit format throughout — no reconciliation problem between two providers' output formats.</w:t>
      </w:r>
    </w:p>
    <w:p>
      <w:pPr>
        <w:sectPr>
          <w:headerReference w:type="default" r:id="rId21"/>
          <w:footerReference w:type="default" r:id="rId22"/>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8. Model Selection Across the Agent Catalog</w:t>
      </w:r>
    </w:p>
    <w:p>
      <w:pPr>
        <w:spacing w:after="160" w:line="276"/>
      </w:pPr>
      <w:r>
        <w:rPr>
          <w:rFonts w:ascii="Calibri" w:cs="Calibri" w:eastAsia="Calibri" w:hAnsi="Calibri"/>
          <w:color w:val="222222"/>
          <w:sz w:val="21"/>
          <w:szCs w:val="21"/>
        </w:rPr>
        <w:t xml:space="preserve">The Agent-vs-Code Test (Section 3) applied to all nine journeys — the three active journeys plus Procure-to-Pay, Finance-to-Accounts, Immigration, Offboarding Standalone, Benefits Enrollment, and Expense Claims.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2600"/>
        <w:gridCol w:w="1900"/>
        <w:gridCol w:w="4080"/>
      </w:tblGrid>
      <w:tr>
        <w:trPr>
          <w:tblHeader/>
        </w:trPr>
        <w:tc>
          <w:tcPr>
            <w:tcW w:type="dxa" w:w="1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Journey</w:t>
            </w:r>
          </w:p>
        </w:tc>
        <w:tc>
          <w:tcPr>
            <w:tcW w:type="dxa" w:w="26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Agent</w:t>
            </w:r>
          </w:p>
        </w:tc>
        <w:tc>
          <w:tcPr>
            <w:tcW w:type="dxa" w:w="19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Needs a model?</w:t>
            </w:r>
          </w:p>
        </w:tc>
        <w:tc>
          <w:tcPr>
            <w:tcW w:type="dxa" w:w="40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Why</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Payroll / Contract / H2R</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Prompt Parser</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Yes — Haiku 4.5</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Interprets a free-text prompt or deal description into structured fields — genuine interpretation, shared across three journeys.</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Payroll Creation</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Payroll Engine</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Yes — Haiku 4.5</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Applies rate rules and flags anomalies; arithmetic and the guardrail threshold check itself stay deterministic.</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H2R Lifecycle</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Leave Policy Engine</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Yes — Haiku 4.5</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Matches country to policy with no clean 1:1 mapping — genuine retrieval and deviation judgment.</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Contract Creation</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Contract Assistant</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 — code</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Confirmed: templated fetch-and-fill with clean structured selection criteria.</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Contract / Payroll / H2R</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All other “Fully Automated” steps (Docuseal merge, Onboarding, Payroll Readiness, Timesheet Sync, Payslip Generator, Payroll Archive, Compliance Hub Sync, Offboarding)</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 — code (Onboarding/Offboarding pending confirmation of document-verification scope)</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Template-merges, completeness checks, and structured data syncs — no interpretation involved.</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P2P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Requisition Parser</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Yes — Haiku 4.5</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Interprets a loosely-worded purchase request into structured fields — same shape as Prompt Parser.</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P2P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Vendor Matcher</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Yes — Haiku 4.5</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Matching a request to a vendor catalog needs semantic matching for new/ambiguous items, not a clean lookup.</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P2P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Budget Validator</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 — code</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Numeric comparison against a budget figure.</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P2P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Invoice Matcher</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Yes — Haiku 4.5</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Real vendor invoices usually arrive as PDFs or scans; the extraction step before matching is genuine interpretation.</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F2A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Journal Entry Engine</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 — code</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Doc specifies “rule-based,” i.e. a decision table.</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F2A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Reconciliation Engine</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Partially — Haiku 4.5 on the residual only</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Deterministic for clean matches; a model is needed only for the unmatched residual where statement descriptions are messy free text.</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F2A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Period Close Validator / AI Report Generator</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 — code</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Completeness check and template-merge respectively, unless a narrative-commentary feature is added later.</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Immigration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Eligibility check + document verification</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Yes — Haiku 4.5</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Country-specific rule matching plus passport/permit scan extraction.</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Immigration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Application prep + status tracking</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 — code</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Deterministic form-fill and polling.</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Benefits Enrollment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Not yet named in the product design</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Open question</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Deterministic if pure rule-based eligibility; Haiku-tier if a plan-recommendation feature is added. Confirm scope before build.</w:t>
            </w:r>
          </w:p>
        </w:tc>
      </w:tr>
      <w:tr>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Expense Claims (planned)</w:t>
            </w:r>
          </w:p>
        </w:tc>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Expense Validator</w:t>
            </w:r>
          </w:p>
        </w:tc>
        <w:tc>
          <w:tcPr>
            <w:tcW w:type="dxa" w:w="1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Yes — Haiku 4.5</w:t>
            </w:r>
          </w:p>
        </w:tc>
        <w:tc>
          <w:tcPr>
            <w:tcW w:type="dxa" w:w="4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Real-world claims are usually a photo of a receipt — OCR/extraction plus policy-threshold judgment, same shape as Payroll Engine.</w:t>
            </w:r>
          </w:p>
        </w:tc>
      </w:tr>
    </w:tbl>
    <w:p>
      <w:pPr>
        <w:spacing w:after="160"/>
      </w:pPr>
    </w:p>
    <w:tbl>
      <w:tblPr>
        <w:tblW w:type="pct" w:w="100%"/>
        <w:tblBorders>
          <w:top w:val="none"/>
          <w:left w:val="single" w:color="1F3864" w:sz="18"/>
          <w:bottom w:val="none"/>
          <w:right w:val="none"/>
          <w:insideH w:val="none"/>
          <w:insideV w:val="none"/>
        </w:tblBorders>
      </w:tblPr>
      <w:tblGrid>
        <w:gridCol w:w="100"/>
      </w:tblGrid>
      <w:tr>
        <w:tc>
          <w:tcPr>
            <w:shd w:fill="FCE9D8"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WHY NOT A PREMIUM MODEL ANYWHERE</w:t>
            </w:r>
          </w:p>
          <w:p>
            <w:r>
              <w:rPr>
                <w:rFonts w:ascii="Calibri" w:cs="Calibri" w:eastAsia="Calibri" w:hAnsi="Calibri"/>
                <w:color w:val="222222"/>
                <w:sz w:val="20"/>
                <w:szCs w:val="20"/>
              </w:rPr>
              <w:t xml:space="preserve">Claude Opus 4.8 and Claude Fable 5 lead benchmarks (SWE-bench 88.6% and 95.0% respectively) that measure autonomous, open-ended, multi-step reasoning without guardrails. None of the agents above operate that way — every one is a bounded, single-tool-call step, validated deterministically and gated by governance before anything executes. Paying 5–10x for autonomous-reasoning strength this architecture never calls on buys nothing. Fable 5 and Mythos 5 are also currently disabled platform-wide under a US export-control directive (12 June 2026), with no restoration timeline — unusable regardless of cost.</w:t>
            </w:r>
          </w:p>
        </w:tc>
      </w:tr>
    </w:tbl>
    <w:p>
      <w:pPr>
        <w:sectPr>
          <w:headerReference w:type="default" r:id="rId23"/>
          <w:footerReference w:type="default" r:id="rId24"/>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9. Model Plan by Scale — Pilot, Growth, Enterprise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2560"/>
        <w:gridCol w:w="2560"/>
        <w:gridCol w:w="2560"/>
      </w:tblGrid>
      <w:tr>
        <w:trPr>
          <w:tblHeader/>
        </w:trPr>
        <w:tc>
          <w:tcPr>
            <w:tcW w:type="dxa" w:w="24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
            </w:r>
          </w:p>
        </w:tc>
        <w:tc>
          <w:tcPr>
            <w:tcW w:type="dxa" w:w="256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Pilot (single customer)</w:t>
            </w:r>
          </w:p>
        </w:tc>
        <w:tc>
          <w:tcPr>
            <w:tcW w:type="dxa" w:w="256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Growth (dozens of customers)</w:t>
            </w:r>
          </w:p>
        </w:tc>
        <w:tc>
          <w:tcPr>
            <w:tcW w:type="dxa" w:w="256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Enterprise (commercial scale)</w:t>
            </w:r>
          </w:p>
        </w:tc>
      </w:tr>
      <w:tr>
        <w:tc>
          <w:tcPr>
            <w:tcW w:type="dxa" w:w="24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Reasoning-tier default</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Claude Haiku 4.5, direct API or Bedrock Mumbai — $1 / $5 per million tokens</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 Haiku 4.5, no change</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Claude Haiku 4.5 via Bedrock provisioned throughput or a negotiated Anthropic enterprise agreement — same model, committed capacity</w:t>
            </w:r>
          </w:p>
        </w:tc>
      </w:tr>
      <w:tr>
        <w:tc>
          <w:tcPr>
            <w:tcW w:type="dxa" w:w="24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Bulk / low-stakes (where a model is still needed)</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GPT-5 nano or Gemini 2.5 Flash-Lite — $0.05–$0.10 / $0.40 per million</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plus pilot hosted open-source (Llama 3.1 8B / Llama 4 Scout via Together/Fireworks, ~$0.18/M flat) as a cost hedge</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Self-hosted open-weight (Llama 4 / Qwen2.5-72B / DeepSeek-V3) inside your own or the customer's cloud — justified by volume and by some large accounts' sovereignty requirements</w:t>
            </w:r>
          </w:p>
        </w:tc>
      </w:tr>
      <w:tr>
        <w:tc>
          <w:tcPr>
            <w:tcW w:type="dxa" w:w="24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Client-facing / generative</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 confirmed use case currently (Contract Assistant turned out to be templated)</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 none confirmed</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 if a genuine free-form drafting feature is added later, Claude Sonnet 5 is the right tier, not Opus or Fable</w:t>
            </w:r>
          </w:p>
        </w:tc>
      </w:tr>
      <w:tr>
        <w:tc>
          <w:tcPr>
            <w:tcW w:type="dxa" w:w="24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Fallback</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Haiku 4.5 via Bedrock cross-region (same-vendor)</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plus a dedicated/on-prem inference option for accounts whose contracts require it</w:t>
            </w:r>
          </w:p>
        </w:tc>
      </w:tr>
      <w:tr>
        <w:tc>
          <w:tcPr>
            <w:tcW w:type="dxa" w:w="24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Cost levers</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Batch API for the monthly payroll run (-50%); prompt caching for repeated context such as guardrail rules (-90% on cache hits)</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levers, worth more in absolute dollars now — use aggressively</w:t>
            </w:r>
          </w:p>
        </w:tc>
        <w:tc>
          <w:tcPr>
            <w:tcW w:type="dxa" w:w="256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plus negotiate committed-use/volume pricing directly with Anthropic — not on the public price page</w:t>
            </w:r>
          </w:p>
        </w:tc>
      </w:tr>
    </w:tbl>
    <w:p>
      <w:pPr>
        <w:spacing w:after="200"/>
      </w:pPr>
    </w:p>
    <w:p>
      <w:pPr>
        <w:pStyle w:val="Heading2"/>
        <w:spacing w:after="140" w:before="320"/>
      </w:pPr>
      <w:r>
        <w:rPr>
          <w:rFonts w:ascii="Calibri" w:cs="Calibri" w:eastAsia="Calibri" w:hAnsi="Calibri"/>
          <w:b/>
          <w:bCs/>
          <w:color w:val="0F6B5C"/>
          <w:sz w:val="24"/>
          <w:szCs w:val="24"/>
        </w:rPr>
        <w:t xml:space="preserve">Self-hosting breakeven — the honest math</w:t>
      </w:r>
    </w:p>
    <w:p>
      <w:pPr>
        <w:spacing w:after="160" w:line="276"/>
      </w:pPr>
      <w:r>
        <w:rPr>
          <w:rFonts w:ascii="Calibri" w:cs="Calibri" w:eastAsia="Calibri" w:hAnsi="Calibri"/>
          <w:color w:val="222222"/>
          <w:sz w:val="21"/>
          <w:szCs w:val="21"/>
        </w:rPr>
        <w:t xml:space="preserve">A mid-size GPU instance capable of running an 8B–70B model (L40S-class) runs roughly $1,500–$2,200/month on-demand. At ~$0.18/M tokens for hosted open-source, that same budget buys 8–12 billion tokens/month elsewhere. For a bulk agent averaging ~1,800 tokens/call, that is roughly 4.5–6.5 million calls/month before self-hosting beats simply using the cheap hosted option — genuine large-enterprise volume, not Growth-stage volume. At Growth scale, self-hosting's real value is optionality and vendor diversification, not cost savings yet. The savings case and the sovereignty requirement from large SAP/Oracle accounts both arrive together at Enterprise scale, which is also when a handful of the biggest customers will contractually require it regardless of what the token math says.</w:t>
      </w:r>
    </w:p>
    <w:p>
      <w:pPr>
        <w:sectPr>
          <w:headerReference w:type="default" r:id="rId25"/>
          <w:footerReference w:type="default" r:id="rId26"/>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10. Scale Economics — API Limits, Volume &amp; Cost</w:t>
      </w:r>
    </w:p>
    <w:tbl>
      <w:tblPr>
        <w:tblW w:type="pct" w:w="100%"/>
        <w:tblBorders>
          <w:top w:val="none"/>
          <w:left w:val="single" w:color="1F3864" w:sz="18"/>
          <w:bottom w:val="none"/>
          <w:right w:val="none"/>
          <w:insideH w:val="none"/>
          <w:insideV w:val="none"/>
        </w:tblBorders>
      </w:tblPr>
      <w:tblGrid>
        <w:gridCol w:w="100"/>
      </w:tblGrid>
      <w:tr>
        <w:tc>
          <w:tcPr>
            <w:shd w:fill="FCE9D8"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REFRAME BEFORE READING THE NUMBERS</w:t>
            </w:r>
          </w:p>
          <w:p>
            <w:r>
              <w:rPr>
                <w:rFonts w:ascii="Calibri" w:cs="Calibri" w:eastAsia="Calibri" w:hAnsi="Calibri"/>
                <w:color w:val="222222"/>
                <w:sz w:val="20"/>
                <w:szCs w:val="20"/>
              </w:rPr>
              <w:t xml:space="preserve">SAP, Salesforce, and Infor rate limits apply per customer's own tenant/instance, not against total platform volume. A customer's SAP system does not know or care how many other customers you have — it only sees the call volume from that one company. The real stress test is your single largest customer's employee count against their own system's limit, not “how many customers do we have.”</w:t>
            </w:r>
          </w:p>
        </w:tc>
      </w:tr>
    </w:tbl>
    <w:p>
      <w:pPr>
        <w:spacing w:after="160" w:line="276"/>
      </w:pPr>
      <w:r>
        <w:rPr>
          <w:rFonts w:ascii="Calibri" w:cs="Calibri" w:eastAsia="Calibri" w:hAnsi="Calibri"/>
          <w:color w:val="222222"/>
          <w:sz w:val="21"/>
          <w:szCs w:val="21"/>
        </w:rPr>
        <w:t xml:space="preserve"/>
      </w:r>
    </w:p>
    <w:p>
      <w:pPr>
        <w:pStyle w:val="Heading2"/>
        <w:spacing w:after="140" w:before="320"/>
      </w:pPr>
      <w:r>
        <w:rPr>
          <w:rFonts w:ascii="Calibri" w:cs="Calibri" w:eastAsia="Calibri" w:hAnsi="Calibri"/>
          <w:b/>
          <w:bCs/>
          <w:color w:val="0F6B5C"/>
          <w:sz w:val="24"/>
          <w:szCs w:val="24"/>
        </w:rPr>
        <w:t xml:space="preserve">10.1 Published rate limits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3080"/>
        <w:gridCol w:w="3800"/>
      </w:tblGrid>
      <w:tr>
        <w:trPr>
          <w:tblHeader/>
        </w:trPr>
        <w:tc>
          <w:tcPr>
            <w:tcW w:type="dxa" w:w="32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System</w:t>
            </w:r>
          </w:p>
        </w:tc>
        <w:tc>
          <w:tcPr>
            <w:tcW w:type="dxa" w:w="30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Published limit</w:t>
            </w:r>
          </w:p>
        </w:tc>
        <w:tc>
          <w:tcPr>
            <w:tcW w:type="dxa" w:w="38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Practical note</w:t>
            </w:r>
          </w:p>
        </w:tc>
      </w:tr>
      <w:tr>
        <w:tc>
          <w:tcPr>
            <w:tcW w:type="dxa" w:w="3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SAP (BTP / CPI, OData)</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Common default: 10,000 requests/hour for a technical user (configurable)</w:t>
            </w:r>
          </w:p>
        </w:tc>
        <w:tc>
          <w:tcPr>
            <w:tcW w:type="dxa" w:w="38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Negotiated per customer with their own Basis/CPI team — can be tightened or loosened by contract.</w:t>
            </w:r>
          </w:p>
        </w:tc>
      </w:tr>
      <w:tr>
        <w:tc>
          <w:tcPr>
            <w:tcW w:type="dxa" w:w="3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Infor (ION API Gateway)</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 single published global limit</w:t>
            </w:r>
          </w:p>
        </w:tc>
        <w:tc>
          <w:tcPr>
            <w:tcW w:type="dxa" w:w="38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Configured per endpoint (spikeArrest + rate smoothing); has to be discovered per deployment, not assumed.</w:t>
            </w:r>
          </w:p>
        </w:tc>
      </w:tr>
      <w:tr>
        <w:tc>
          <w:tcPr>
            <w:tcW w:type="dxa" w:w="3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Salesforce</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Enterprise Edition: 100,000 requests / rolling 24h per org + 1,000 per user licence. Unlimited Edition: 1,000 per user licence (more generous).</w:t>
            </w:r>
          </w:p>
        </w:tc>
        <w:tc>
          <w:tcPr>
            <w:tcW w:type="dxa" w:w="38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Rolling 24-hour window, not calendar day. Applies per customer's own org, not against your total platform volume.</w:t>
            </w:r>
          </w:p>
        </w:tc>
      </w:tr>
      <w:tr>
        <w:tc>
          <w:tcPr>
            <w:tcW w:type="dxa" w:w="3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RBL / Paycraft (card issuer)</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Not publicly documented</w:t>
            </w:r>
          </w:p>
        </w:tc>
        <w:tc>
          <w:tcPr>
            <w:tcW w:type="dxa" w:w="38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Private banking API — confirm directly with RBL, do not assume it behaves like SAP or Salesforce.</w:t>
            </w:r>
          </w:p>
        </w:tc>
      </w:tr>
    </w:tbl>
    <w:p>
      <w:pPr>
        <w:spacing w:after="200"/>
      </w:pPr>
    </w:p>
    <w:p>
      <w:pPr>
        <w:pStyle w:val="Heading2"/>
        <w:spacing w:after="140" w:before="320"/>
      </w:pPr>
      <w:r>
        <w:rPr>
          <w:rFonts w:ascii="Calibri" w:cs="Calibri" w:eastAsia="Calibri" w:hAnsi="Calibri"/>
          <w:b/>
          <w:bCs/>
          <w:color w:val="0F6B5C"/>
          <w:sz w:val="24"/>
          <w:szCs w:val="24"/>
        </w:rPr>
        <w:t xml:space="preserve">10.2 Volume and cost, by scale</w:t>
      </w:r>
    </w:p>
    <w:p>
      <w:pPr>
        <w:spacing w:after="160" w:line="276"/>
      </w:pPr>
      <w:r>
        <w:rPr>
          <w:rFonts w:ascii="Calibri" w:cs="Calibri" w:eastAsia="Calibri" w:hAnsi="Calibri"/>
          <w:color w:val="222222"/>
          <w:sz w:val="21"/>
          <w:szCs w:val="21"/>
        </w:rPr>
        <w:t xml:space="preserve">Every figure below is an illustrative assumption (customer count, employees per customer, calls per record), not a fact about the actual pipeline — flagged so it can be replaced with real numbers once available.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2620"/>
        <w:gridCol w:w="2630"/>
        <w:gridCol w:w="2630"/>
      </w:tblGrid>
      <w:tr>
        <w:trPr>
          <w:tblHeader/>
        </w:trPr>
        <w:tc>
          <w:tcPr>
            <w:tcW w:type="dxa" w:w="22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
            </w:r>
          </w:p>
        </w:tc>
        <w:tc>
          <w:tcPr>
            <w:tcW w:type="dxa" w:w="262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Pilot</w:t>
            </w:r>
          </w:p>
        </w:tc>
        <w:tc>
          <w:tcPr>
            <w:tcW w:type="dxa" w:w="263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Growth</w:t>
            </w:r>
          </w:p>
        </w:tc>
        <w:tc>
          <w:tcPr>
            <w:tcW w:type="dxa" w:w="263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Enterprise</w:t>
            </w:r>
          </w:p>
        </w:tc>
      </w:tr>
      <w:tr>
        <w:tc>
          <w:tcPr>
            <w:tcW w:type="dxa" w:w="2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Representative scope</w:t>
            </w:r>
          </w:p>
        </w:tc>
        <w:tc>
          <w:tcPr>
            <w:tcW w:type="dxa" w:w="262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 customer, 500 employees — Phase 1, ADT + RBL only, no SAP connector yet</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~20 customers, ~15,000 employees total (15 small ADT-only, 5 SAP-connected, largest ~1,800 employees)</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~80 customers, ~150,000 employees total (largest flagship account ~25,000–30,000 employees)</w:t>
            </w:r>
          </w:p>
        </w:tc>
      </w:tr>
      <w:tr>
        <w:tc>
          <w:tcPr>
            <w:tcW w:type="dxa" w:w="2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Your own infra load (ADT ingestion — not vendor-limited)</w:t>
            </w:r>
          </w:p>
        </w:tc>
        <w:tc>
          <w:tcPr>
            <w:tcW w:type="dxa" w:w="262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~500 events/day</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~15,000 events/day</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~150,000 events/day, likely bursty around shift-start — needs queue-backed ingestion, not a bigger single server</w:t>
            </w:r>
          </w:p>
        </w:tc>
      </w:tr>
      <w:tr>
        <w:tc>
          <w:tcPr>
            <w:tcW w:type="dxa" w:w="2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SAP/Infor-facing calls (1 optional read + 1 write-back per employee per monthly run)</w:t>
            </w:r>
          </w:p>
        </w:tc>
        <w:tc>
          <w:tcPr>
            <w:tcW w:type="dxa" w:w="262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0 — no SAP yet</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~18,000 calls/month; largest SAP customer ≈ 3,600/month — trivial against a 10,000/hour limit</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~220,000 calls/month; largest flagship account ≈ 50,000–60,000 calls in one run. Spread over an 8-hour window, that is 6,250–7,500 calls/hour — close enough to the 10,000/hour default that batching ($batch) or a negotiated higher throttle stops being optional</w:t>
            </w:r>
          </w:p>
        </w:tc>
      </w:tr>
      <w:tr>
        <w:tc>
          <w:tcPr>
            <w:tcW w:type="dxa" w:w="2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RBL/Paycraft card calls (1/employee/run)</w:t>
            </w:r>
          </w:p>
        </w:tc>
        <w:tc>
          <w:tcPr>
            <w:tcW w:type="dxa" w:w="262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500/month</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15,000/month</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150,000/month — rate limit unconfirmed, check directly with RBL</w:t>
            </w:r>
          </w:p>
        </w:tc>
      </w:tr>
      <w:tr>
        <w:tc>
          <w:tcPr>
            <w:tcW w:type="dxa" w:w="2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LLM calls/month (all 9 journeys)</w:t>
            </w:r>
          </w:p>
        </w:tc>
        <w:tc>
          <w:tcPr>
            <w:tcW w:type="dxa" w:w="262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742</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21,690</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211,180</w:t>
            </w:r>
          </w:p>
        </w:tc>
      </w:tr>
      <w:tr>
        <w:tc>
          <w:tcPr>
            <w:tcW w:type="dxa" w:w="2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Our LLM cost/month (Haiku 4.5)</w:t>
            </w:r>
          </w:p>
        </w:tc>
        <w:tc>
          <w:tcPr>
            <w:tcW w:type="dxa" w:w="262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~$2.25</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~$65</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~$635</w:t>
            </w:r>
          </w:p>
        </w:tc>
      </w:tr>
      <w:tr>
        <w:tc>
          <w:tcPr>
            <w:tcW w:type="dxa" w:w="2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SAP Digital Access exposure (customer's cost, not ours; $0.08–$0.55/document, volume-tiered)</w:t>
            </w:r>
          </w:p>
        </w:tc>
        <w:tc>
          <w:tcPr>
            <w:tcW w:type="dxa" w:w="262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$0 — no SAP connector yet</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Illustratively $2,000–$4,000/month, split across 5 customers' own SAP bills at their individual volume tiers</w:t>
            </w:r>
          </w:p>
        </w:tc>
        <w:tc>
          <w:tcPr>
            <w:tcW w:type="dxa" w:w="263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Illustratively $15,000–$25,000/month aggregate, spread across many separate customers' own bills — largest flagship account alone contributes ~25,000–30,000 documents/month</w:t>
            </w:r>
          </w:p>
        </w:tc>
      </w:tr>
    </w:tbl>
    <w:p>
      <w:pPr>
        <w:spacing w:after="200"/>
      </w:pPr>
    </w:p>
    <w:p>
      <w:pPr>
        <w:pStyle w:val="Heading2"/>
        <w:spacing w:after="140" w:before="320"/>
      </w:pPr>
      <w:r>
        <w:rPr>
          <w:rFonts w:ascii="Calibri" w:cs="Calibri" w:eastAsia="Calibri" w:hAnsi="Calibri"/>
          <w:b/>
          <w:bCs/>
          <w:color w:val="0F6B5C"/>
          <w:sz w:val="24"/>
          <w:szCs w:val="24"/>
        </w:rPr>
        <w:t xml:space="preserve">10.3 What this actually tells us</w:t>
      </w:r>
    </w:p>
    <w:p>
      <w:pPr>
        <w:pStyle w:val="ListParagraph"/>
        <w:numPr>
          <w:ilvl w:val="0"/>
          <w:numId w:val="2"/>
        </w:numPr>
        <w:spacing w:after="90" w:line="270"/>
      </w:pPr>
      <w:r>
        <w:rPr>
          <w:rFonts w:ascii="Calibri" w:cs="Calibri" w:eastAsia="Calibri" w:hAnsi="Calibri"/>
          <w:color w:val="222222"/>
          <w:sz w:val="21"/>
          <w:szCs w:val="21"/>
        </w:rPr>
        <w:t xml:space="preserve">Our own AI cost stays trivial at every scale — under $650/month even at 150,000 employees across all nine journeys. This was never the cost risk.</w:t>
      </w:r>
    </w:p>
    <w:p>
      <w:pPr>
        <w:pStyle w:val="ListParagraph"/>
        <w:numPr>
          <w:ilvl w:val="0"/>
          <w:numId w:val="2"/>
        </w:numPr>
        <w:spacing w:after="90" w:line="270"/>
      </w:pPr>
      <w:r>
        <w:rPr>
          <w:rFonts w:ascii="Calibri" w:cs="Calibri" w:eastAsia="Calibri" w:hAnsi="Calibri"/>
          <w:color w:val="222222"/>
          <w:sz w:val="21"/>
          <w:szCs w:val="21"/>
        </w:rPr>
        <w:t xml:space="preserve">The real cost that scales hard is SAP's own Digital Access licensing — and it is the customer's bill, not ours. Every write-back that creates a new SAP document counts against the customer's Digital Access agreement with SAP. Procure-to-Pay and Finance-to-Accounts are more exposed per transaction than Payroll, because purchase, invoice, service-entry, and financial documents are explicitly the heaviest-weighted categories in SAP's own Digital Access schema. Bundling more journeys into one SAP-connected customer compounds their document count across all of them — this belongs in the commercial conversation for every SAP-connected deal, the same way the architecture PDF already insists on surfacing SAP licensing risk proactively.</w:t>
      </w:r>
    </w:p>
    <w:p>
      <w:pPr>
        <w:sectPr>
          <w:headerReference w:type="default" r:id="rId27"/>
          <w:footerReference w:type="default" r:id="rId28"/>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11. Competitive Benchmark — How Palantir Runs Agents on SAP</w:t>
      </w:r>
    </w:p>
    <w:p>
      <w:pPr>
        <w:spacing w:after="160" w:line="276"/>
      </w:pPr>
      <w:r>
        <w:rPr>
          <w:rFonts w:ascii="Calibri" w:cs="Calibri" w:eastAsia="Calibri" w:hAnsi="Calibri"/>
          <w:color w:val="222222"/>
          <w:sz w:val="21"/>
          <w:szCs w:val="21"/>
        </w:rPr>
        <w:t xml:space="preserve">Mapped onto this platform's own layer names, Palantir's production pattern is structurally very close to what this architecture already specifies — useful validation, and one useful gap to close.</w:t>
      </w:r>
    </w:p>
    <w:p>
      <w:pPr>
        <w:pStyle w:val="Heading2"/>
        <w:spacing w:after="140" w:before="320"/>
      </w:pPr>
      <w:r>
        <w:rPr>
          <w:rFonts w:ascii="Calibri" w:cs="Calibri" w:eastAsia="Calibri" w:hAnsi="Calibri"/>
          <w:b/>
          <w:bCs/>
          <w:color w:val="0F6B5C"/>
          <w:sz w:val="24"/>
          <w:szCs w:val="24"/>
        </w:rPr>
        <w:t xml:space="preserve">11.1 The mapping</w:t>
      </w:r>
    </w:p>
    <w:p>
      <w:pPr>
        <w:pStyle w:val="ListParagraph"/>
        <w:numPr>
          <w:ilvl w:val="0"/>
          <w:numId w:val="2"/>
        </w:numPr>
        <w:spacing w:after="90" w:line="270"/>
      </w:pPr>
      <w:r>
        <w:rPr>
          <w:rFonts w:ascii="Calibri" w:cs="Calibri" w:eastAsia="Calibri" w:hAnsi="Calibri"/>
          <w:color w:val="222222"/>
          <w:sz w:val="21"/>
          <w:szCs w:val="21"/>
        </w:rPr>
        <w:t xml:space="preserve">Reading SAP — zero-copy, not ETL. Through the SAP Business Data Cloud partnership, Palantir Foundry gets governed, zero-copy access to SAP data — no bulk replication. This is the Connector layer's “reads live, copies the minimum” principle, with SAP as a formal launch partner.</w:t>
      </w:r>
    </w:p>
    <w:p>
      <w:pPr>
        <w:pStyle w:val="ListParagraph"/>
        <w:numPr>
          <w:ilvl w:val="0"/>
          <w:numId w:val="2"/>
        </w:numPr>
        <w:spacing w:after="90" w:line="270"/>
      </w:pPr>
      <w:r>
        <w:rPr>
          <w:rFonts w:ascii="Calibri" w:cs="Calibri" w:eastAsia="Calibri" w:hAnsi="Calibri"/>
          <w:color w:val="222222"/>
          <w:sz w:val="21"/>
          <w:szCs w:val="21"/>
        </w:rPr>
        <w:t xml:space="preserve">The shared semantic layer — Palantir's “Ontology”: a shared business-object model (Employee, Order) linking SAP data with everything else into one operational picture. Functionally, this is the Data Foundation plus Context &amp; Journey layer: shared IDs, linked not merged, one timeline instead of disconnected systems.</w:t>
      </w:r>
    </w:p>
    <w:p>
      <w:pPr>
        <w:pStyle w:val="ListParagraph"/>
        <w:numPr>
          <w:ilvl w:val="0"/>
          <w:numId w:val="2"/>
        </w:numPr>
        <w:spacing w:after="90" w:line="270"/>
      </w:pPr>
      <w:r>
        <w:rPr>
          <w:rFonts w:ascii="Calibri" w:cs="Calibri" w:eastAsia="Calibri" w:hAnsi="Calibri"/>
          <w:color w:val="222222"/>
          <w:sz w:val="21"/>
          <w:szCs w:val="21"/>
        </w:rPr>
        <w:t xml:space="preserve">The agents — AIP Logic / Chatbot Studio, built on top of the Ontology, reasoning over shared context rather than raw SAP tables. Same shape as this platform's Agents layer.</w:t>
      </w:r>
    </w:p>
    <w:p>
      <w:pPr>
        <w:pStyle w:val="ListParagraph"/>
        <w:numPr>
          <w:ilvl w:val="0"/>
          <w:numId w:val="2"/>
        </w:numPr>
        <w:spacing w:after="90" w:line="270"/>
      </w:pPr>
      <w:r>
        <w:rPr>
          <w:rFonts w:ascii="Calibri" w:cs="Calibri" w:eastAsia="Calibri" w:hAnsi="Calibri"/>
          <w:color w:val="222222"/>
          <w:sz w:val="21"/>
          <w:szCs w:val="21"/>
        </w:rPr>
        <w:t xml:space="preserve">Writeback — Ontology Actions. Fine-grained control over who may invoke a given action, test-driven frameworks before publishing a change, staged/batch review, and full logging of every event. This is close to a one-to-one match with this platform's Governance layer: “model proposes, program executes,” applied to writeback.</w:t>
      </w:r>
    </w:p>
    <w:p>
      <w:pPr>
        <w:pStyle w:val="Heading2"/>
        <w:spacing w:after="140" w:before="320"/>
      </w:pPr>
      <w:r>
        <w:rPr>
          <w:rFonts w:ascii="Calibri" w:cs="Calibri" w:eastAsia="Calibri" w:hAnsi="Calibri"/>
          <w:b/>
          <w:bCs/>
          <w:color w:val="0F6B5C"/>
          <w:sz w:val="24"/>
          <w:szCs w:val="24"/>
        </w:rPr>
        <w:t xml:space="preserve">11.2 The one gap Palantir treats as core infrastructure</w:t>
      </w:r>
    </w:p>
    <w:p>
      <w:pPr>
        <w:spacing w:after="160" w:line="276"/>
      </w:pPr>
      <w:r>
        <w:rPr>
          <w:rFonts w:ascii="Calibri" w:cs="Calibri" w:eastAsia="Calibri" w:hAnsi="Calibri"/>
          <w:color w:val="222222"/>
          <w:sz w:val="21"/>
          <w:szCs w:val="21"/>
        </w:rPr>
        <w:t xml:space="preserve">AIP Evals — a dedicated, first-class product layer for testing and evaluating agent behaviour before it ships. This is exactly the agent evaluation/regression pipeline gap flagged in Section 12 below. Palantir's own production stack confirms it is not optional at scale; it is load-bearing infrastructure, not a nice-to-have added later.</w:t>
      </w:r>
    </w:p>
    <w:p>
      <w:pPr>
        <w:pStyle w:val="Heading2"/>
        <w:spacing w:after="140" w:before="320"/>
      </w:pPr>
      <w:r>
        <w:rPr>
          <w:rFonts w:ascii="Calibri" w:cs="Calibri" w:eastAsia="Calibri" w:hAnsi="Calibri"/>
          <w:b/>
          <w:bCs/>
          <w:color w:val="0F6B5C"/>
          <w:sz w:val="24"/>
          <w:szCs w:val="24"/>
        </w:rPr>
        <w:t xml:space="preserve">11.3 Not to conflate</w:t>
      </w:r>
    </w:p>
    <w:p>
      <w:pPr>
        <w:spacing w:after="160" w:line="276"/>
      </w:pPr>
      <w:r>
        <w:rPr>
          <w:rFonts w:ascii="Calibri" w:cs="Calibri" w:eastAsia="Calibri" w:hAnsi="Calibri"/>
          <w:color w:val="222222"/>
          <w:sz w:val="21"/>
          <w:szCs w:val="21"/>
        </w:rPr>
        <w:t xml:space="preserve">Palantir also runs a separate SAP product — AI-assisted ECC-to-S/4HANA data migration (96% validation accuracy within hours, 99.8% within two weeks; now an SAP Endorsed App with a Solution Extension planned for Q3 2026). That is a migration tool, a different problem from the live execution-agent pattern this document is about — worth keeping the two apart in any competitive narrative.</w:t>
      </w:r>
    </w:p>
    <w:p>
      <w:pPr>
        <w:sectPr>
          <w:headerReference w:type="default" r:id="rId29"/>
          <w:footerReference w:type="default" r:id="rId30"/>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12. Open Gaps &amp; Recommendations</w:t>
      </w:r>
    </w:p>
    <w:p>
      <w:pPr>
        <w:spacing w:after="160" w:line="276"/>
      </w:pPr>
      <w:r>
        <w:rPr>
          <w:rFonts w:ascii="Calibri" w:cs="Calibri" w:eastAsia="Calibri" w:hAnsi="Calibri"/>
          <w:color w:val="222222"/>
          <w:sz w:val="21"/>
          <w:szCs w:val="21"/>
        </w:rPr>
        <w:t xml:space="preserve">What the architecture as currently scoped is missing, ordered by how much it undercuts a claim already being made or a deal already being pursued — not by ease of implementation.</w:t>
      </w:r>
    </w:p>
    <w:p>
      <w:pPr>
        <w:pStyle w:val="Heading2"/>
        <w:spacing w:after="140" w:before="320"/>
      </w:pPr>
      <w:r>
        <w:rPr>
          <w:rFonts w:ascii="Calibri" w:cs="Calibri" w:eastAsia="Calibri" w:hAnsi="Calibri"/>
          <w:b/>
          <w:bCs/>
          <w:color w:val="0F6B5C"/>
          <w:sz w:val="24"/>
          <w:szCs w:val="24"/>
        </w:rPr>
        <w:t xml:space="preserve">12.1 Data sovereignty vs. third-party LLM APIs</w:t>
      </w:r>
    </w:p>
    <w:p>
      <w:pPr>
        <w:spacing w:after="160" w:line="276"/>
      </w:pPr>
      <w:r>
        <w:rPr>
          <w:rFonts w:ascii="Calibri" w:cs="Calibri" w:eastAsia="Calibri" w:hAnsi="Calibri"/>
          <w:color w:val="222222"/>
          <w:sz w:val="21"/>
          <w:szCs w:val="21"/>
        </w:rPr>
        <w:t xml:space="preserve">Every agent call ships employee wage data, bank details, or SAP financial records into a prompt sent to a cloud LLM API. This is in tension with the “sovereign, data stays in the customer's control” claim already in the architecture PDF, and it is the standard objection an enterprise security review raises. Three ways out: a regional-hosted endpoint (AWS Bedrock ap-south-1 Mumbai, Azure OpenAI India region, Vertex AI Mumbai) so data does not leave the country; redact/tokenize PII before it hits the prompt and rehydrate after; or self-host an open-source model inside the customer's own cloud for the highest-sensitivity steps. Decide before this goes in front of an SAP customer's security team.</w:t>
      </w:r>
    </w:p>
    <w:p>
      <w:pPr>
        <w:pStyle w:val="Heading2"/>
        <w:spacing w:after="140" w:before="320"/>
      </w:pPr>
      <w:r>
        <w:rPr>
          <w:rFonts w:ascii="Calibri" w:cs="Calibri" w:eastAsia="Calibri" w:hAnsi="Calibri"/>
          <w:b/>
          <w:bCs/>
          <w:color w:val="0F6B5C"/>
          <w:sz w:val="24"/>
          <w:szCs w:val="24"/>
        </w:rPr>
        <w:t xml:space="preserve">12.2 No agent evaluation / regression pipeline</w:t>
      </w:r>
    </w:p>
    <w:p>
      <w:pPr>
        <w:spacing w:after="160" w:line="276"/>
      </w:pPr>
      <w:r>
        <w:rPr>
          <w:rFonts w:ascii="Calibri" w:cs="Calibri" w:eastAsia="Calibri" w:hAnsi="Calibri"/>
          <w:color w:val="222222"/>
          <w:sz w:val="21"/>
          <w:szCs w:val="21"/>
        </w:rPr>
        <w:t xml:space="preserve">There is currently no mechanism to test a skill.md change or a model swap before it reaches production. Standard practice: a golden test set per agent, run automatically before any prompt or model version change ships, tracking accuracy, hallucination rate, and guardrail-bypass rate over time. Palantir's own AIP Evals confirms this is core infrastructure at scale, not optional.</w:t>
      </w:r>
    </w:p>
    <w:p>
      <w:pPr>
        <w:pStyle w:val="Heading2"/>
        <w:spacing w:after="140" w:before="320"/>
      </w:pPr>
      <w:r>
        <w:rPr>
          <w:rFonts w:ascii="Calibri" w:cs="Calibri" w:eastAsia="Calibri" w:hAnsi="Calibri"/>
          <w:b/>
          <w:bCs/>
          <w:color w:val="0F6B5C"/>
          <w:sz w:val="24"/>
          <w:szCs w:val="24"/>
        </w:rPr>
        <w:t xml:space="preserve">12.3 No LLM gateway / provider abstraction</w:t>
      </w:r>
    </w:p>
    <w:p>
      <w:pPr>
        <w:spacing w:after="160" w:line="276"/>
      </w:pPr>
      <w:r>
        <w:rPr>
          <w:rFonts w:ascii="Calibri" w:cs="Calibri" w:eastAsia="Calibri" w:hAnsi="Calibri"/>
          <w:color w:val="222222"/>
          <w:sz w:val="21"/>
          <w:szCs w:val="21"/>
        </w:rPr>
        <w:t xml:space="preserve">The primary + automatic fallback model decision means every future model swap should be a configuration change, not a redeploy across every agent. A thin routing layer (self-hosted LiteLLM or Portkey, or an equivalent thin wrapper) is what actually delivers that.</w:t>
      </w:r>
    </w:p>
    <w:p>
      <w:pPr>
        <w:pStyle w:val="Heading2"/>
        <w:spacing w:after="140" w:before="320"/>
      </w:pPr>
      <w:r>
        <w:rPr>
          <w:rFonts w:ascii="Calibri" w:cs="Calibri" w:eastAsia="Calibri" w:hAnsi="Calibri"/>
          <w:b/>
          <w:bCs/>
          <w:color w:val="0F6B5C"/>
          <w:sz w:val="24"/>
          <w:szCs w:val="24"/>
        </w:rPr>
        <w:t xml:space="preserve">12.4 Prompt injection is not yet addressed</w:t>
      </w:r>
    </w:p>
    <w:p>
      <w:pPr>
        <w:spacing w:after="160" w:line="276"/>
      </w:pPr>
      <w:r>
        <w:rPr>
          <w:rFonts w:ascii="Calibri" w:cs="Calibri" w:eastAsia="Calibri" w:hAnsi="Calibri"/>
          <w:color w:val="222222"/>
          <w:sz w:val="21"/>
          <w:szCs w:val="21"/>
        </w:rPr>
        <w:t xml:space="preserve">Agents read external, sometimes human-authored text — SAP fields, timesheet notes, contract clauses. “Model proposes, program executes” contains the blast radius on the execution side, but a manipulated proposal can still read as reasonable to a human approver and get rubber-stamped. Worth an explicit red-team pass before launch.</w:t>
      </w:r>
    </w:p>
    <w:p>
      <w:pPr>
        <w:pStyle w:val="Heading2"/>
        <w:spacing w:after="140" w:before="320"/>
      </w:pPr>
      <w:r>
        <w:rPr>
          <w:rFonts w:ascii="Calibri" w:cs="Calibri" w:eastAsia="Calibri" w:hAnsi="Calibri"/>
          <w:b/>
          <w:bCs/>
          <w:color w:val="0F6B5C"/>
          <w:sz w:val="24"/>
          <w:szCs w:val="24"/>
        </w:rPr>
        <w:t xml:space="preserve">12.5 No FinOps layer</w:t>
      </w:r>
    </w:p>
    <w:p>
      <w:pPr>
        <w:spacing w:after="160" w:line="276"/>
      </w:pPr>
      <w:r>
        <w:rPr>
          <w:rFonts w:ascii="Calibri" w:cs="Calibri" w:eastAsia="Calibri" w:hAnsi="Calibri"/>
          <w:color w:val="222222"/>
          <w:sz w:val="21"/>
          <w:szCs w:val="21"/>
        </w:rPr>
        <w:t xml:space="preserve">Per-tenant token spend needs tracking and alerting so one customer's unusually large batch does not quietly erode margin, and a model-deprecation policy is needed since vendors retire model versions on a schedule.</w:t>
      </w:r>
    </w:p>
    <w:p>
      <w:pPr>
        <w:pStyle w:val="Heading2"/>
        <w:spacing w:after="140" w:before="320"/>
      </w:pPr>
      <w:r>
        <w:rPr>
          <w:rFonts w:ascii="Calibri" w:cs="Calibri" w:eastAsia="Calibri" w:hAnsi="Calibri"/>
          <w:b/>
          <w:bCs/>
          <w:color w:val="0F6B5C"/>
          <w:sz w:val="24"/>
          <w:szCs w:val="24"/>
        </w:rPr>
        <w:t xml:space="preserve">12.6 Explainability as a product feature, not just an audit log</w:t>
      </w:r>
    </w:p>
    <w:p>
      <w:pPr>
        <w:spacing w:after="160" w:line="276"/>
      </w:pPr>
      <w:r>
        <w:rPr>
          <w:rFonts w:ascii="Calibri" w:cs="Calibri" w:eastAsia="Calibri" w:hAnsi="Calibri"/>
          <w:color w:val="222222"/>
          <w:sz w:val="21"/>
          <w:szCs w:val="21"/>
        </w:rPr>
        <w:t xml:space="preserve">The guardrail-breach flags shown to Department Manager/Finance are threshold math today (“+18% above guardrail”). An AI-generated plain-language reason alongside that number reinforces the “categorically different” positioning in a sales demo, not just in this document.</w:t>
      </w:r>
    </w:p>
    <w:p>
      <w:pPr>
        <w:pStyle w:val="Heading2"/>
        <w:spacing w:after="140" w:before="320"/>
      </w:pPr>
      <w:r>
        <w:rPr>
          <w:rFonts w:ascii="Calibri" w:cs="Calibri" w:eastAsia="Calibri" w:hAnsi="Calibri"/>
          <w:b/>
          <w:bCs/>
          <w:color w:val="0F6B5C"/>
          <w:sz w:val="24"/>
          <w:szCs w:val="24"/>
        </w:rPr>
        <w:t xml:space="preserve">12.7 Compliance certification is a sales gate, not an engineering one</w:t>
      </w:r>
    </w:p>
    <w:p>
      <w:pPr>
        <w:spacing w:after="160" w:line="276"/>
      </w:pPr>
      <w:r>
        <w:rPr>
          <w:rFonts w:ascii="Calibri" w:cs="Calibri" w:eastAsia="Calibri" w:hAnsi="Calibri"/>
          <w:color w:val="222222"/>
          <w:sz w:val="21"/>
          <w:szCs w:val="21"/>
        </w:rPr>
        <w:t xml:space="preserve">Real wage and personal data flowing through this system means SOC 2 and India's DPDP Act compliance will come up in every enterprise SAP/Oracle deal's security review. SOC 2 alone takes months — if this process has not started, an excellent architecture will not prevent the deal stalling on paperwork.</w:t>
      </w:r>
    </w:p>
    <w:p>
      <w:pPr>
        <w:sectPr>
          <w:headerReference w:type="default" r:id="rId31"/>
          <w:footerReference w:type="default" r:id="rId32"/>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13. Open Questions Still Needing a Decision</w:t>
      </w:r>
    </w:p>
    <w:p>
      <w:pPr>
        <w:pStyle w:val="ListParagraph"/>
        <w:numPr>
          <w:ilvl w:val="0"/>
          <w:numId w:val="2"/>
        </w:numPr>
        <w:spacing w:after="90" w:line="270"/>
      </w:pPr>
      <w:r>
        <w:rPr>
          <w:rFonts w:ascii="Calibri" w:cs="Calibri" w:eastAsia="Calibri" w:hAnsi="Calibri"/>
          <w:color w:val="222222"/>
          <w:sz w:val="21"/>
          <w:szCs w:val="21"/>
        </w:rPr>
        <w:t xml:space="preserve">Retry count, backoff curve, and idempotency-key scheme for write-back — needs input from whoever owns the SAP/RBL connector build.</w:t>
      </w:r>
    </w:p>
    <w:p>
      <w:pPr>
        <w:pStyle w:val="ListParagraph"/>
        <w:numPr>
          <w:ilvl w:val="0"/>
          <w:numId w:val="2"/>
        </w:numPr>
        <w:spacing w:after="90" w:line="270"/>
      </w:pPr>
      <w:r>
        <w:rPr>
          <w:rFonts w:ascii="Calibri" w:cs="Calibri" w:eastAsia="Calibri" w:hAnsi="Calibri"/>
          <w:color w:val="222222"/>
          <w:sz w:val="21"/>
          <w:szCs w:val="21"/>
        </w:rPr>
        <w:t xml:space="preserve">Whether AI Onboarding Engine and AI Offboarding Engine are genuinely deterministic, or whether document verification within them involves classifying unstructured uploads (which would need a model).</w:t>
      </w:r>
    </w:p>
    <w:p>
      <w:pPr>
        <w:pStyle w:val="ListParagraph"/>
        <w:numPr>
          <w:ilvl w:val="0"/>
          <w:numId w:val="2"/>
        </w:numPr>
        <w:spacing w:after="90" w:line="270"/>
      </w:pPr>
      <w:r>
        <w:rPr>
          <w:rFonts w:ascii="Calibri" w:cs="Calibri" w:eastAsia="Calibri" w:hAnsi="Calibri"/>
          <w:color w:val="222222"/>
          <w:sz w:val="21"/>
          <w:szCs w:val="21"/>
        </w:rPr>
        <w:t xml:space="preserve">What AI Benefits Enrollment's agent actually does — rule-based eligibility (deterministic) versus a plan-recommendation feature (Haiku-tier) changes its classification entirely; not specified in the current product design.</w:t>
      </w:r>
    </w:p>
    <w:p>
      <w:pPr>
        <w:pStyle w:val="ListParagraph"/>
        <w:numPr>
          <w:ilvl w:val="0"/>
          <w:numId w:val="2"/>
        </w:numPr>
        <w:spacing w:after="90" w:line="270"/>
      </w:pPr>
      <w:r>
        <w:rPr>
          <w:rFonts w:ascii="Calibri" w:cs="Calibri" w:eastAsia="Calibri" w:hAnsi="Calibri"/>
          <w:color w:val="222222"/>
          <w:sz w:val="21"/>
          <w:szCs w:val="21"/>
        </w:rPr>
        <w:t xml:space="preserve">Real transaction volumes for Procure-to-Pay, Finance-to-Accounts, Immigration, and Expense Claims, to replace the illustrative ratios used in Section 10 (e.g. “1 purchase order per 20 employees per month”) — these will vary a great deal by industry vertical.</w:t>
      </w:r>
    </w:p>
    <w:p>
      <w:pPr>
        <w:pStyle w:val="ListParagraph"/>
        <w:numPr>
          <w:ilvl w:val="0"/>
          <w:numId w:val="2"/>
        </w:numPr>
        <w:spacing w:after="90" w:line="270"/>
      </w:pPr>
      <w:r>
        <w:rPr>
          <w:rFonts w:ascii="Calibri" w:cs="Calibri" w:eastAsia="Calibri" w:hAnsi="Calibri"/>
          <w:color w:val="222222"/>
          <w:sz w:val="21"/>
          <w:szCs w:val="21"/>
        </w:rPr>
        <w:t xml:space="preserve">RBL/Paycraft's actual API rate limits — not publicly documented, needs direct confirmation from RBL.</w:t>
      </w:r>
    </w:p>
    <w:p>
      <w:pPr>
        <w:pStyle w:val="ListParagraph"/>
        <w:numPr>
          <w:ilvl w:val="0"/>
          <w:numId w:val="2"/>
        </w:numPr>
        <w:spacing w:after="90" w:line="270"/>
      </w:pPr>
      <w:r>
        <w:rPr>
          <w:rFonts w:ascii="Calibri" w:cs="Calibri" w:eastAsia="Calibri" w:hAnsi="Calibri"/>
          <w:color w:val="222222"/>
          <w:sz w:val="21"/>
          <w:szCs w:val="21"/>
        </w:rPr>
        <w:t xml:space="preserve">Whether the Journey Engine's per-step loop needs any additional resilience pattern beyond the retry/idempotency policy once real production traffic is observed.</w:t>
      </w:r>
    </w:p>
    <w:p>
      <w:pPr>
        <w:pStyle w:val="ListParagraph"/>
        <w:numPr>
          <w:ilvl w:val="0"/>
          <w:numId w:val="2"/>
        </w:numPr>
        <w:spacing w:after="90" w:line="270"/>
      </w:pPr>
      <w:r>
        <w:rPr>
          <w:rFonts w:ascii="Calibri" w:cs="Calibri" w:eastAsia="Calibri" w:hAnsi="Calibri"/>
          <w:color w:val="222222"/>
          <w:sz w:val="21"/>
          <w:szCs w:val="21"/>
        </w:rPr>
        <w:t xml:space="preserve">Each SAP-connected customer's existing Digital Access licensing tier and total document volume across all their other systems — the aggregate cost figures in Section 10 depend entirely on this and cannot be generalised.</w:t>
      </w:r>
    </w:p>
    <w:sectPr>
      <w:headerReference w:type="default" r:id="rId33"/>
      <w:footerReference w:type="default" r:id="rId34"/>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&amp; Model Architecture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Agents &amp; Model Architecture</dc:title>
  <dc:creator>OpenDhi Product Team</dc:creator>
  <dc:description>AI Execution Layer — Agent Design, Governance, Scaling &amp; Cost Plan</dc:description>
  <cp:lastModifiedBy>Un-named</cp:lastModifiedBy>
  <cp:revision>1</cp:revision>
  <dcterms:created xsi:type="dcterms:W3CDTF">2026-07-23T13:00:48.340Z</dcterms:created>
  <dcterms:modified xsi:type="dcterms:W3CDTF">2026-07-23T13:00:48.340Z</dcterms:modified>
</cp:coreProperties>
</file>

<file path=docProps/custom.xml><?xml version="1.0" encoding="utf-8"?>
<Properties xmlns="http://schemas.openxmlformats.org/officeDocument/2006/custom-properties" xmlns:vt="http://schemas.openxmlformats.org/officeDocument/2006/docPropsVTypes"/>
</file>