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260"/>
        <w:jc w:val="right"/>
        <w:rPr>
          <w:rFonts w:ascii="Times New Roman" w:cs="Times New Roman" w:eastAsia="Times New Roman" w:hAnsi="Times New Roman"/>
          <w:b w:val="1"/>
          <w:bCs w:val="1"/>
          <w:sz w:val="18"/>
          <w:szCs w:val="18"/>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Submitted for Cotiviti Internship Challenge  Topic 2</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Clinical Decision Making Challenge</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today drowns clinicians in data. A physician reviewing a complex case must simultaneously process lab results, imaging reports, medication histories, clinical guidelines, and insurance requirements  often under severe time pressure. This information overload contributes directly to diagnostic errors, delayed treatment decisions, and physician burnout. Agentic AI offers a fundamentally different approach to this problem. Unlike a standard large language model that responds to a single prompt, an agentic system plans across multiple steps, retrieves relevant information autonomously, executes actions, and adapts its reasoning based on intermediate results  all without requiring a human to guide each step. In clinical settings, this means an AI system that can receive a patient record, pull the latest clinical guidelines, check for drug interactions, flag care gaps, and surface a treatment recommendation in seconds.</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rtl w:val="0"/>
        </w:rPr>
        <w:t xml:space="preserve"> Agentic AI in Healthcare: The Current Landscape</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landscape of agentic AI in healthcare is evolving rapidly. In 2025 and 2026, health systems began piloting multi-agent pipelines for prior authorization, a process that traditionally takes days of manual review. Companies like Microsoft, Google, and several AI-native startups deployed agentic systems that autonomously retrieve patient history, match it against payer guidelines, generate justification letters, and submit claims  reducing authorization time from 3-5 days to under an hour. Similarly, agentic systems are being tested for care gap detection, where an AI agent continuously monitors patient populations, identifies individuals overdue for screenings or follow-ups, and proactively generates outreach tasks for care coordinators. For a company like Cotiviti  which sits at the intersection of healthcare analytics, quality measurement, and payment accuracy, these capabilities represent a direct opportunity to enhance existing products and deliver measurably better outcomes for health plan clients.</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Risks and Responsible Deployment</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its promise, deploying agentic AI in clinical decision making carries significant risks that must be addressed deliberately. The most critical concern is hallucination  agentic systems can confidently generate incorrect clinical information, which in a healthcare context can directly harm patients. Unlike a search engine returning a bad result, an agentic system acting autonomously may propagate an error across multiple downstream steps before a human reviews the output. Regulatory uncertainty compounds this challenge; the FDA has begun developing frameworks for AI-assisted clinical decision support, but guidance remains evolving and inconsistent across states and payer types. Data privacy is equally pressing, as agentic systems require access to sensitive patient records to function effectively, raising HIPAA compliance requirements at every layer of the pipeline. Finally, clinician trust remains a barrier  physicians are unlikely to act on recommendations from a system they do not understand or cannot audit. For Cotiviti, this means any agentic deployment must prioritize explainability, human-in-the-loop checkpoints, and rigorous validation against clinical ground truth before scaling.</w:t>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Cotiviti's Strategic Opportunity</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Cotiviti is uniquely positioned to lead agentic AI adoption in healthcare analytics. Its existing capabilities in claims data analysis, quality measurement (HEDIS, Star Ratings), and payment integrity give it a data foundation that most AI companies lack. The most immediate opportunity lies in autonomous prior authorization and care gap closure, two workflows where Cotiviti already operates and where agentic AI can deliver measurable ROI for health plan clients. A practical first step would be deploying a multi-agent pipeline that ingests member records, cross-references clinical guidelines, identifies care gaps, and generates prioritized outreach recommendations for care coordinators  reducing manual review time and improving closure rates. A second high-value application is payment integrity, where an agentic system autonomously audits claims, flags anomalies, retrieves supporting documentation, and generates audit reports  compressing a weeks-long process into hours. To execute responsibly, Cotiviti should adopt a human-in-the-loop architecture where agents surface recommendations but clinicians or analysts retain final approval authority. This approach balances the efficiency gains of autonomy with the accountability requirements of healthcare regulation, building clinician trust incrementally while demonstrating measurable impact to health plan clients.</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Agentic AI is not a distant prospect for healthcare  it is arriving now, and the organizations that build responsible deployment frameworks today will define the standard for the next decade. For Cotiviti, the convergence of its data assets, client relationships, and domain expertise in quality measurement creates a rare window to move from analytics provider to intelligent decision support partner. The path forward is not to deploy agentic AI everywhere at once, but to identify two or three high-impact workflows  prior authorization, care gap closure, payment integrity and build rigorous, explainable, human-supervised pipelines that demonstrate measurable value. Done right, agentic AI does not replace clinical judgment. It amplifies it, giving clinicians and care teams the right information at the right moment to make better decisions faster. That is the promise Cotiviti should pursue  and the standard it should set.</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Sivasai Atchyut Akella</w:t>
      </w:r>
    </w:p>
    <w:p w:rsidR="00000000" w:rsidDel="00000000" w:rsidP="00000000" w:rsidRDefault="00000000" w:rsidRPr="00000000" w14:paraId="0000002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 IN CS Binghamton University</w:t>
      </w:r>
    </w:p>
    <w:p w:rsidR="00000000" w:rsidDel="00000000" w:rsidP="00000000" w:rsidRDefault="00000000" w:rsidRPr="00000000" w14:paraId="00000021">
      <w:pPr>
        <w:jc w:val="right"/>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sakella@binghamton.edu</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2">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Bibliography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Collaco, B. G., Haider, S. A., &amp; Prabha, S. (2026). The role of agentic artificial intelligence in healthcare: A scoping review. npj Digital Medicine. </w:t>
      </w:r>
      <w:hyperlink r:id="rId7">
        <w:r w:rsidDel="00000000" w:rsidR="00000000" w:rsidRPr="00000000">
          <w:rPr>
            <w:rFonts w:ascii="Times New Roman" w:cs="Times New Roman" w:eastAsia="Times New Roman" w:hAnsi="Times New Roman"/>
            <w:color w:val="1155cc"/>
            <w:u w:val="single"/>
            <w:rtl w:val="0"/>
          </w:rPr>
          <w:t xml:space="preserve">https://www.nature.com</w:t>
        </w:r>
      </w:hyperlink>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Gridach, M., Nanavati, J., &amp; Zine El Abidine, K. (2026). Agentic AI in healthcare: Opportunities, challenges, and future directions. ACM Computing Surveys. </w:t>
      </w:r>
      <w:hyperlink r:id="rId8">
        <w:r w:rsidDel="00000000" w:rsidR="00000000" w:rsidRPr="00000000">
          <w:rPr>
            <w:rFonts w:ascii="Times New Roman" w:cs="Times New Roman" w:eastAsia="Times New Roman" w:hAnsi="Times New Roman"/>
            <w:color w:val="1155cc"/>
            <w:u w:val="single"/>
            <w:rtl w:val="0"/>
          </w:rPr>
          <w:t xml:space="preserve">https://dl.acm.org</w:t>
        </w:r>
      </w:hyperlink>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Rengasamy, B. (2025). Agentic artificial intelligence for prior authorization workflows in healthcare. Journal of Computer Science and Engineering. </w:t>
      </w:r>
      <w:hyperlink r:id="rId9">
        <w:r w:rsidDel="00000000" w:rsidR="00000000" w:rsidRPr="00000000">
          <w:rPr>
            <w:rFonts w:ascii="Times New Roman" w:cs="Times New Roman" w:eastAsia="Times New Roman" w:hAnsi="Times New Roman"/>
            <w:color w:val="1155cc"/>
            <w:u w:val="single"/>
            <w:rtl w:val="0"/>
          </w:rPr>
          <w:t xml:space="preserve">https://al-kindipublishers.org</w:t>
        </w:r>
      </w:hyperlink>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Kim, Y., Jeong, H., &amp; Chen, S. (2025). Medical hallucinations in foundation models and their impact on healthcare. arXiv preprint arXiv:2025. </w:t>
      </w:r>
      <w:hyperlink r:id="rId10">
        <w:r w:rsidDel="00000000" w:rsidR="00000000" w:rsidRPr="00000000">
          <w:rPr>
            <w:rFonts w:ascii="Times New Roman" w:cs="Times New Roman" w:eastAsia="Times New Roman" w:hAnsi="Times New Roman"/>
            <w:color w:val="1155cc"/>
            <w:u w:val="single"/>
            <w:rtl w:val="0"/>
          </w:rPr>
          <w:t xml:space="preserve">https://arxiv.org</w:t>
        </w:r>
      </w:hyperlink>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Patel, S. Y., Barnett, M. L., &amp; Basu, S. (2025). Predicting quality measure completion among 14 million low-income patients enrolled in Medicaid. npj Digital Medicine. </w:t>
      </w:r>
      <w:hyperlink r:id="rId11">
        <w:r w:rsidDel="00000000" w:rsidR="00000000" w:rsidRPr="00000000">
          <w:rPr>
            <w:rFonts w:ascii="Times New Roman" w:cs="Times New Roman" w:eastAsia="Times New Roman" w:hAnsi="Times New Roman"/>
            <w:color w:val="1155cc"/>
            <w:u w:val="single"/>
            <w:rtl w:val="0"/>
          </w:rPr>
          <w:t xml:space="preserve">https://www.nature.com</w:t>
        </w:r>
      </w:hyperlink>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nature.com/" TargetMode="External"/><Relationship Id="rId10" Type="http://schemas.openxmlformats.org/officeDocument/2006/relationships/hyperlink" Target="https://arxiv.org/" TargetMode="External"/><Relationship Id="rId9" Type="http://schemas.openxmlformats.org/officeDocument/2006/relationships/hyperlink" Target="https://al-kindipublishers.org/" TargetMode="External"/><Relationship Id="rId5" Type="http://schemas.openxmlformats.org/officeDocument/2006/relationships/styles" Target="styles.xml"/><Relationship Id="rId6" Type="http://schemas.openxmlformats.org/officeDocument/2006/relationships/hyperlink" Target="mailto:sakella@binghamton.edu" TargetMode="External"/><Relationship Id="rId7" Type="http://schemas.openxmlformats.org/officeDocument/2006/relationships/hyperlink" Target="https://www.nature.com/" TargetMode="External"/><Relationship Id="rId8" Type="http://schemas.openxmlformats.org/officeDocument/2006/relationships/hyperlink" Target="https://dl.acm.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