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eastAsia="Calibri"/>
          <w:b/>
          <w:color w:val="2E74B5"/>
          <w:sz w:val="19"/>
        </w:rPr>
        <w:t>PRODUCT REQUIREMENTS &amp; IMPLEMENTATION PLAN</w:t>
      </w:r>
    </w:p>
    <w:p>
      <w:pPr>
        <w:spacing w:after="100"/>
      </w:pPr>
      <w:r>
        <w:rPr>
          <w:rFonts w:ascii="Calibri" w:hAnsi="Calibri" w:eastAsia="Calibri"/>
          <w:b/>
          <w:color w:val="0B2545"/>
          <w:sz w:val="50"/>
        </w:rPr>
        <w:t>ICC/OIA ERP Production</w:t>
        <w:br/>
        <w:t>Upgradation and Implementation Plan</w:t>
      </w:r>
    </w:p>
    <w:p>
      <w:pPr>
        <w:spacing w:after="320"/>
        <w:pBdr>
          <w:bottom w:val="single" w:sz="18" w:space="8" w:color="2E74B5"/>
        </w:pBdr>
      </w:pPr>
      <w:r>
        <w:rPr>
          <w:rFonts w:ascii="Calibri" w:hAnsi="Calibri" w:eastAsia="Calibri"/>
          <w:i/>
          <w:color w:val="5B6573"/>
          <w:sz w:val="25"/>
        </w:rPr>
        <w:t>Authoritative operational system for ICC governance, IGP programs, execution, evidence, and institutional memory</w:t>
      </w:r>
    </w:p>
    <w:p>
      <w:pPr>
        <w:spacing w:after="60"/>
      </w:pPr>
      <w:r>
        <w:rPr>
          <w:rFonts w:ascii="Calibri" w:hAnsi="Calibri" w:eastAsia="Calibri"/>
          <w:b/>
          <w:color w:val="0B2545"/>
          <w:sz w:val="21"/>
        </w:rPr>
        <w:t xml:space="preserve">Version: </w:t>
      </w:r>
      <w:r>
        <w:rPr>
          <w:rFonts w:ascii="Calibri" w:hAnsi="Calibri" w:eastAsia="Calibri"/>
          <w:color w:val="202124"/>
          <w:sz w:val="21"/>
        </w:rPr>
        <w:t>1.0</w:t>
      </w:r>
    </w:p>
    <w:p>
      <w:pPr>
        <w:spacing w:after="60"/>
      </w:pPr>
      <w:r>
        <w:rPr>
          <w:rFonts w:ascii="Calibri" w:hAnsi="Calibri" w:eastAsia="Calibri"/>
          <w:b/>
          <w:color w:val="0B2545"/>
          <w:sz w:val="21"/>
        </w:rPr>
        <w:t xml:space="preserve">Status: </w:t>
      </w:r>
      <w:r>
        <w:rPr>
          <w:rFonts w:ascii="Calibri" w:hAnsi="Calibri" w:eastAsia="Calibri"/>
          <w:color w:val="202124"/>
          <w:sz w:val="21"/>
        </w:rPr>
        <w:t>Approved implementation baseline</w:t>
      </w:r>
    </w:p>
    <w:p>
      <w:pPr>
        <w:spacing w:after="60"/>
      </w:pPr>
      <w:r>
        <w:rPr>
          <w:rFonts w:ascii="Calibri" w:hAnsi="Calibri" w:eastAsia="Calibri"/>
          <w:b/>
          <w:color w:val="0B2545"/>
          <w:sz w:val="21"/>
        </w:rPr>
        <w:t xml:space="preserve">Prepared: </w:t>
      </w:r>
      <w:r>
        <w:rPr>
          <w:rFonts w:ascii="Calibri" w:hAnsi="Calibri" w:eastAsia="Calibri"/>
          <w:color w:val="202124"/>
          <w:sz w:val="21"/>
        </w:rPr>
        <w:t>16 July 2026</w:t>
      </w:r>
    </w:p>
    <w:p>
      <w:pPr>
        <w:spacing w:after="60"/>
      </w:pPr>
      <w:r>
        <w:rPr>
          <w:rFonts w:ascii="Calibri" w:hAnsi="Calibri" w:eastAsia="Calibri"/>
          <w:b/>
          <w:color w:val="0B2545"/>
          <w:sz w:val="21"/>
        </w:rPr>
        <w:t xml:space="preserve">Product: </w:t>
      </w:r>
      <w:r>
        <w:rPr>
          <w:rFonts w:ascii="Calibri" w:hAnsi="Calibri" w:eastAsia="Calibri"/>
          <w:color w:val="202124"/>
          <w:sz w:val="21"/>
        </w:rPr>
        <w:t>ICC/OIA Operations Suite</w:t>
      </w:r>
    </w:p>
    <w:p>
      <w:pPr>
        <w:spacing w:after="60"/>
      </w:pPr>
      <w:r>
        <w:rPr>
          <w:rFonts w:ascii="Calibri" w:hAnsi="Calibri" w:eastAsia="Calibri"/>
          <w:b/>
          <w:color w:val="0B2545"/>
          <w:sz w:val="21"/>
        </w:rPr>
        <w:t xml:space="preserve">Source of truth: </w:t>
      </w:r>
      <w:r>
        <w:rPr>
          <w:rFonts w:ascii="Calibri" w:hAnsi="Calibri" w:eastAsia="Calibri"/>
          <w:color w:val="202124"/>
          <w:sz w:val="21"/>
        </w:rPr>
        <w:t>ICC_ERP_Production_PRD_and_Implementation_Plan.md</w:t>
      </w:r>
    </w:p>
    <w:p>
      <w:pPr>
        <w:spacing w:before="360" w:after="120"/>
      </w:pPr>
      <w:r>
        <w:rPr>
          <w:rFonts w:ascii="Calibri" w:hAnsi="Calibri" w:eastAsia="Calibri"/>
          <w:b/>
          <w:color w:val="2E74B5"/>
          <w:sz w:val="18"/>
        </w:rPr>
        <w:t>IMPLEMENTATION POSITION</w:t>
      </w:r>
    </w:p>
    <w:p>
      <w:pPr>
        <w:spacing w:after="100"/>
      </w:pPr>
      <w:r>
        <w:rPr>
          <w:rFonts w:ascii="Calibri" w:hAnsi="Calibri" w:eastAsia="Calibri"/>
          <w:b/>
          <w:color w:val="0B2545"/>
          <w:sz w:val="24"/>
        </w:rPr>
        <w:t>Upgrade icc-platform-2. Archive v1 safely. Treat the first milestone as a demonstrator—not a production release.</w:t>
      </w:r>
    </w:p>
    <w:p>
      <w:pPr>
        <w:spacing w:before="400" w:after="0"/>
      </w:pPr>
      <w:r>
        <w:rPr>
          <w:rFonts w:ascii="Calibri" w:hAnsi="Calibri" w:eastAsia="Calibri"/>
          <w:b/>
          <w:color w:val="5B6573"/>
          <w:sz w:val="20"/>
        </w:rPr>
        <w:t>Release authority</w:t>
      </w:r>
    </w:p>
    <w:p>
      <w:pPr>
        <w:spacing w:after="0"/>
      </w:pPr>
      <w:r>
        <w:rPr>
          <w:rFonts w:ascii="Calibri" w:hAnsi="Calibri" w:eastAsia="Calibri"/>
          <w:color w:val="202124"/>
          <w:sz w:val="21"/>
        </w:rPr>
        <w:t>Product owner · OIA faculty owner · ICC head · IGP head</w:t>
      </w:r>
    </w:p>
    <w:p>
      <w:r>
        <w:br w:type="page"/>
      </w:r>
    </w:p>
    <w:p>
      <w:pPr>
        <w:pStyle w:val="Heading1"/>
      </w:pPr>
      <w:r>
        <w:rPr>
          <w:rFonts w:ascii="Calibri" w:hAnsi="Calibri" w:eastAsia="Calibri"/>
          <w:color w:val="202124"/>
        </w:rPr>
        <w:t>1. Executive summary</w:t>
      </w:r>
    </w:p>
    <w:p>
      <w:r>
        <w:rPr>
          <w:rFonts w:ascii="Calibri" w:hAnsi="Calibri" w:eastAsia="Calibri"/>
          <w:color w:val="202124"/>
        </w:rPr>
        <w:t>The International Christite Community (ICC) and the Office of International Affairs (OIA) need one authoritative operational system for planning, delivering, governing, and learning from ICC activities and India Gateway Program (IGP) engagements. The system must support the distinct operating models of the two wings: ICC retains annual leadership and associate teams, while IGP assembles a different operational team for each incoming program.</w:t>
      </w:r>
    </w:p>
    <w:p>
      <w:r>
        <w:rPr>
          <w:rFonts w:ascii="Calibri" w:hAnsi="Calibri" w:eastAsia="Calibri"/>
          <w:color w:val="202124"/>
        </w:rPr>
        <w:t xml:space="preserve">The recommended product direction is to upgrade </w:t>
      </w:r>
      <w:r>
        <w:rPr>
          <w:rFonts w:ascii="Courier New" w:hAnsi="Courier New" w:eastAsia="Courier New"/>
          <w:color w:val="1F4D78"/>
          <w:sz w:val="21"/>
        </w:rPr>
        <w:t>icc-platform-2</w:t>
      </w:r>
      <w:r>
        <w:rPr>
          <w:rFonts w:ascii="Calibri" w:hAnsi="Calibri" w:eastAsia="Calibri"/>
          <w:color w:val="202124"/>
        </w:rPr>
        <w:t xml:space="preserve"> into a modular OIA Operations Suite. A rewrite is not justified: v2 already provides the stronger interaction model and visual foundation. The production build will retain server-rendered Flask, Jinja, and Bootstrap, while replacing its demonstrator assumptions with a PostgreSQL data model, formal migrations, scoped authorization, auditable workflows, structured imports, and production infrastructure on Google Cloud Platform (GCP).</w:t>
      </w:r>
    </w:p>
    <w:p>
      <w:r>
        <w:rPr>
          <w:rFonts w:ascii="Calibri" w:hAnsi="Calibri" w:eastAsia="Calibri"/>
          <w:color w:val="202124"/>
        </w:rPr>
        <w:t xml:space="preserve">The first implementation milestone is a demonstrator, explicitly labelled </w:t>
      </w:r>
      <w:r>
        <w:rPr>
          <w:rFonts w:ascii="Calibri" w:hAnsi="Calibri" w:eastAsia="Calibri"/>
          <w:b/>
          <w:color w:val="202124"/>
        </w:rPr>
        <w:t>“Demonstrator—Not Production.”</w:t>
      </w:r>
      <w:r>
        <w:rPr>
          <w:rFonts w:ascii="Calibri" w:hAnsi="Calibri" w:eastAsia="Calibri"/>
          <w:color w:val="202124"/>
        </w:rPr>
        <w:t xml:space="preserve"> Production approval follows hardening, migration rehearsals, an ICC pilot, an IGP pilot, and approval by the product owner, an OIA faculty owner, one ICC head, and one IGP head.</w:t>
      </w:r>
    </w:p>
    <w:p>
      <w:pPr>
        <w:pStyle w:val="Heading2"/>
      </w:pPr>
      <w:r>
        <w:rPr>
          <w:rFonts w:ascii="Calibri" w:hAnsi="Calibri" w:eastAsia="Calibri"/>
          <w:color w:val="202124"/>
        </w:rPr>
        <w:t>1.1 Locked decisions</w:t>
      </w:r>
    </w:p>
    <w:p>
      <w:pPr>
        <w:spacing w:after="80" w:line="300" w:lineRule="auto"/>
        <w:keepNext/>
        <w:numPr>
          <w:ilvl w:val="0"/>
          <w:numId w:val="10"/>
        </w:numPr>
      </w:pPr>
      <w:r>
        <w:rPr>
          <w:rFonts w:ascii="Calibri" w:hAnsi="Calibri" w:eastAsia="Calibri"/>
          <w:color w:val="202124"/>
        </w:rPr>
        <w:t xml:space="preserve">Upgrade </w:t>
      </w:r>
      <w:r>
        <w:rPr>
          <w:rFonts w:ascii="Courier New" w:hAnsi="Courier New" w:eastAsia="Courier New"/>
          <w:color w:val="1F4D78"/>
          <w:sz w:val="21"/>
        </w:rPr>
        <w:t>icc-platform-2</w:t>
      </w:r>
      <w:r>
        <w:rPr>
          <w:rFonts w:ascii="Calibri" w:hAnsi="Calibri" w:eastAsia="Calibri"/>
          <w:color w:val="202124"/>
        </w:rPr>
        <w:t>; do not rewrite the product.</w:t>
      </w:r>
    </w:p>
    <w:p>
      <w:pPr>
        <w:spacing w:after="80" w:line="300" w:lineRule="auto"/>
        <w:keepNext/>
        <w:numPr>
          <w:ilvl w:val="0"/>
          <w:numId w:val="10"/>
        </w:numPr>
      </w:pPr>
      <w:r>
        <w:rPr>
          <w:rFonts w:ascii="Calibri" w:hAnsi="Calibri" w:eastAsia="Calibri"/>
          <w:color w:val="202124"/>
        </w:rPr>
        <w:t>Use a modular Flask/Jinja/Bootstrap application with PostgreSQL and formal migrations.</w:t>
      </w:r>
    </w:p>
    <w:p>
      <w:pPr>
        <w:spacing w:after="80" w:line="300" w:lineRule="auto"/>
        <w:keepNext/>
        <w:numPr>
          <w:ilvl w:val="0"/>
          <w:numId w:val="10"/>
        </w:numPr>
      </w:pPr>
      <w:r>
        <w:rPr>
          <w:rFonts w:ascii="Calibri" w:hAnsi="Calibri" w:eastAsia="Calibri"/>
          <w:color w:val="202124"/>
        </w:rPr>
        <w:t xml:space="preserve">Target GCP: Cloud Run, Cloud SQL for PostgreSQL, Secret Manager, Cloud Tasks, Cloud Scheduler, and Cloud Monitoring. Cloud Run provides managed HTTPS container hosting and autoscaling; Cloud SQL supports regional high availability and automated recovery options. See </w:t>
      </w:r>
      <w:hyperlink r:id="rId13">
        <w:r>
          <w:rPr>
            <w:rFonts w:ascii="Calibri" w:hAnsi="Calibri"/>
            <w:color w:val="2E74B5"/>
            <w:u w:val="single"/>
          </w:rPr>
          <w:t>Cloud Run</w:t>
        </w:r>
      </w:hyperlink>
      <w:r>
        <w:rPr>
          <w:rFonts w:ascii="Calibri" w:hAnsi="Calibri" w:eastAsia="Calibri"/>
          <w:color w:val="202124"/>
        </w:rPr>
        <w:t xml:space="preserve">, </w:t>
      </w:r>
      <w:hyperlink r:id="rId14">
        <w:r>
          <w:rPr>
            <w:rFonts w:ascii="Calibri" w:hAnsi="Calibri"/>
            <w:color w:val="2E74B5"/>
            <w:u w:val="single"/>
          </w:rPr>
          <w:t>Cloud SQL high availability</w:t>
        </w:r>
      </w:hyperlink>
      <w:r>
        <w:rPr>
          <w:rFonts w:ascii="Calibri" w:hAnsi="Calibri" w:eastAsia="Calibri"/>
          <w:color w:val="202124"/>
        </w:rPr>
        <w:t xml:space="preserve">, and </w:t>
      </w:r>
      <w:hyperlink r:id="rId15">
        <w:r>
          <w:rPr>
            <w:rFonts w:ascii="Calibri" w:hAnsi="Calibri"/>
            <w:color w:val="2E74B5"/>
            <w:u w:val="single"/>
          </w:rPr>
          <w:t>Secret Manager</w:t>
        </w:r>
      </w:hyperlink>
      <w:r>
        <w:rPr>
          <w:rFonts w:ascii="Calibri" w:hAnsi="Calibri" w:eastAsia="Calibri"/>
          <w:color w:val="202124"/>
        </w:rPr>
        <w:t>.</w:t>
      </w:r>
    </w:p>
    <w:p>
      <w:pPr>
        <w:spacing w:after="80" w:line="300" w:lineRule="auto"/>
        <w:keepNext/>
        <w:numPr>
          <w:ilvl w:val="0"/>
          <w:numId w:val="10"/>
        </w:numPr>
      </w:pPr>
      <w:r>
        <w:rPr>
          <w:rFonts w:ascii="Calibri" w:hAnsi="Calibri" w:eastAsia="Calibri"/>
          <w:color w:val="202124"/>
        </w:rPr>
        <w:t>Retain platform-managed accounts initially. Build an identity-provider adapter so a CHRIST directory or Google SSO can replace authentication later without changing operational records.</w:t>
      </w:r>
    </w:p>
    <w:p>
      <w:pPr>
        <w:spacing w:after="80" w:line="300" w:lineRule="auto"/>
        <w:keepNext/>
        <w:numPr>
          <w:ilvl w:val="0"/>
          <w:numId w:val="10"/>
        </w:numPr>
      </w:pPr>
      <w:r>
        <w:rPr>
          <w:rFonts w:ascii="Calibri" w:hAnsi="Calibri" w:eastAsia="Calibri"/>
          <w:color w:val="202124"/>
        </w:rPr>
        <w:t>Store sensitive IGP requirement status and restricted Google Drive references, not passport, visa, or C-Form files.</w:t>
      </w:r>
    </w:p>
    <w:p>
      <w:pPr>
        <w:spacing w:after="80" w:line="300" w:lineRule="auto"/>
        <w:keepNext/>
        <w:numPr>
          <w:ilvl w:val="0"/>
          <w:numId w:val="10"/>
        </w:numPr>
      </w:pPr>
      <w:r>
        <w:rPr>
          <w:rFonts w:ascii="Calibri" w:hAnsi="Calibri" w:eastAsia="Calibri"/>
          <w:color w:val="202124"/>
        </w:rPr>
        <w:t>Build a three-day demonstrator, not a production release.</w:t>
      </w:r>
    </w:p>
    <w:p>
      <w:pPr>
        <w:spacing w:after="80" w:line="300" w:lineRule="auto"/>
        <w:keepNext/>
        <w:numPr>
          <w:ilvl w:val="0"/>
          <w:numId w:val="10"/>
        </w:numPr>
      </w:pPr>
      <w:r>
        <w:rPr>
          <w:rFonts w:ascii="Calibri" w:hAnsi="Calibri" w:eastAsia="Calibri"/>
          <w:color w:val="202124"/>
        </w:rPr>
        <w:t>Start production with a fresh database. Synthetic v2 seed data remains development-only.</w:t>
      </w:r>
    </w:p>
    <w:p>
      <w:pPr>
        <w:spacing w:after="80" w:line="300" w:lineRule="auto"/>
        <w:keepNext w:val="0"/>
        <w:numPr>
          <w:ilvl w:val="0"/>
          <w:numId w:val="10"/>
        </w:numPr>
      </w:pPr>
      <w:r>
        <w:rPr>
          <w:rFonts w:ascii="Calibri" w:hAnsi="Calibri" w:eastAsia="Calibri"/>
          <w:color w:val="202124"/>
        </w:rPr>
        <w:t>Release approval requires the product owner, an OIA faculty owner, one ICC head, and one IGP head.</w:t>
      </w:r>
    </w:p>
    <w:p>
      <w:pPr>
        <w:pStyle w:val="Heading2"/>
      </w:pPr>
      <w:r>
        <w:rPr>
          <w:rFonts w:ascii="Calibri" w:hAnsi="Calibri" w:eastAsia="Calibri"/>
          <w:color w:val="202124"/>
        </w:rPr>
        <w:t>1.2 V1 deletion decision</w:t>
      </w:r>
    </w:p>
    <w:p>
      <w:r>
        <w:rPr>
          <w:rFonts w:ascii="Calibri" w:hAnsi="Calibri" w:eastAsia="Calibri"/>
          <w:b/>
          <w:color w:val="202124"/>
        </w:rPr>
        <w:t>Do not delete `icc-platform` yet.</w:t>
      </w:r>
    </w:p>
    <w:p>
      <w:r>
        <w:rPr>
          <w:rFonts w:ascii="Calibri" w:hAnsi="Calibri" w:eastAsia="Calibri"/>
          <w:color w:val="202124"/>
        </w:rPr>
        <w:t>It contains uncommitted work and useful v1-only concepts absent from v2, including project components, project CRUD, explicit permission rules, public feedback, student history, magazine logic, and PWA/offline support.</w:t>
      </w:r>
    </w:p>
    <w:p>
      <w:r>
        <w:rPr>
          <w:rFonts w:ascii="Calibri" w:hAnsi="Calibri" w:eastAsia="Calibri"/>
          <w:color w:val="202124"/>
        </w:rPr>
        <w:t>Delete the local folder only after:</w:t>
      </w:r>
    </w:p>
    <w:p>
      <w:pPr>
        <w:spacing w:after="80" w:line="300" w:lineRule="auto"/>
        <w:keepNext/>
        <w:numPr>
          <w:ilvl w:val="0"/>
          <w:numId w:val="11"/>
        </w:numPr>
      </w:pPr>
      <w:r>
        <w:rPr>
          <w:rFonts w:ascii="Calibri" w:hAnsi="Calibri" w:eastAsia="Calibri"/>
          <w:color w:val="202124"/>
        </w:rPr>
        <w:t xml:space="preserve">Committing its complete current state to an </w:t>
      </w:r>
      <w:r>
        <w:rPr>
          <w:rFonts w:ascii="Courier New" w:hAnsi="Courier New" w:eastAsia="Courier New"/>
          <w:color w:val="1F4D78"/>
          <w:sz w:val="21"/>
        </w:rPr>
        <w:t>archive/v1-final</w:t>
      </w:r>
      <w:r>
        <w:rPr>
          <w:rFonts w:ascii="Calibri" w:hAnsi="Calibri" w:eastAsia="Calibri"/>
          <w:color w:val="202124"/>
        </w:rPr>
        <w:t xml:space="preserve"> branch.</w:t>
      </w:r>
    </w:p>
    <w:p>
      <w:pPr>
        <w:spacing w:after="80" w:line="300" w:lineRule="auto"/>
        <w:keepNext/>
        <w:numPr>
          <w:ilvl w:val="0"/>
          <w:numId w:val="11"/>
        </w:numPr>
      </w:pPr>
      <w:r>
        <w:rPr>
          <w:rFonts w:ascii="Calibri" w:hAnsi="Calibri" w:eastAsia="Calibri"/>
          <w:color w:val="202124"/>
        </w:rPr>
        <w:t>Creating a Git bundle and checksum outside the folder.</w:t>
      </w:r>
    </w:p>
    <w:p>
      <w:pPr>
        <w:spacing w:after="80" w:line="300" w:lineRule="auto"/>
        <w:keepNext/>
        <w:numPr>
          <w:ilvl w:val="0"/>
          <w:numId w:val="11"/>
        </w:numPr>
      </w:pPr>
      <w:r>
        <w:rPr>
          <w:rFonts w:ascii="Calibri" w:hAnsi="Calibri" w:eastAsia="Calibri"/>
          <w:color w:val="202124"/>
        </w:rPr>
        <w:t>Recording a capability inventory in this PRD.</w:t>
      </w:r>
    </w:p>
    <w:p>
      <w:pPr>
        <w:spacing w:after="80" w:line="300" w:lineRule="auto"/>
        <w:keepNext/>
        <w:numPr>
          <w:ilvl w:val="0"/>
          <w:numId w:val="11"/>
        </w:numPr>
      </w:pPr>
      <w:r>
        <w:rPr>
          <w:rFonts w:ascii="Calibri" w:hAnsi="Calibri" w:eastAsia="Calibri"/>
          <w:color w:val="202124"/>
        </w:rPr>
        <w:t>Carrying forward project components, scoped permission concepts, public feedback, and PWA readiness.</w:t>
      </w:r>
    </w:p>
    <w:p>
      <w:pPr>
        <w:spacing w:after="80" w:line="300" w:lineRule="auto"/>
        <w:keepNext/>
        <w:numPr>
          <w:ilvl w:val="0"/>
          <w:numId w:val="11"/>
        </w:numPr>
      </w:pPr>
      <w:r>
        <w:rPr>
          <w:rFonts w:ascii="Calibri" w:hAnsi="Calibri" w:eastAsia="Calibri"/>
          <w:color w:val="202124"/>
        </w:rPr>
        <w:t>Recording the magazine, journey timeline, and engagement score as deferred—not lost—requirements.</w:t>
      </w:r>
    </w:p>
    <w:p>
      <w:pPr>
        <w:spacing w:after="80" w:line="300" w:lineRule="auto"/>
        <w:keepNext w:val="0"/>
        <w:numPr>
          <w:ilvl w:val="0"/>
          <w:numId w:val="11"/>
        </w:numPr>
      </w:pPr>
      <w:r>
        <w:rPr>
          <w:rFonts w:ascii="Calibri" w:hAnsi="Calibri" w:eastAsia="Calibri"/>
          <w:color w:val="202124"/>
        </w:rPr>
        <w:t>Confirming that the archive can be restored.</w:t>
      </w:r>
    </w:p>
    <w:p>
      <w:pPr>
        <w:pStyle w:val="Heading1"/>
      </w:pPr>
      <w:r>
        <w:rPr>
          <w:rFonts w:ascii="Calibri" w:hAnsi="Calibri" w:eastAsia="Calibri"/>
          <w:color w:val="202124"/>
        </w:rPr>
        <w:t>2. Product vision, purpose, and boundaries</w:t>
      </w:r>
    </w:p>
    <w:p>
      <w:pPr>
        <w:pStyle w:val="Heading2"/>
      </w:pPr>
      <w:r>
        <w:rPr>
          <w:rFonts w:ascii="Calibri" w:hAnsi="Calibri" w:eastAsia="Calibri"/>
          <w:color w:val="202124"/>
        </w:rPr>
        <w:t>2.1 Vision</w:t>
      </w:r>
    </w:p>
    <w:p>
      <w:r>
        <w:rPr>
          <w:rFonts w:ascii="Calibri" w:hAnsi="Calibri" w:eastAsia="Calibri"/>
          <w:color w:val="202124"/>
        </w:rPr>
        <w:t>Create a durable institutional memory and operational control plane for OIA activities: one system in which authorized stakeholders can understand what is planned, what is due, who is responsible, what evidence exists, what happened, and what must be carried forward to the next team or academic year.</w:t>
      </w:r>
    </w:p>
    <w:p>
      <w:r>
        <w:rPr>
          <w:rFonts w:ascii="Calibri" w:hAnsi="Calibri" w:eastAsia="Calibri"/>
          <w:color w:val="202124"/>
        </w:rPr>
        <w:t>The product is not merely an event tracker. It is an operations suite that connects governance, people, programs, execution, evidence, approvals, and reporting while respecting the different structures, privacy needs, and authority boundaries of ICC and IGP.</w:t>
      </w:r>
    </w:p>
    <w:p>
      <w:pPr>
        <w:pStyle w:val="Heading2"/>
      </w:pPr>
      <w:r>
        <w:rPr>
          <w:rFonts w:ascii="Calibri" w:hAnsi="Calibri" w:eastAsia="Calibri"/>
          <w:color w:val="202124"/>
        </w:rPr>
        <w:t>2.2 Goals</w:t>
      </w:r>
    </w:p>
    <w:p>
      <w:pPr>
        <w:spacing w:after="80" w:line="300" w:lineRule="auto"/>
        <w:keepNext/>
        <w:numPr>
          <w:ilvl w:val="0"/>
          <w:numId w:val="12"/>
        </w:numPr>
      </w:pPr>
      <w:r>
        <w:rPr>
          <w:rFonts w:ascii="Calibri" w:hAnsi="Calibri" w:eastAsia="Calibri"/>
          <w:color w:val="202124"/>
        </w:rPr>
        <w:t>Replace fragmented spreadsheets, folders, messages, and informal handovers with structured, auditable workflows.</w:t>
      </w:r>
    </w:p>
    <w:p>
      <w:pPr>
        <w:spacing w:after="80" w:line="300" w:lineRule="auto"/>
        <w:keepNext/>
        <w:numPr>
          <w:ilvl w:val="0"/>
          <w:numId w:val="12"/>
        </w:numPr>
      </w:pPr>
      <w:r>
        <w:rPr>
          <w:rFonts w:ascii="Calibri" w:hAnsi="Calibri" w:eastAsia="Calibri"/>
          <w:color w:val="202124"/>
        </w:rPr>
        <w:t>Preserve annual ICC leadership and associate history while supporting program-specific IGP recruitment and teams.</w:t>
      </w:r>
    </w:p>
    <w:p>
      <w:pPr>
        <w:spacing w:after="80" w:line="300" w:lineRule="auto"/>
        <w:keepNext/>
        <w:numPr>
          <w:ilvl w:val="0"/>
          <w:numId w:val="12"/>
        </w:numPr>
      </w:pPr>
      <w:r>
        <w:rPr>
          <w:rFonts w:ascii="Calibri" w:hAnsi="Calibri" w:eastAsia="Calibri"/>
          <w:color w:val="202124"/>
        </w:rPr>
        <w:t>Make responsibilities, deadlines, approvals, and closure blockers visible.</w:t>
      </w:r>
    </w:p>
    <w:p>
      <w:pPr>
        <w:spacing w:after="80" w:line="300" w:lineRule="auto"/>
        <w:keepNext/>
        <w:numPr>
          <w:ilvl w:val="0"/>
          <w:numId w:val="12"/>
        </w:numPr>
      </w:pPr>
      <w:r>
        <w:rPr>
          <w:rFonts w:ascii="Calibri" w:hAnsi="Calibri" w:eastAsia="Calibri"/>
          <w:color w:val="202124"/>
        </w:rPr>
        <w:t>Reproduce operational and narrative reports from structured source records.</w:t>
      </w:r>
    </w:p>
    <w:p>
      <w:pPr>
        <w:spacing w:after="80" w:line="300" w:lineRule="auto"/>
        <w:keepNext/>
        <w:numPr>
          <w:ilvl w:val="0"/>
          <w:numId w:val="12"/>
        </w:numPr>
      </w:pPr>
      <w:r>
        <w:rPr>
          <w:rFonts w:ascii="Calibri" w:hAnsi="Calibri" w:eastAsia="Calibri"/>
          <w:color w:val="202124"/>
        </w:rPr>
        <w:t>Reduce duplicate data entry through templates, bulk operations, and staged imports.</w:t>
      </w:r>
    </w:p>
    <w:p>
      <w:pPr>
        <w:spacing w:after="80" w:line="300" w:lineRule="auto"/>
        <w:keepNext/>
        <w:numPr>
          <w:ilvl w:val="0"/>
          <w:numId w:val="12"/>
        </w:numPr>
      </w:pPr>
      <w:r>
        <w:rPr>
          <w:rFonts w:ascii="Calibri" w:hAnsi="Calibri" w:eastAsia="Calibri"/>
          <w:color w:val="202124"/>
        </w:rPr>
        <w:t>Preserve privacy by storing sensitive-document status and restricted references instead of sensitive file binaries.</w:t>
      </w:r>
    </w:p>
    <w:p>
      <w:pPr>
        <w:spacing w:after="80" w:line="300" w:lineRule="auto"/>
        <w:keepNext/>
        <w:numPr>
          <w:ilvl w:val="0"/>
          <w:numId w:val="12"/>
        </w:numPr>
      </w:pPr>
      <w:r>
        <w:rPr>
          <w:rFonts w:ascii="Calibri" w:hAnsi="Calibri" w:eastAsia="Calibri"/>
          <w:color w:val="202124"/>
        </w:rPr>
        <w:t>Give faculty and student leaders reliable oversight without exposing records beyond their assigned scope.</w:t>
      </w:r>
    </w:p>
    <w:p>
      <w:pPr>
        <w:spacing w:after="80" w:line="300" w:lineRule="auto"/>
        <w:keepNext w:val="0"/>
        <w:numPr>
          <w:ilvl w:val="0"/>
          <w:numId w:val="12"/>
        </w:numPr>
      </w:pPr>
      <w:r>
        <w:rPr>
          <w:rFonts w:ascii="Calibri" w:hAnsi="Calibri" w:eastAsia="Calibri"/>
          <w:color w:val="202124"/>
        </w:rPr>
        <w:t>Build a foundation that can later integrate institutional identity and other university systems.</w:t>
      </w:r>
    </w:p>
    <w:p>
      <w:pPr>
        <w:pStyle w:val="Heading2"/>
      </w:pPr>
      <w:r>
        <w:rPr>
          <w:rFonts w:ascii="Calibri" w:hAnsi="Calibri" w:eastAsia="Calibri"/>
          <w:color w:val="202124"/>
        </w:rPr>
        <w:t>2.3 Product boundary</w:t>
      </w:r>
    </w:p>
    <w:p>
      <w:r>
        <w:rPr>
          <w:rFonts w:ascii="Calibri" w:hAnsi="Calibri" w:eastAsia="Calibri"/>
          <w:color w:val="202124"/>
        </w:rPr>
        <w:t>The OIA Operations Suite is the authoritative operational record for:</w:t>
      </w:r>
    </w:p>
    <w:p>
      <w:pPr>
        <w:spacing w:after="80" w:line="300" w:lineRule="auto"/>
        <w:keepNext/>
        <w:numPr>
          <w:ilvl w:val="0"/>
          <w:numId w:val="13"/>
        </w:numPr>
      </w:pPr>
      <w:r>
        <w:rPr>
          <w:rFonts w:ascii="Calibri" w:hAnsi="Calibri" w:eastAsia="Calibri"/>
          <w:color w:val="202124"/>
        </w:rPr>
        <w:t>ICC governance and the Events, Media, and Culturals wings.</w:t>
      </w:r>
    </w:p>
    <w:p>
      <w:pPr>
        <w:spacing w:after="80" w:line="300" w:lineRule="auto"/>
        <w:keepNext/>
        <w:numPr>
          <w:ilvl w:val="0"/>
          <w:numId w:val="13"/>
        </w:numPr>
      </w:pPr>
      <w:r>
        <w:rPr>
          <w:rFonts w:ascii="Calibri" w:hAnsi="Calibri" w:eastAsia="Calibri"/>
          <w:color w:val="202124"/>
        </w:rPr>
        <w:t>IGP incoming exchange, immersion, summer-school, and visitor programs.</w:t>
      </w:r>
    </w:p>
    <w:p>
      <w:pPr>
        <w:spacing w:after="80" w:line="300" w:lineRule="auto"/>
        <w:keepNext/>
        <w:numPr>
          <w:ilvl w:val="0"/>
          <w:numId w:val="13"/>
        </w:numPr>
      </w:pPr>
      <w:r>
        <w:rPr>
          <w:rFonts w:ascii="Calibri" w:hAnsi="Calibri" w:eastAsia="Calibri"/>
          <w:color w:val="202124"/>
        </w:rPr>
        <w:t>Partner-university and mobility cohorts.</w:t>
      </w:r>
    </w:p>
    <w:p>
      <w:pPr>
        <w:spacing w:after="80" w:line="300" w:lineRule="auto"/>
        <w:keepNext w:val="0"/>
        <w:numPr>
          <w:ilvl w:val="0"/>
          <w:numId w:val="13"/>
        </w:numPr>
      </w:pPr>
      <w:r>
        <w:rPr>
          <w:rFonts w:ascii="Calibri" w:hAnsi="Calibri" w:eastAsia="Calibri"/>
          <w:color w:val="202124"/>
        </w:rPr>
        <w:t>Teams, volunteers, buddies, participants, schedules, tasks, checklists, documents, attendance, feedback, budgets, reports, and institutional memory.</w:t>
      </w:r>
    </w:p>
    <w:p>
      <w:r>
        <w:rPr>
          <w:rFonts w:ascii="Calibri" w:hAnsi="Calibri" w:eastAsia="Calibri"/>
          <w:color w:val="202124"/>
        </w:rPr>
        <w:t>The initial production release excludes:</w:t>
      </w:r>
    </w:p>
    <w:p>
      <w:pPr>
        <w:spacing w:after="80" w:line="300" w:lineRule="auto"/>
        <w:keepNext/>
        <w:numPr>
          <w:ilvl w:val="0"/>
          <w:numId w:val="14"/>
        </w:numPr>
      </w:pPr>
      <w:r>
        <w:rPr>
          <w:rFonts w:ascii="Calibri" w:hAnsi="Calibri" w:eastAsia="Calibri"/>
          <w:color w:val="202124"/>
        </w:rPr>
        <w:t>International admissions processing.</w:t>
      </w:r>
    </w:p>
    <w:p>
      <w:pPr>
        <w:spacing w:after="80" w:line="300" w:lineRule="auto"/>
        <w:keepNext/>
        <w:numPr>
          <w:ilvl w:val="0"/>
          <w:numId w:val="14"/>
        </w:numPr>
      </w:pPr>
      <w:r>
        <w:rPr>
          <w:rFonts w:ascii="Calibri" w:hAnsi="Calibri" w:eastAsia="Calibri"/>
          <w:color w:val="202124"/>
        </w:rPr>
        <w:t>Academic records and course administration.</w:t>
      </w:r>
    </w:p>
    <w:p>
      <w:pPr>
        <w:spacing w:after="80" w:line="300" w:lineRule="auto"/>
        <w:keepNext/>
        <w:numPr>
          <w:ilvl w:val="0"/>
          <w:numId w:val="14"/>
        </w:numPr>
      </w:pPr>
      <w:r>
        <w:rPr>
          <w:rFonts w:ascii="Calibri" w:hAnsi="Calibri" w:eastAsia="Calibri"/>
          <w:color w:val="202124"/>
        </w:rPr>
        <w:t>Official FRRO or visa case management.</w:t>
      </w:r>
    </w:p>
    <w:p>
      <w:pPr>
        <w:spacing w:after="80" w:line="300" w:lineRule="auto"/>
        <w:keepNext/>
        <w:numPr>
          <w:ilvl w:val="0"/>
          <w:numId w:val="14"/>
        </w:numPr>
      </w:pPr>
      <w:r>
        <w:rPr>
          <w:rFonts w:ascii="Calibri" w:hAnsi="Calibri" w:eastAsia="Calibri"/>
          <w:color w:val="202124"/>
        </w:rPr>
        <w:t>University accounting or payment execution.</w:t>
      </w:r>
    </w:p>
    <w:p>
      <w:pPr>
        <w:spacing w:after="80" w:line="300" w:lineRule="auto"/>
        <w:keepNext/>
        <w:numPr>
          <w:ilvl w:val="0"/>
          <w:numId w:val="14"/>
        </w:numPr>
      </w:pPr>
      <w:r>
        <w:rPr>
          <w:rFonts w:ascii="Calibri" w:hAnsi="Calibri" w:eastAsia="Calibri"/>
          <w:color w:val="202124"/>
        </w:rPr>
        <w:t>File-binary storage outside Google Drive.</w:t>
      </w:r>
    </w:p>
    <w:p>
      <w:pPr>
        <w:spacing w:after="80" w:line="300" w:lineRule="auto"/>
        <w:keepNext/>
        <w:numPr>
          <w:ilvl w:val="0"/>
          <w:numId w:val="14"/>
        </w:numPr>
      </w:pPr>
      <w:r>
        <w:rPr>
          <w:rFonts w:ascii="Calibri" w:hAnsi="Calibri" w:eastAsia="Calibri"/>
          <w:color w:val="202124"/>
        </w:rPr>
        <w:t>Native mobile applications.</w:t>
      </w:r>
    </w:p>
    <w:p>
      <w:pPr>
        <w:spacing w:after="80" w:line="300" w:lineRule="auto"/>
        <w:keepNext w:val="0"/>
        <w:numPr>
          <w:ilvl w:val="0"/>
          <w:numId w:val="14"/>
        </w:numPr>
      </w:pPr>
      <w:r>
        <w:rPr>
          <w:rFonts w:ascii="Calibri" w:hAnsi="Calibri" w:eastAsia="Calibri"/>
          <w:color w:val="202124"/>
        </w:rPr>
        <w:t>Magazine generation and gamified engagement scoring.</w:t>
      </w:r>
    </w:p>
    <w:p>
      <w:r>
        <w:rPr>
          <w:rFonts w:ascii="Calibri" w:hAnsi="Calibri" w:eastAsia="Calibri"/>
          <w:color w:val="202124"/>
        </w:rPr>
        <w:t>Operational finance is included only as budget estimates, approval requests, commitments, official reference numbers, and status. The university finance system remains authoritative for payments.</w:t>
      </w:r>
    </w:p>
    <w:p>
      <w:pPr>
        <w:pStyle w:val="Heading1"/>
      </w:pPr>
      <w:r>
        <w:rPr>
          <w:rFonts w:ascii="Calibri" w:hAnsi="Calibri" w:eastAsia="Calibri"/>
          <w:color w:val="202124"/>
        </w:rPr>
        <w:t>3. Stakeholders and operating model</w:t>
      </w:r>
    </w:p>
    <w:p>
      <w:pPr>
        <w:pStyle w:val="Heading2"/>
      </w:pPr>
      <w:r>
        <w:rPr>
          <w:rFonts w:ascii="Calibri" w:hAnsi="Calibri" w:eastAsia="Calibri"/>
          <w:color w:val="202124"/>
        </w:rPr>
        <w:t>3.1 Primary stakeholders</w:t>
      </w:r>
    </w:p>
    <w:p>
      <w:pPr>
        <w:spacing w:after="80" w:line="300" w:lineRule="auto"/>
        <w:keepNext/>
        <w:numPr>
          <w:ilvl w:val="0"/>
          <w:numId w:val="15"/>
        </w:numPr>
      </w:pPr>
      <w:r>
        <w:rPr>
          <w:rFonts w:ascii="Calibri" w:hAnsi="Calibri" w:eastAsia="Calibri"/>
          <w:b/>
          <w:color w:val="202124"/>
        </w:rPr>
        <w:t>OIA faculty and administrators:</w:t>
      </w:r>
      <w:r>
        <w:rPr>
          <w:rFonts w:ascii="Calibri" w:hAnsi="Calibri" w:eastAsia="Calibri"/>
          <w:color w:val="202124"/>
        </w:rPr>
        <w:t xml:space="preserve"> institutional oversight, approvals, compliance readiness, continuity, reporting, and audit access.</w:t>
      </w:r>
    </w:p>
    <w:p>
      <w:pPr>
        <w:spacing w:after="80" w:line="300" w:lineRule="auto"/>
        <w:keepNext/>
        <w:numPr>
          <w:ilvl w:val="0"/>
          <w:numId w:val="15"/>
        </w:numPr>
      </w:pPr>
      <w:r>
        <w:rPr>
          <w:rFonts w:ascii="Calibri" w:hAnsi="Calibri" w:eastAsia="Calibri"/>
          <w:b/>
          <w:color w:val="202124"/>
        </w:rPr>
        <w:t>ICC Secretary / USC:</w:t>
      </w:r>
      <w:r>
        <w:rPr>
          <w:rFonts w:ascii="Calibri" w:hAnsi="Calibri" w:eastAsia="Calibri"/>
          <w:color w:val="202124"/>
        </w:rPr>
        <w:t xml:space="preserve"> cross-wing governance, annual planning, coordination, and consolidated reporting.</w:t>
      </w:r>
    </w:p>
    <w:p>
      <w:pPr>
        <w:spacing w:after="80" w:line="300" w:lineRule="auto"/>
        <w:keepNext/>
        <w:numPr>
          <w:ilvl w:val="0"/>
          <w:numId w:val="15"/>
        </w:numPr>
      </w:pPr>
      <w:r>
        <w:rPr>
          <w:rFonts w:ascii="Calibri" w:hAnsi="Calibri" w:eastAsia="Calibri"/>
          <w:b/>
          <w:color w:val="202124"/>
        </w:rPr>
        <w:t>ICC wing heads:</w:t>
      </w:r>
      <w:r>
        <w:rPr>
          <w:rFonts w:ascii="Calibri" w:hAnsi="Calibri" w:eastAsia="Calibri"/>
          <w:color w:val="202124"/>
        </w:rPr>
        <w:t xml:space="preserve"> delivery ownership for Events, Media, and Culturals, including teams, assignments, schedules, and closure.</w:t>
      </w:r>
    </w:p>
    <w:p>
      <w:pPr>
        <w:spacing w:after="80" w:line="300" w:lineRule="auto"/>
        <w:keepNext/>
        <w:numPr>
          <w:ilvl w:val="0"/>
          <w:numId w:val="15"/>
        </w:numPr>
      </w:pPr>
      <w:r>
        <w:rPr>
          <w:rFonts w:ascii="Calibri" w:hAnsi="Calibri" w:eastAsia="Calibri"/>
          <w:b/>
          <w:color w:val="202124"/>
        </w:rPr>
        <w:t>ICC associates:</w:t>
      </w:r>
      <w:r>
        <w:rPr>
          <w:rFonts w:ascii="Calibri" w:hAnsi="Calibri" w:eastAsia="Calibri"/>
          <w:color w:val="202124"/>
        </w:rPr>
        <w:t xml:space="preserve"> annual team members who need focused work queues, resources, attendance, contribution history, and feedback.</w:t>
      </w:r>
    </w:p>
    <w:p>
      <w:pPr>
        <w:spacing w:after="80" w:line="300" w:lineRule="auto"/>
        <w:keepNext/>
        <w:numPr>
          <w:ilvl w:val="0"/>
          <w:numId w:val="15"/>
        </w:numPr>
      </w:pPr>
      <w:r>
        <w:rPr>
          <w:rFonts w:ascii="Calibri" w:hAnsi="Calibri" w:eastAsia="Calibri"/>
          <w:b/>
          <w:color w:val="202124"/>
        </w:rPr>
        <w:t>IGP heads and program leads:</w:t>
      </w:r>
      <w:r>
        <w:rPr>
          <w:rFonts w:ascii="Calibri" w:hAnsi="Calibri" w:eastAsia="Calibri"/>
          <w:color w:val="202124"/>
        </w:rPr>
        <w:t xml:space="preserve"> partner and cohort management, program readiness, recruitment, logistics, buddies, checklists, and reports.</w:t>
      </w:r>
    </w:p>
    <w:p>
      <w:pPr>
        <w:spacing w:after="80" w:line="300" w:lineRule="auto"/>
        <w:keepNext/>
        <w:numPr>
          <w:ilvl w:val="0"/>
          <w:numId w:val="15"/>
        </w:numPr>
      </w:pPr>
      <w:r>
        <w:rPr>
          <w:rFonts w:ascii="Calibri" w:hAnsi="Calibri" w:eastAsia="Calibri"/>
          <w:b/>
          <w:color w:val="202124"/>
        </w:rPr>
        <w:t>IGP volunteers and buddies:</w:t>
      </w:r>
      <w:r>
        <w:rPr>
          <w:rFonts w:ascii="Calibri" w:hAnsi="Calibri" w:eastAsia="Calibri"/>
          <w:color w:val="202124"/>
        </w:rPr>
        <w:t xml:space="preserve"> program-specific assignments, schedules, resources, interaction logs, and escalation paths.</w:t>
      </w:r>
    </w:p>
    <w:p>
      <w:pPr>
        <w:spacing w:after="80" w:line="300" w:lineRule="auto"/>
        <w:keepNext/>
        <w:numPr>
          <w:ilvl w:val="0"/>
          <w:numId w:val="15"/>
        </w:numPr>
      </w:pPr>
      <w:r>
        <w:rPr>
          <w:rFonts w:ascii="Calibri" w:hAnsi="Calibri" w:eastAsia="Calibri"/>
          <w:b/>
          <w:color w:val="202124"/>
        </w:rPr>
        <w:t>Participants and exchange students:</w:t>
      </w:r>
      <w:r>
        <w:rPr>
          <w:rFonts w:ascii="Calibri" w:hAnsi="Calibri" w:eastAsia="Calibri"/>
          <w:color w:val="202124"/>
        </w:rPr>
        <w:t xml:space="preserve"> permitted schedules, resources, personal records, and feedback forms.</w:t>
      </w:r>
    </w:p>
    <w:p>
      <w:pPr>
        <w:spacing w:after="80" w:line="300" w:lineRule="auto"/>
        <w:keepNext w:val="0"/>
        <w:numPr>
          <w:ilvl w:val="0"/>
          <w:numId w:val="15"/>
        </w:numPr>
      </w:pPr>
      <w:r>
        <w:rPr>
          <w:rFonts w:ascii="Calibri" w:hAnsi="Calibri" w:eastAsia="Calibri"/>
          <w:b/>
          <w:color w:val="202124"/>
        </w:rPr>
        <w:t>Auditors and institutional reviewers:</w:t>
      </w:r>
      <w:r>
        <w:rPr>
          <w:rFonts w:ascii="Calibri" w:hAnsi="Calibri" w:eastAsia="Calibri"/>
          <w:color w:val="202124"/>
        </w:rPr>
        <w:t xml:space="preserve"> read-only, scoped access to approved reports, evidence metadata, and audit trails.</w:t>
      </w:r>
    </w:p>
    <w:p>
      <w:pPr>
        <w:pStyle w:val="Heading2"/>
      </w:pPr>
      <w:r>
        <w:rPr>
          <w:rFonts w:ascii="Calibri" w:hAnsi="Calibri" w:eastAsia="Calibri"/>
          <w:color w:val="202124"/>
        </w:rPr>
        <w:t>3.2 Operating-model constraints</w:t>
      </w:r>
    </w:p>
    <w:p>
      <w:pPr>
        <w:spacing w:after="80" w:line="300" w:lineRule="auto"/>
        <w:keepNext/>
        <w:numPr>
          <w:ilvl w:val="0"/>
          <w:numId w:val="16"/>
        </w:numPr>
      </w:pPr>
      <w:r>
        <w:rPr>
          <w:rFonts w:ascii="Calibri" w:hAnsi="Calibri" w:eastAsia="Calibri"/>
          <w:color w:val="202124"/>
        </w:rPr>
        <w:t>ICC and IGP are related organizationally but must remain separate operational and authorization domains.</w:t>
      </w:r>
    </w:p>
    <w:p>
      <w:pPr>
        <w:spacing w:after="80" w:line="300" w:lineRule="auto"/>
        <w:keepNext/>
        <w:numPr>
          <w:ilvl w:val="0"/>
          <w:numId w:val="16"/>
        </w:numPr>
      </w:pPr>
      <w:r>
        <w:rPr>
          <w:rFonts w:ascii="Calibri" w:hAnsi="Calibri" w:eastAsia="Calibri"/>
          <w:color w:val="202124"/>
        </w:rPr>
        <w:t>ICC leadership and associate rosters are fixed for an academic year and preserved historically.</w:t>
      </w:r>
    </w:p>
    <w:p>
      <w:pPr>
        <w:spacing w:after="80" w:line="300" w:lineRule="auto"/>
        <w:keepNext/>
        <w:numPr>
          <w:ilvl w:val="0"/>
          <w:numId w:val="16"/>
        </w:numPr>
      </w:pPr>
      <w:r>
        <w:rPr>
          <w:rFonts w:ascii="Calibri" w:hAnsi="Calibri" w:eastAsia="Calibri"/>
          <w:color w:val="202124"/>
        </w:rPr>
        <w:t>IGP operational teams are created for each program; only heads are expected to persist across programs.</w:t>
      </w:r>
    </w:p>
    <w:p>
      <w:pPr>
        <w:spacing w:after="80" w:line="300" w:lineRule="auto"/>
        <w:keepNext/>
        <w:numPr>
          <w:ilvl w:val="0"/>
          <w:numId w:val="16"/>
        </w:numPr>
      </w:pPr>
      <w:r>
        <w:rPr>
          <w:rFonts w:ascii="Calibri" w:hAnsi="Calibri" w:eastAsia="Calibri"/>
          <w:color w:val="202124"/>
        </w:rPr>
        <w:t>A person may hold multiple roles, but each role must have explicit scope and effective dates.</w:t>
      </w:r>
    </w:p>
    <w:p>
      <w:pPr>
        <w:spacing w:after="80" w:line="300" w:lineRule="auto"/>
        <w:keepNext/>
        <w:numPr>
          <w:ilvl w:val="0"/>
          <w:numId w:val="16"/>
        </w:numPr>
      </w:pPr>
      <w:r>
        <w:rPr>
          <w:rFonts w:ascii="Calibri" w:hAnsi="Calibri" w:eastAsia="Calibri"/>
          <w:color w:val="202124"/>
        </w:rPr>
        <w:t>A person may participate without having a platform account.</w:t>
      </w:r>
    </w:p>
    <w:p>
      <w:pPr>
        <w:spacing w:after="80" w:line="300" w:lineRule="auto"/>
        <w:keepNext w:val="0"/>
        <w:numPr>
          <w:ilvl w:val="0"/>
          <w:numId w:val="16"/>
        </w:numPr>
      </w:pPr>
      <w:r>
        <w:rPr>
          <w:rFonts w:ascii="Calibri" w:hAnsi="Calibri" w:eastAsia="Calibri"/>
          <w:color w:val="202124"/>
        </w:rPr>
        <w:t>Leadership transitions must not rewrite historical ownership, approvals, attendance, or reports.</w:t>
      </w:r>
    </w:p>
    <w:p>
      <w:pPr>
        <w:pStyle w:val="Heading1"/>
      </w:pPr>
      <w:r>
        <w:rPr>
          <w:rFonts w:ascii="Calibri" w:hAnsi="Calibri" w:eastAsia="Calibri"/>
          <w:color w:val="202124"/>
        </w:rPr>
        <w:t>4. Organization and authorization</w:t>
      </w:r>
    </w:p>
    <w:p>
      <w:pPr>
        <w:pStyle w:val="Heading2"/>
      </w:pPr>
      <w:r>
        <w:rPr>
          <w:rFonts w:ascii="Calibri" w:hAnsi="Calibri" w:eastAsia="Calibri"/>
          <w:color w:val="202124"/>
        </w:rPr>
        <w:t>4.1 Roles</w:t>
      </w:r>
    </w:p>
    <w:p>
      <w:pPr>
        <w:spacing w:after="80" w:line="300" w:lineRule="auto"/>
        <w:numPr>
          <w:ilvl w:val="0"/>
          <w:numId w:val="17"/>
        </w:numPr>
      </w:pPr>
      <w:r>
        <w:rPr>
          <w:rFonts w:ascii="Calibri" w:hAnsi="Calibri" w:eastAsia="Calibri"/>
          <w:color w:val="202124"/>
        </w:rPr>
        <w:t>System Administrator</w:t>
      </w:r>
    </w:p>
    <w:p>
      <w:pPr>
        <w:spacing w:after="80" w:line="300" w:lineRule="auto"/>
        <w:numPr>
          <w:ilvl w:val="0"/>
          <w:numId w:val="17"/>
        </w:numPr>
      </w:pPr>
      <w:r>
        <w:rPr>
          <w:rFonts w:ascii="Calibri" w:hAnsi="Calibri" w:eastAsia="Calibri"/>
          <w:color w:val="202124"/>
        </w:rPr>
        <w:t>OIA Faculty Administrator</w:t>
      </w:r>
    </w:p>
    <w:p>
      <w:pPr>
        <w:spacing w:after="80" w:line="300" w:lineRule="auto"/>
        <w:numPr>
          <w:ilvl w:val="0"/>
          <w:numId w:val="17"/>
        </w:numPr>
      </w:pPr>
      <w:r>
        <w:rPr>
          <w:rFonts w:ascii="Calibri" w:hAnsi="Calibri" w:eastAsia="Calibri"/>
          <w:color w:val="202124"/>
        </w:rPr>
        <w:t>Faculty Coordinator</w:t>
      </w:r>
    </w:p>
    <w:p>
      <w:pPr>
        <w:spacing w:after="80" w:line="300" w:lineRule="auto"/>
        <w:numPr>
          <w:ilvl w:val="0"/>
          <w:numId w:val="17"/>
        </w:numPr>
      </w:pPr>
      <w:r>
        <w:rPr>
          <w:rFonts w:ascii="Calibri" w:hAnsi="Calibri" w:eastAsia="Calibri"/>
          <w:color w:val="202124"/>
        </w:rPr>
        <w:t>ICC Secretary / USC</w:t>
      </w:r>
    </w:p>
    <w:p>
      <w:pPr>
        <w:spacing w:after="80" w:line="300" w:lineRule="auto"/>
        <w:numPr>
          <w:ilvl w:val="0"/>
          <w:numId w:val="17"/>
        </w:numPr>
      </w:pPr>
      <w:r>
        <w:rPr>
          <w:rFonts w:ascii="Calibri" w:hAnsi="Calibri" w:eastAsia="Calibri"/>
          <w:color w:val="202124"/>
        </w:rPr>
        <w:t>ICC Events Head</w:t>
      </w:r>
    </w:p>
    <w:p>
      <w:pPr>
        <w:spacing w:after="80" w:line="300" w:lineRule="auto"/>
        <w:numPr>
          <w:ilvl w:val="0"/>
          <w:numId w:val="17"/>
        </w:numPr>
      </w:pPr>
      <w:r>
        <w:rPr>
          <w:rFonts w:ascii="Calibri" w:hAnsi="Calibri" w:eastAsia="Calibri"/>
          <w:color w:val="202124"/>
        </w:rPr>
        <w:t>ICC Media Head</w:t>
      </w:r>
    </w:p>
    <w:p>
      <w:pPr>
        <w:spacing w:after="80" w:line="300" w:lineRule="auto"/>
        <w:numPr>
          <w:ilvl w:val="0"/>
          <w:numId w:val="17"/>
        </w:numPr>
      </w:pPr>
      <w:r>
        <w:rPr>
          <w:rFonts w:ascii="Calibri" w:hAnsi="Calibri" w:eastAsia="Calibri"/>
          <w:color w:val="202124"/>
        </w:rPr>
        <w:t>ICC Culturals Head</w:t>
      </w:r>
    </w:p>
    <w:p>
      <w:pPr>
        <w:spacing w:after="80" w:line="300" w:lineRule="auto"/>
        <w:numPr>
          <w:ilvl w:val="0"/>
          <w:numId w:val="17"/>
        </w:numPr>
      </w:pPr>
      <w:r>
        <w:rPr>
          <w:rFonts w:ascii="Calibri" w:hAnsi="Calibri" w:eastAsia="Calibri"/>
          <w:color w:val="202124"/>
        </w:rPr>
        <w:t>ICC Associate</w:t>
      </w:r>
    </w:p>
    <w:p>
      <w:pPr>
        <w:spacing w:after="80" w:line="300" w:lineRule="auto"/>
        <w:numPr>
          <w:ilvl w:val="0"/>
          <w:numId w:val="17"/>
        </w:numPr>
      </w:pPr>
      <w:r>
        <w:rPr>
          <w:rFonts w:ascii="Calibri" w:hAnsi="Calibri" w:eastAsia="Calibri"/>
          <w:color w:val="202124"/>
        </w:rPr>
        <w:t>IGP Head</w:t>
      </w:r>
    </w:p>
    <w:p>
      <w:pPr>
        <w:spacing w:after="80" w:line="300" w:lineRule="auto"/>
        <w:numPr>
          <w:ilvl w:val="0"/>
          <w:numId w:val="17"/>
        </w:numPr>
      </w:pPr>
      <w:r>
        <w:rPr>
          <w:rFonts w:ascii="Calibri" w:hAnsi="Calibri" w:eastAsia="Calibri"/>
          <w:color w:val="202124"/>
        </w:rPr>
        <w:t>IGP Program Lead</w:t>
      </w:r>
    </w:p>
    <w:p>
      <w:pPr>
        <w:spacing w:after="80" w:line="300" w:lineRule="auto"/>
        <w:numPr>
          <w:ilvl w:val="0"/>
          <w:numId w:val="17"/>
        </w:numPr>
      </w:pPr>
      <w:r>
        <w:rPr>
          <w:rFonts w:ascii="Calibri" w:hAnsi="Calibri" w:eastAsia="Calibri"/>
          <w:color w:val="202124"/>
        </w:rPr>
        <w:t>Volunteer</w:t>
      </w:r>
    </w:p>
    <w:p>
      <w:pPr>
        <w:spacing w:after="80" w:line="300" w:lineRule="auto"/>
        <w:numPr>
          <w:ilvl w:val="0"/>
          <w:numId w:val="17"/>
        </w:numPr>
      </w:pPr>
      <w:r>
        <w:rPr>
          <w:rFonts w:ascii="Calibri" w:hAnsi="Calibri" w:eastAsia="Calibri"/>
          <w:color w:val="202124"/>
        </w:rPr>
        <w:t>Buddy</w:t>
      </w:r>
    </w:p>
    <w:p>
      <w:pPr>
        <w:spacing w:after="80" w:line="300" w:lineRule="auto"/>
        <w:numPr>
          <w:ilvl w:val="0"/>
          <w:numId w:val="17"/>
        </w:numPr>
      </w:pPr>
      <w:r>
        <w:rPr>
          <w:rFonts w:ascii="Calibri" w:hAnsi="Calibri" w:eastAsia="Calibri"/>
          <w:color w:val="202124"/>
        </w:rPr>
        <w:t>Participant / Exchange Student</w:t>
      </w:r>
    </w:p>
    <w:p>
      <w:pPr>
        <w:spacing w:after="80" w:line="300" w:lineRule="auto"/>
        <w:keepNext w:val="0"/>
        <w:numPr>
          <w:ilvl w:val="0"/>
          <w:numId w:val="17"/>
        </w:numPr>
      </w:pPr>
      <w:r>
        <w:rPr>
          <w:rFonts w:ascii="Calibri" w:hAnsi="Calibri" w:eastAsia="Calibri"/>
          <w:color w:val="202124"/>
        </w:rPr>
        <w:t>Auditor / Read-only</w:t>
      </w:r>
    </w:p>
    <w:p>
      <w:pPr>
        <w:pStyle w:val="Heading2"/>
      </w:pPr>
      <w:r>
        <w:rPr>
          <w:rFonts w:ascii="Calibri" w:hAnsi="Calibri" w:eastAsia="Calibri"/>
          <w:color w:val="202124"/>
        </w:rPr>
        <w:t>4.2 Scope model</w:t>
      </w:r>
    </w:p>
    <w:p>
      <w:r>
        <w:rPr>
          <w:rFonts w:ascii="Calibri" w:hAnsi="Calibri" w:eastAsia="Calibri"/>
          <w:color w:val="202124"/>
        </w:rPr>
        <w:t>Every role assignment carries one or more explicit scopes:</w:t>
      </w:r>
    </w:p>
    <w:p>
      <w:pPr>
        <w:spacing w:after="80" w:line="300" w:lineRule="auto"/>
        <w:keepNext/>
        <w:numPr>
          <w:ilvl w:val="0"/>
          <w:numId w:val="18"/>
        </w:numPr>
      </w:pPr>
      <w:r>
        <w:rPr>
          <w:rFonts w:ascii="Calibri" w:hAnsi="Calibri" w:eastAsia="Calibri"/>
          <w:color w:val="202124"/>
        </w:rPr>
        <w:t>Platform</w:t>
      </w:r>
    </w:p>
    <w:p>
      <w:pPr>
        <w:spacing w:after="80" w:line="300" w:lineRule="auto"/>
        <w:keepNext/>
        <w:numPr>
          <w:ilvl w:val="0"/>
          <w:numId w:val="18"/>
        </w:numPr>
      </w:pPr>
      <w:r>
        <w:rPr>
          <w:rFonts w:ascii="Calibri" w:hAnsi="Calibri" w:eastAsia="Calibri"/>
          <w:color w:val="202124"/>
        </w:rPr>
        <w:t>Operating unit: ICC or IGP</w:t>
      </w:r>
    </w:p>
    <w:p>
      <w:pPr>
        <w:spacing w:after="80" w:line="300" w:lineRule="auto"/>
        <w:keepNext/>
        <w:numPr>
          <w:ilvl w:val="0"/>
          <w:numId w:val="18"/>
        </w:numPr>
      </w:pPr>
      <w:r>
        <w:rPr>
          <w:rFonts w:ascii="Calibri" w:hAnsi="Calibri" w:eastAsia="Calibri"/>
          <w:color w:val="202124"/>
        </w:rPr>
        <w:t>Campus</w:t>
      </w:r>
    </w:p>
    <w:p>
      <w:pPr>
        <w:spacing w:after="80" w:line="300" w:lineRule="auto"/>
        <w:keepNext/>
        <w:numPr>
          <w:ilvl w:val="0"/>
          <w:numId w:val="18"/>
        </w:numPr>
      </w:pPr>
      <w:r>
        <w:rPr>
          <w:rFonts w:ascii="Calibri" w:hAnsi="Calibri" w:eastAsia="Calibri"/>
          <w:color w:val="202124"/>
        </w:rPr>
        <w:t>Wing</w:t>
      </w:r>
    </w:p>
    <w:p>
      <w:pPr>
        <w:spacing w:after="80" w:line="300" w:lineRule="auto"/>
        <w:keepNext/>
        <w:numPr>
          <w:ilvl w:val="0"/>
          <w:numId w:val="18"/>
        </w:numPr>
      </w:pPr>
      <w:r>
        <w:rPr>
          <w:rFonts w:ascii="Calibri" w:hAnsi="Calibri" w:eastAsia="Calibri"/>
          <w:color w:val="202124"/>
        </w:rPr>
        <w:t>Academic year</w:t>
      </w:r>
    </w:p>
    <w:p>
      <w:pPr>
        <w:spacing w:after="80" w:line="300" w:lineRule="auto"/>
        <w:keepNext w:val="0"/>
        <w:numPr>
          <w:ilvl w:val="0"/>
          <w:numId w:val="18"/>
        </w:numPr>
      </w:pPr>
      <w:r>
        <w:rPr>
          <w:rFonts w:ascii="Calibri" w:hAnsi="Calibri" w:eastAsia="Calibri"/>
          <w:color w:val="202124"/>
        </w:rPr>
        <w:t>Project/program</w:t>
      </w:r>
    </w:p>
    <w:p>
      <w:pPr>
        <w:pStyle w:val="Heading2"/>
      </w:pPr>
      <w:r>
        <w:rPr>
          <w:rFonts w:ascii="Calibri" w:hAnsi="Calibri" w:eastAsia="Calibri"/>
          <w:color w:val="202124"/>
        </w:rPr>
        <w:t>4.3 Authorization rules</w:t>
      </w:r>
    </w:p>
    <w:p>
      <w:pPr>
        <w:spacing w:after="80" w:line="300" w:lineRule="auto"/>
        <w:numPr>
          <w:ilvl w:val="0"/>
          <w:numId w:val="19"/>
        </w:numPr>
      </w:pPr>
      <w:r>
        <w:rPr>
          <w:rFonts w:ascii="Calibri" w:hAnsi="Calibri" w:eastAsia="Calibri"/>
          <w:color w:val="202124"/>
        </w:rPr>
        <w:t>Faculty administrators may be global or campus-scoped.</w:t>
      </w:r>
    </w:p>
    <w:p>
      <w:pPr>
        <w:spacing w:after="80" w:line="300" w:lineRule="auto"/>
        <w:numPr>
          <w:ilvl w:val="0"/>
          <w:numId w:val="19"/>
        </w:numPr>
      </w:pPr>
      <w:r>
        <w:rPr>
          <w:rFonts w:ascii="Calibri" w:hAnsi="Calibri" w:eastAsia="Calibri"/>
          <w:color w:val="202124"/>
        </w:rPr>
        <w:t>ICC roles cannot administer IGP unless separately assigned.</w:t>
      </w:r>
    </w:p>
    <w:p>
      <w:pPr>
        <w:spacing w:after="80" w:line="300" w:lineRule="auto"/>
        <w:numPr>
          <w:ilvl w:val="0"/>
          <w:numId w:val="19"/>
        </w:numPr>
      </w:pPr>
      <w:r>
        <w:rPr>
          <w:rFonts w:ascii="Calibri" w:hAnsi="Calibri" w:eastAsia="Calibri"/>
          <w:color w:val="202124"/>
        </w:rPr>
        <w:t>IGP teams can access only their assigned programs.</w:t>
      </w:r>
    </w:p>
    <w:p>
      <w:pPr>
        <w:spacing w:after="80" w:line="300" w:lineRule="auto"/>
        <w:numPr>
          <w:ilvl w:val="0"/>
          <w:numId w:val="19"/>
        </w:numPr>
      </w:pPr>
      <w:r>
        <w:rPr>
          <w:rFonts w:ascii="Calibri" w:hAnsi="Calibri" w:eastAsia="Calibri"/>
          <w:color w:val="202124"/>
        </w:rPr>
        <w:t>Wing heads manage their wing’s work and cross-wing assignments explicitly delegated to them.</w:t>
      </w:r>
    </w:p>
    <w:p>
      <w:pPr>
        <w:spacing w:after="80" w:line="300" w:lineRule="auto"/>
        <w:numPr>
          <w:ilvl w:val="0"/>
          <w:numId w:val="19"/>
        </w:numPr>
      </w:pPr>
      <w:r>
        <w:rPr>
          <w:rFonts w:ascii="Calibri" w:hAnsi="Calibri" w:eastAsia="Calibri"/>
          <w:color w:val="202124"/>
        </w:rPr>
        <w:t>Volunteers and buddies see only assignments, resources, logs, and personal history relevant to them.</w:t>
      </w:r>
    </w:p>
    <w:p>
      <w:pPr>
        <w:spacing w:after="80" w:line="300" w:lineRule="auto"/>
        <w:numPr>
          <w:ilvl w:val="0"/>
          <w:numId w:val="19"/>
        </w:numPr>
      </w:pPr>
      <w:r>
        <w:rPr>
          <w:rFonts w:ascii="Calibri" w:hAnsi="Calibri" w:eastAsia="Calibri"/>
          <w:color w:val="202124"/>
        </w:rPr>
        <w:t>Participants see their own data, permitted project resources, schedules, and feedback forms.</w:t>
      </w:r>
    </w:p>
    <w:p>
      <w:pPr>
        <w:spacing w:after="80" w:line="300" w:lineRule="auto"/>
        <w:numPr>
          <w:ilvl w:val="0"/>
          <w:numId w:val="19"/>
        </w:numPr>
      </w:pPr>
      <w:r>
        <w:rPr>
          <w:rFonts w:ascii="Calibri" w:hAnsi="Calibri" w:eastAsia="Calibri"/>
          <w:color w:val="202124"/>
        </w:rPr>
        <w:t>Sensitive checklist links require an additional named permission.</w:t>
      </w:r>
    </w:p>
    <w:p>
      <w:pPr>
        <w:spacing w:after="80" w:line="300" w:lineRule="auto"/>
        <w:numPr>
          <w:ilvl w:val="0"/>
          <w:numId w:val="19"/>
        </w:numPr>
      </w:pPr>
      <w:r>
        <w:rPr>
          <w:rFonts w:ascii="Calibri" w:hAnsi="Calibri" w:eastAsia="Calibri"/>
          <w:color w:val="202124"/>
        </w:rPr>
        <w:t>System administration does not automatically grant access to sensitive operational content.</w:t>
      </w:r>
    </w:p>
    <w:p>
      <w:pPr>
        <w:spacing w:after="80" w:line="300" w:lineRule="auto"/>
        <w:keepNext w:val="0"/>
        <w:numPr>
          <w:ilvl w:val="0"/>
          <w:numId w:val="19"/>
        </w:numPr>
      </w:pPr>
      <w:r>
        <w:rPr>
          <w:rFonts w:ascii="Calibri" w:hAnsi="Calibri" w:eastAsia="Calibri"/>
          <w:color w:val="202124"/>
        </w:rPr>
        <w:t>Every permission-changing action is audited.</w:t>
      </w:r>
    </w:p>
    <w:p>
      <w:pPr>
        <w:pStyle w:val="Heading2"/>
      </w:pPr>
      <w:r>
        <w:rPr>
          <w:rFonts w:ascii="Calibri" w:hAnsi="Calibri" w:eastAsia="Calibri"/>
          <w:color w:val="202124"/>
        </w:rPr>
        <w:t>4.4 Role access matrix</w:t>
      </w:r>
    </w:p>
    <w:tbl>
      <w:tblPr>
        <w:tblW w:type="dxa" w:w="9360"/>
        <w:jc w:val="left"/>
        <w:tblLayout w:type="fixed"/>
        <w:tblLook w:firstColumn="1" w:firstRow="1" w:lastColumn="0" w:lastRow="0" w:noHBand="0" w:noVBand="1" w:val="04A0"/>
        <w:tblInd w:w="120" w:type="dxa"/>
        <w:tblBorders>
          <w:top w:val="single" w:sz="4" w:space="0" w:color="B9C4D0"/>
          <w:left w:val="single" w:sz="4" w:space="0" w:color="B9C4D0"/>
          <w:bottom w:val="single" w:sz="4" w:space="0" w:color="B9C4D0"/>
          <w:right w:val="single" w:sz="4" w:space="0" w:color="B9C4D0"/>
          <w:insideH w:val="single" w:sz="4" w:space="0" w:color="B9C4D0"/>
          <w:insideV w:val="single" w:sz="4" w:space="0" w:color="B9C4D0"/>
        </w:tblBorders>
      </w:tblPr>
      <w:tblGrid>
        <w:gridCol w:w="1150"/>
        <w:gridCol w:w="1050"/>
        <w:gridCol w:w="1200"/>
        <w:gridCol w:w="1000"/>
        <w:gridCol w:w="1750"/>
        <w:gridCol w:w="1300"/>
        <w:gridCol w:w="1910"/>
      </w:tblGrid>
      <w:tr>
        <w:trPr>
          <w:tblHeader w:val="true"/>
          <w:cantSplit/>
        </w:trPr>
        <w:tc>
          <w:tcPr>
            <w:tcW w:type="dxa" w:w="115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Role</w:t>
            </w:r>
          </w:p>
        </w:tc>
        <w:tc>
          <w:tcPr>
            <w:tcW w:type="dxa" w:w="105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Default scope</w:t>
            </w:r>
          </w:p>
        </w:tc>
        <w:tc>
          <w:tcPr>
            <w:tcW w:type="dxa" w:w="120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Manage projects</w:t>
            </w:r>
          </w:p>
        </w:tc>
        <w:tc>
          <w:tcPr>
            <w:tcW w:type="dxa" w:w="100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Approve work</w:t>
            </w:r>
          </w:p>
        </w:tc>
        <w:tc>
          <w:tcPr>
            <w:tcW w:type="dxa" w:w="175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People/team access</w:t>
            </w:r>
          </w:p>
        </w:tc>
        <w:tc>
          <w:tcPr>
            <w:tcW w:type="dxa" w:w="130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Sensitive links</w:t>
            </w:r>
          </w:p>
        </w:tc>
        <w:tc>
          <w:tcPr>
            <w:tcW w:type="dxa" w:w="191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Reports/audit</w:t>
            </w:r>
          </w:p>
        </w:tc>
      </w:tr>
      <w:tr>
        <w:trPr>
          <w:cantSplit/>
        </w:trPr>
        <w:tc>
          <w:tcPr>
            <w:tcW w:type="dxa" w:w="1150"/>
            <w:tcMar>
              <w:top w:w="80" w:type="dxa"/>
              <w:start w:w="120" w:type="dxa"/>
              <w:bottom w:w="80" w:type="dxa"/>
              <w:end w:w="120" w:type="dxa"/>
            </w:tcMar>
            <w:vAlign w:val="center"/>
          </w:tcPr>
          <w:p>
            <w:pPr>
              <w:spacing w:after="0" w:line="252" w:lineRule="auto"/>
            </w:pPr>
            <w:r>
              <w:rPr>
                <w:rFonts w:ascii="Calibri" w:hAnsi="Calibri" w:eastAsia="Calibri"/>
                <w:color w:val="202124"/>
                <w:sz w:val="16"/>
              </w:rPr>
              <w:t>System Administrator</w:t>
            </w:r>
          </w:p>
        </w:tc>
        <w:tc>
          <w:tcPr>
            <w:tcW w:type="dxa" w:w="1050"/>
            <w:tcMar>
              <w:top w:w="80" w:type="dxa"/>
              <w:start w:w="120" w:type="dxa"/>
              <w:bottom w:w="80" w:type="dxa"/>
              <w:end w:w="120" w:type="dxa"/>
            </w:tcMar>
            <w:vAlign w:val="center"/>
          </w:tcPr>
          <w:p>
            <w:pPr>
              <w:spacing w:after="0" w:line="252" w:lineRule="auto"/>
            </w:pPr>
            <w:r>
              <w:rPr>
                <w:rFonts w:ascii="Calibri" w:hAnsi="Calibri" w:eastAsia="Calibri"/>
                <w:color w:val="202124"/>
                <w:sz w:val="16"/>
              </w:rPr>
              <w:t>Platform</w:t>
            </w:r>
          </w:p>
        </w:tc>
        <w:tc>
          <w:tcPr>
            <w:tcW w:type="dxa" w:w="1200"/>
            <w:tcMar>
              <w:top w:w="80" w:type="dxa"/>
              <w:start w:w="120" w:type="dxa"/>
              <w:bottom w:w="80" w:type="dxa"/>
              <w:end w:w="120" w:type="dxa"/>
            </w:tcMar>
            <w:vAlign w:val="center"/>
          </w:tcPr>
          <w:p>
            <w:pPr>
              <w:spacing w:after="0" w:line="252" w:lineRule="auto"/>
            </w:pPr>
            <w:r>
              <w:rPr>
                <w:rFonts w:ascii="Calibri" w:hAnsi="Calibri" w:eastAsia="Calibri"/>
                <w:color w:val="202124"/>
                <w:sz w:val="16"/>
              </w:rPr>
              <w:t>Configuration only unless separately assigned</w:t>
            </w:r>
          </w:p>
        </w:tc>
        <w:tc>
          <w:tcPr>
            <w:tcW w:type="dxa" w:w="1000"/>
            <w:tcMar>
              <w:top w:w="80" w:type="dxa"/>
              <w:start w:w="120" w:type="dxa"/>
              <w:bottom w:w="80" w:type="dxa"/>
              <w:end w:w="120" w:type="dxa"/>
            </w:tcMar>
            <w:vAlign w:val="center"/>
          </w:tcPr>
          <w:p>
            <w:pPr>
              <w:spacing w:after="0" w:line="252" w:lineRule="auto"/>
            </w:pPr>
            <w:r>
              <w:rPr>
                <w:rFonts w:ascii="Calibri" w:hAnsi="Calibri" w:eastAsia="Calibri"/>
                <w:color w:val="202124"/>
                <w:sz w:val="16"/>
              </w:rPr>
              <w:t>No implicit operational approval</w:t>
            </w:r>
          </w:p>
        </w:tc>
        <w:tc>
          <w:tcPr>
            <w:tcW w:type="dxa" w:w="1750"/>
            <w:tcMar>
              <w:top w:w="80" w:type="dxa"/>
              <w:start w:w="120" w:type="dxa"/>
              <w:bottom w:w="80" w:type="dxa"/>
              <w:end w:w="120" w:type="dxa"/>
            </w:tcMar>
            <w:vAlign w:val="center"/>
          </w:tcPr>
          <w:p>
            <w:pPr>
              <w:spacing w:after="0" w:line="252" w:lineRule="auto"/>
            </w:pPr>
            <w:r>
              <w:rPr>
                <w:rFonts w:ascii="Calibri" w:hAnsi="Calibri" w:eastAsia="Calibri"/>
                <w:color w:val="202124"/>
                <w:sz w:val="16"/>
              </w:rPr>
              <w:t>Account administration</w:t>
            </w:r>
          </w:p>
        </w:tc>
        <w:tc>
          <w:tcPr>
            <w:tcW w:type="dxa" w:w="1300"/>
            <w:tcMar>
              <w:top w:w="80" w:type="dxa"/>
              <w:start w:w="120" w:type="dxa"/>
              <w:bottom w:w="80" w:type="dxa"/>
              <w:end w:w="120" w:type="dxa"/>
            </w:tcMar>
            <w:vAlign w:val="center"/>
          </w:tcPr>
          <w:p>
            <w:pPr>
              <w:spacing w:after="0" w:line="252" w:lineRule="auto"/>
            </w:pPr>
            <w:r>
              <w:rPr>
                <w:rFonts w:ascii="Calibri" w:hAnsi="Calibri" w:eastAsia="Calibri"/>
                <w:color w:val="202124"/>
                <w:sz w:val="16"/>
              </w:rPr>
              <w:t>No implicit access</w:t>
            </w:r>
          </w:p>
        </w:tc>
        <w:tc>
          <w:tcPr>
            <w:tcW w:type="dxa" w:w="1910"/>
            <w:tcMar>
              <w:top w:w="80" w:type="dxa"/>
              <w:start w:w="120" w:type="dxa"/>
              <w:bottom w:w="80" w:type="dxa"/>
              <w:end w:w="120" w:type="dxa"/>
            </w:tcMar>
            <w:vAlign w:val="center"/>
          </w:tcPr>
          <w:p>
            <w:pPr>
              <w:spacing w:after="0" w:line="252" w:lineRule="auto"/>
            </w:pPr>
            <w:r>
              <w:rPr>
                <w:rFonts w:ascii="Calibri" w:hAnsi="Calibri" w:eastAsia="Calibri"/>
                <w:color w:val="202124"/>
                <w:sz w:val="16"/>
              </w:rPr>
              <w:t>Platform audit and health</w:t>
            </w:r>
          </w:p>
        </w:tc>
      </w:tr>
      <w:tr>
        <w:trPr>
          <w:cantSplit/>
        </w:trPr>
        <w:tc>
          <w:tcPr>
            <w:tcW w:type="dxa" w:w="115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OIA Faculty Administrator</w:t>
            </w:r>
          </w:p>
        </w:tc>
        <w:tc>
          <w:tcPr>
            <w:tcW w:type="dxa" w:w="105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Platform or campus</w:t>
            </w:r>
          </w:p>
        </w:tc>
        <w:tc>
          <w:tcPr>
            <w:tcW w:type="dxa" w:w="12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Yes, within scope</w:t>
            </w:r>
          </w:p>
        </w:tc>
        <w:tc>
          <w:tcPr>
            <w:tcW w:type="dxa" w:w="1000"/>
            <w:shd w:fill="F8FAFC"/>
            <w:tcMar>
              <w:top w:w="80" w:type="dxa"/>
              <w:start w:w="120" w:type="dxa"/>
              <w:bottom w:w="80" w:type="dxa"/>
              <w:end w:w="120" w:type="dxa"/>
            </w:tcMar>
            <w:vAlign w:val="center"/>
          </w:tcPr>
          <w:p>
            <w:pPr>
              <w:spacing w:after="0" w:line="252" w:lineRule="auto"/>
              <w:jc w:val="center"/>
            </w:pPr>
            <w:r>
              <w:rPr>
                <w:rFonts w:ascii="Calibri" w:hAnsi="Calibri" w:eastAsia="Calibri"/>
                <w:color w:val="202124"/>
                <w:sz w:val="16"/>
              </w:rPr>
              <w:t>Yes</w:t>
            </w:r>
          </w:p>
        </w:tc>
        <w:tc>
          <w:tcPr>
            <w:tcW w:type="dxa" w:w="175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All scoped records</w:t>
            </w:r>
          </w:p>
        </w:tc>
        <w:tc>
          <w:tcPr>
            <w:tcW w:type="dxa" w:w="13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Named permission required</w:t>
            </w:r>
          </w:p>
        </w:tc>
        <w:tc>
          <w:tcPr>
            <w:tcW w:type="dxa" w:w="191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Full scoped reporting</w:t>
            </w:r>
          </w:p>
        </w:tc>
      </w:tr>
      <w:tr>
        <w:trPr>
          <w:cantSplit/>
        </w:trPr>
        <w:tc>
          <w:tcPr>
            <w:tcW w:type="dxa" w:w="1150"/>
            <w:tcMar>
              <w:top w:w="80" w:type="dxa"/>
              <w:start w:w="120" w:type="dxa"/>
              <w:bottom w:w="80" w:type="dxa"/>
              <w:end w:w="120" w:type="dxa"/>
            </w:tcMar>
            <w:vAlign w:val="center"/>
          </w:tcPr>
          <w:p>
            <w:pPr>
              <w:spacing w:after="0" w:line="252" w:lineRule="auto"/>
            </w:pPr>
            <w:r>
              <w:rPr>
                <w:rFonts w:ascii="Calibri" w:hAnsi="Calibri" w:eastAsia="Calibri"/>
                <w:color w:val="202124"/>
                <w:sz w:val="16"/>
              </w:rPr>
              <w:t>Faculty Coordinator</w:t>
            </w:r>
          </w:p>
        </w:tc>
        <w:tc>
          <w:tcPr>
            <w:tcW w:type="dxa" w:w="1050"/>
            <w:tcMar>
              <w:top w:w="80" w:type="dxa"/>
              <w:start w:w="120" w:type="dxa"/>
              <w:bottom w:w="80" w:type="dxa"/>
              <w:end w:w="120" w:type="dxa"/>
            </w:tcMar>
            <w:vAlign w:val="center"/>
          </w:tcPr>
          <w:p>
            <w:pPr>
              <w:spacing w:after="0" w:line="252" w:lineRule="auto"/>
            </w:pPr>
            <w:r>
              <w:rPr>
                <w:rFonts w:ascii="Calibri" w:hAnsi="Calibri" w:eastAsia="Calibri"/>
                <w:color w:val="202124"/>
                <w:sz w:val="16"/>
              </w:rPr>
              <w:t>Campus/project</w:t>
            </w:r>
          </w:p>
        </w:tc>
        <w:tc>
          <w:tcPr>
            <w:tcW w:type="dxa" w:w="1200"/>
            <w:tcMar>
              <w:top w:w="80" w:type="dxa"/>
              <w:start w:w="120" w:type="dxa"/>
              <w:bottom w:w="80" w:type="dxa"/>
              <w:end w:w="120" w:type="dxa"/>
            </w:tcMar>
            <w:vAlign w:val="center"/>
          </w:tcPr>
          <w:p>
            <w:pPr>
              <w:spacing w:after="0" w:line="252" w:lineRule="auto"/>
            </w:pPr>
            <w:r>
              <w:rPr>
                <w:rFonts w:ascii="Calibri" w:hAnsi="Calibri" w:eastAsia="Calibri"/>
                <w:color w:val="202124"/>
                <w:sz w:val="16"/>
              </w:rPr>
              <w:t>Yes, within assignment</w:t>
            </w:r>
          </w:p>
        </w:tc>
        <w:tc>
          <w:tcPr>
            <w:tcW w:type="dxa" w:w="1000"/>
            <w:tcMar>
              <w:top w:w="80" w:type="dxa"/>
              <w:start w:w="120" w:type="dxa"/>
              <w:bottom w:w="80" w:type="dxa"/>
              <w:end w:w="120" w:type="dxa"/>
            </w:tcMar>
            <w:vAlign w:val="center"/>
          </w:tcPr>
          <w:p>
            <w:pPr>
              <w:spacing w:after="0" w:line="252" w:lineRule="auto"/>
            </w:pPr>
            <w:r>
              <w:rPr>
                <w:rFonts w:ascii="Calibri" w:hAnsi="Calibri" w:eastAsia="Calibri"/>
                <w:color w:val="202124"/>
                <w:sz w:val="16"/>
              </w:rPr>
              <w:t>Delegated approvals</w:t>
            </w:r>
          </w:p>
        </w:tc>
        <w:tc>
          <w:tcPr>
            <w:tcW w:type="dxa" w:w="1750"/>
            <w:tcMar>
              <w:top w:w="80" w:type="dxa"/>
              <w:start w:w="120" w:type="dxa"/>
              <w:bottom w:w="80" w:type="dxa"/>
              <w:end w:w="120" w:type="dxa"/>
            </w:tcMar>
            <w:vAlign w:val="center"/>
          </w:tcPr>
          <w:p>
            <w:pPr>
              <w:spacing w:after="0" w:line="252" w:lineRule="auto"/>
            </w:pPr>
            <w:r>
              <w:rPr>
                <w:rFonts w:ascii="Calibri" w:hAnsi="Calibri" w:eastAsia="Calibri"/>
                <w:color w:val="202124"/>
                <w:sz w:val="16"/>
              </w:rPr>
              <w:t>Scoped teams and participants</w:t>
            </w:r>
          </w:p>
        </w:tc>
        <w:tc>
          <w:tcPr>
            <w:tcW w:type="dxa" w:w="1300"/>
            <w:tcMar>
              <w:top w:w="80" w:type="dxa"/>
              <w:start w:w="120" w:type="dxa"/>
              <w:bottom w:w="80" w:type="dxa"/>
              <w:end w:w="120" w:type="dxa"/>
            </w:tcMar>
            <w:vAlign w:val="center"/>
          </w:tcPr>
          <w:p>
            <w:pPr>
              <w:spacing w:after="0" w:line="252" w:lineRule="auto"/>
            </w:pPr>
            <w:r>
              <w:rPr>
                <w:rFonts w:ascii="Calibri" w:hAnsi="Calibri" w:eastAsia="Calibri"/>
                <w:color w:val="202124"/>
                <w:sz w:val="16"/>
              </w:rPr>
              <w:t>Named permission required</w:t>
            </w:r>
          </w:p>
        </w:tc>
        <w:tc>
          <w:tcPr>
            <w:tcW w:type="dxa" w:w="1910"/>
            <w:tcMar>
              <w:top w:w="80" w:type="dxa"/>
              <w:start w:w="120" w:type="dxa"/>
              <w:bottom w:w="80" w:type="dxa"/>
              <w:end w:w="120" w:type="dxa"/>
            </w:tcMar>
            <w:vAlign w:val="center"/>
          </w:tcPr>
          <w:p>
            <w:pPr>
              <w:spacing w:after="0" w:line="252" w:lineRule="auto"/>
            </w:pPr>
            <w:r>
              <w:rPr>
                <w:rFonts w:ascii="Calibri" w:hAnsi="Calibri" w:eastAsia="Calibri"/>
                <w:color w:val="202124"/>
                <w:sz w:val="16"/>
              </w:rPr>
              <w:t>Scoped reporting</w:t>
            </w:r>
          </w:p>
        </w:tc>
      </w:tr>
      <w:tr>
        <w:trPr>
          <w:cantSplit/>
        </w:trPr>
        <w:tc>
          <w:tcPr>
            <w:tcW w:type="dxa" w:w="115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ICC Secretary / USC</w:t>
            </w:r>
          </w:p>
        </w:tc>
        <w:tc>
          <w:tcPr>
            <w:tcW w:type="dxa" w:w="105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ICC/academic year</w:t>
            </w:r>
          </w:p>
        </w:tc>
        <w:tc>
          <w:tcPr>
            <w:tcW w:type="dxa" w:w="12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Cross-wing ICC</w:t>
            </w:r>
          </w:p>
        </w:tc>
        <w:tc>
          <w:tcPr>
            <w:tcW w:type="dxa" w:w="10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Governance approvals</w:t>
            </w:r>
          </w:p>
        </w:tc>
        <w:tc>
          <w:tcPr>
            <w:tcW w:type="dxa" w:w="175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ICC annual rosters</w:t>
            </w:r>
          </w:p>
        </w:tc>
        <w:tc>
          <w:tcPr>
            <w:tcW w:type="dxa" w:w="13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No default access</w:t>
            </w:r>
          </w:p>
        </w:tc>
        <w:tc>
          <w:tcPr>
            <w:tcW w:type="dxa" w:w="191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ICC consolidated reports</w:t>
            </w:r>
          </w:p>
        </w:tc>
      </w:tr>
      <w:tr>
        <w:trPr>
          <w:cantSplit/>
        </w:trPr>
        <w:tc>
          <w:tcPr>
            <w:tcW w:type="dxa" w:w="1150"/>
            <w:tcMar>
              <w:top w:w="80" w:type="dxa"/>
              <w:start w:w="120" w:type="dxa"/>
              <w:bottom w:w="80" w:type="dxa"/>
              <w:end w:w="120" w:type="dxa"/>
            </w:tcMar>
            <w:vAlign w:val="center"/>
          </w:tcPr>
          <w:p>
            <w:pPr>
              <w:spacing w:after="0" w:line="252" w:lineRule="auto"/>
            </w:pPr>
            <w:r>
              <w:rPr>
                <w:rFonts w:ascii="Calibri" w:hAnsi="Calibri" w:eastAsia="Calibri"/>
                <w:color w:val="202124"/>
                <w:sz w:val="16"/>
              </w:rPr>
              <w:t>ICC Wing Head</w:t>
            </w:r>
          </w:p>
        </w:tc>
        <w:tc>
          <w:tcPr>
            <w:tcW w:type="dxa" w:w="1050"/>
            <w:tcMar>
              <w:top w:w="80" w:type="dxa"/>
              <w:start w:w="120" w:type="dxa"/>
              <w:bottom w:w="80" w:type="dxa"/>
              <w:end w:w="120" w:type="dxa"/>
            </w:tcMar>
            <w:vAlign w:val="center"/>
          </w:tcPr>
          <w:p>
            <w:pPr>
              <w:spacing w:after="0" w:line="252" w:lineRule="auto"/>
            </w:pPr>
            <w:r>
              <w:rPr>
                <w:rFonts w:ascii="Calibri" w:hAnsi="Calibri" w:eastAsia="Calibri"/>
                <w:color w:val="202124"/>
                <w:sz w:val="16"/>
              </w:rPr>
              <w:t>Wing/academic year</w:t>
            </w:r>
          </w:p>
        </w:tc>
        <w:tc>
          <w:tcPr>
            <w:tcW w:type="dxa" w:w="1200"/>
            <w:tcMar>
              <w:top w:w="80" w:type="dxa"/>
              <w:start w:w="120" w:type="dxa"/>
              <w:bottom w:w="80" w:type="dxa"/>
              <w:end w:w="120" w:type="dxa"/>
            </w:tcMar>
            <w:vAlign w:val="center"/>
          </w:tcPr>
          <w:p>
            <w:pPr>
              <w:spacing w:after="0" w:line="252" w:lineRule="auto"/>
            </w:pPr>
            <w:r>
              <w:rPr>
                <w:rFonts w:ascii="Calibri" w:hAnsi="Calibri" w:eastAsia="Calibri"/>
                <w:color w:val="202124"/>
                <w:sz w:val="16"/>
              </w:rPr>
              <w:t>Wing projects</w:t>
            </w:r>
          </w:p>
        </w:tc>
        <w:tc>
          <w:tcPr>
            <w:tcW w:type="dxa" w:w="1000"/>
            <w:tcMar>
              <w:top w:w="80" w:type="dxa"/>
              <w:start w:w="120" w:type="dxa"/>
              <w:bottom w:w="80" w:type="dxa"/>
              <w:end w:w="120" w:type="dxa"/>
            </w:tcMar>
            <w:vAlign w:val="center"/>
          </w:tcPr>
          <w:p>
            <w:pPr>
              <w:spacing w:after="0" w:line="252" w:lineRule="auto"/>
            </w:pPr>
            <w:r>
              <w:rPr>
                <w:rFonts w:ascii="Calibri" w:hAnsi="Calibri" w:eastAsia="Calibri"/>
                <w:color w:val="202124"/>
                <w:sz w:val="16"/>
              </w:rPr>
              <w:t>Wing approvals</w:t>
            </w:r>
          </w:p>
        </w:tc>
        <w:tc>
          <w:tcPr>
            <w:tcW w:type="dxa" w:w="1750"/>
            <w:tcMar>
              <w:top w:w="80" w:type="dxa"/>
              <w:start w:w="120" w:type="dxa"/>
              <w:bottom w:w="80" w:type="dxa"/>
              <w:end w:w="120" w:type="dxa"/>
            </w:tcMar>
            <w:vAlign w:val="center"/>
          </w:tcPr>
          <w:p>
            <w:pPr>
              <w:spacing w:after="0" w:line="252" w:lineRule="auto"/>
            </w:pPr>
            <w:r>
              <w:rPr>
                <w:rFonts w:ascii="Calibri" w:hAnsi="Calibri" w:eastAsia="Calibri"/>
                <w:color w:val="202124"/>
                <w:sz w:val="16"/>
              </w:rPr>
              <w:t>Wing associates</w:t>
            </w:r>
          </w:p>
        </w:tc>
        <w:tc>
          <w:tcPr>
            <w:tcW w:type="dxa" w:w="1300"/>
            <w:tcMar>
              <w:top w:w="80" w:type="dxa"/>
              <w:start w:w="120" w:type="dxa"/>
              <w:bottom w:w="80" w:type="dxa"/>
              <w:end w:w="120" w:type="dxa"/>
            </w:tcMar>
            <w:vAlign w:val="center"/>
          </w:tcPr>
          <w:p>
            <w:pPr>
              <w:spacing w:after="0" w:line="252" w:lineRule="auto"/>
            </w:pPr>
            <w:r>
              <w:rPr>
                <w:rFonts w:ascii="Calibri" w:hAnsi="Calibri" w:eastAsia="Calibri"/>
                <w:color w:val="202124"/>
                <w:sz w:val="16"/>
              </w:rPr>
              <w:t>No default access</w:t>
            </w:r>
          </w:p>
        </w:tc>
        <w:tc>
          <w:tcPr>
            <w:tcW w:type="dxa" w:w="1910"/>
            <w:tcMar>
              <w:top w:w="80" w:type="dxa"/>
              <w:start w:w="120" w:type="dxa"/>
              <w:bottom w:w="80" w:type="dxa"/>
              <w:end w:w="120" w:type="dxa"/>
            </w:tcMar>
            <w:vAlign w:val="center"/>
          </w:tcPr>
          <w:p>
            <w:pPr>
              <w:spacing w:after="0" w:line="252" w:lineRule="auto"/>
            </w:pPr>
            <w:r>
              <w:rPr>
                <w:rFonts w:ascii="Calibri" w:hAnsi="Calibri" w:eastAsia="Calibri"/>
                <w:color w:val="202124"/>
                <w:sz w:val="16"/>
              </w:rPr>
              <w:t>Wing reports</w:t>
            </w:r>
          </w:p>
        </w:tc>
      </w:tr>
      <w:tr>
        <w:trPr>
          <w:cantSplit/>
        </w:trPr>
        <w:tc>
          <w:tcPr>
            <w:tcW w:type="dxa" w:w="115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ICC Associate</w:t>
            </w:r>
          </w:p>
        </w:tc>
        <w:tc>
          <w:tcPr>
            <w:tcW w:type="dxa" w:w="105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Wing/project</w:t>
            </w:r>
          </w:p>
        </w:tc>
        <w:tc>
          <w:tcPr>
            <w:tcW w:type="dxa" w:w="12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Assigned updates</w:t>
            </w:r>
          </w:p>
        </w:tc>
        <w:tc>
          <w:tcPr>
            <w:tcW w:type="dxa" w:w="1000"/>
            <w:shd w:fill="F8FAFC"/>
            <w:tcMar>
              <w:top w:w="80" w:type="dxa"/>
              <w:start w:w="120" w:type="dxa"/>
              <w:bottom w:w="80" w:type="dxa"/>
              <w:end w:w="120" w:type="dxa"/>
            </w:tcMar>
            <w:vAlign w:val="center"/>
          </w:tcPr>
          <w:p>
            <w:pPr>
              <w:spacing w:after="0" w:line="252" w:lineRule="auto"/>
              <w:jc w:val="center"/>
            </w:pPr>
            <w:r>
              <w:rPr>
                <w:rFonts w:ascii="Calibri" w:hAnsi="Calibri" w:eastAsia="Calibri"/>
                <w:color w:val="202124"/>
                <w:sz w:val="16"/>
              </w:rPr>
              <w:t>No</w:t>
            </w:r>
          </w:p>
        </w:tc>
        <w:tc>
          <w:tcPr>
            <w:tcW w:type="dxa" w:w="175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Own and assigned team context</w:t>
            </w:r>
          </w:p>
        </w:tc>
        <w:tc>
          <w:tcPr>
            <w:tcW w:type="dxa" w:w="1300"/>
            <w:shd w:fill="F8FAFC"/>
            <w:tcMar>
              <w:top w:w="80" w:type="dxa"/>
              <w:start w:w="120" w:type="dxa"/>
              <w:bottom w:w="80" w:type="dxa"/>
              <w:end w:w="120" w:type="dxa"/>
            </w:tcMar>
            <w:vAlign w:val="center"/>
          </w:tcPr>
          <w:p>
            <w:pPr>
              <w:spacing w:after="0" w:line="252" w:lineRule="auto"/>
              <w:jc w:val="center"/>
            </w:pPr>
            <w:r>
              <w:rPr>
                <w:rFonts w:ascii="Calibri" w:hAnsi="Calibri" w:eastAsia="Calibri"/>
                <w:color w:val="202124"/>
                <w:sz w:val="16"/>
              </w:rPr>
              <w:t>No</w:t>
            </w:r>
          </w:p>
        </w:tc>
        <w:tc>
          <w:tcPr>
            <w:tcW w:type="dxa" w:w="191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Personal/assigned views</w:t>
            </w:r>
          </w:p>
        </w:tc>
      </w:tr>
      <w:tr>
        <w:trPr>
          <w:cantSplit/>
        </w:trPr>
        <w:tc>
          <w:tcPr>
            <w:tcW w:type="dxa" w:w="1150"/>
            <w:tcMar>
              <w:top w:w="80" w:type="dxa"/>
              <w:start w:w="120" w:type="dxa"/>
              <w:bottom w:w="80" w:type="dxa"/>
              <w:end w:w="120" w:type="dxa"/>
            </w:tcMar>
            <w:vAlign w:val="center"/>
          </w:tcPr>
          <w:p>
            <w:pPr>
              <w:spacing w:after="0" w:line="252" w:lineRule="auto"/>
            </w:pPr>
            <w:r>
              <w:rPr>
                <w:rFonts w:ascii="Calibri" w:hAnsi="Calibri" w:eastAsia="Calibri"/>
                <w:color w:val="202124"/>
                <w:sz w:val="16"/>
              </w:rPr>
              <w:t>IGP Head</w:t>
            </w:r>
          </w:p>
        </w:tc>
        <w:tc>
          <w:tcPr>
            <w:tcW w:type="dxa" w:w="1050"/>
            <w:tcMar>
              <w:top w:w="80" w:type="dxa"/>
              <w:start w:w="120" w:type="dxa"/>
              <w:bottom w:w="80" w:type="dxa"/>
              <w:end w:w="120" w:type="dxa"/>
            </w:tcMar>
            <w:vAlign w:val="center"/>
          </w:tcPr>
          <w:p>
            <w:pPr>
              <w:spacing w:after="0" w:line="252" w:lineRule="auto"/>
            </w:pPr>
            <w:r>
              <w:rPr>
                <w:rFonts w:ascii="Calibri" w:hAnsi="Calibri" w:eastAsia="Calibri"/>
                <w:color w:val="202124"/>
                <w:sz w:val="16"/>
              </w:rPr>
              <w:t>IGP</w:t>
            </w:r>
          </w:p>
        </w:tc>
        <w:tc>
          <w:tcPr>
            <w:tcW w:type="dxa" w:w="1200"/>
            <w:tcMar>
              <w:top w:w="80" w:type="dxa"/>
              <w:start w:w="120" w:type="dxa"/>
              <w:bottom w:w="80" w:type="dxa"/>
              <w:end w:w="120" w:type="dxa"/>
            </w:tcMar>
            <w:vAlign w:val="center"/>
          </w:tcPr>
          <w:p>
            <w:pPr>
              <w:spacing w:after="0" w:line="252" w:lineRule="auto"/>
            </w:pPr>
            <w:r>
              <w:rPr>
                <w:rFonts w:ascii="Calibri" w:hAnsi="Calibri" w:eastAsia="Calibri"/>
                <w:color w:val="202124"/>
                <w:sz w:val="16"/>
              </w:rPr>
              <w:t>All IGP programs</w:t>
            </w:r>
          </w:p>
        </w:tc>
        <w:tc>
          <w:tcPr>
            <w:tcW w:type="dxa" w:w="1000"/>
            <w:tcMar>
              <w:top w:w="80" w:type="dxa"/>
              <w:start w:w="120" w:type="dxa"/>
              <w:bottom w:w="80" w:type="dxa"/>
              <w:end w:w="120" w:type="dxa"/>
            </w:tcMar>
            <w:vAlign w:val="center"/>
          </w:tcPr>
          <w:p>
            <w:pPr>
              <w:spacing w:after="0" w:line="252" w:lineRule="auto"/>
            </w:pPr>
            <w:r>
              <w:rPr>
                <w:rFonts w:ascii="Calibri" w:hAnsi="Calibri" w:eastAsia="Calibri"/>
                <w:color w:val="202124"/>
                <w:sz w:val="16"/>
              </w:rPr>
              <w:t>IGP operational approvals</w:t>
            </w:r>
          </w:p>
        </w:tc>
        <w:tc>
          <w:tcPr>
            <w:tcW w:type="dxa" w:w="1750"/>
            <w:tcMar>
              <w:top w:w="80" w:type="dxa"/>
              <w:start w:w="120" w:type="dxa"/>
              <w:bottom w:w="80" w:type="dxa"/>
              <w:end w:w="120" w:type="dxa"/>
            </w:tcMar>
            <w:vAlign w:val="center"/>
          </w:tcPr>
          <w:p>
            <w:pPr>
              <w:spacing w:after="0" w:line="252" w:lineRule="auto"/>
            </w:pPr>
            <w:r>
              <w:rPr>
                <w:rFonts w:ascii="Calibri" w:hAnsi="Calibri" w:eastAsia="Calibri"/>
                <w:color w:val="202124"/>
                <w:sz w:val="16"/>
              </w:rPr>
              <w:t>Program teams and cohorts</w:t>
            </w:r>
          </w:p>
        </w:tc>
        <w:tc>
          <w:tcPr>
            <w:tcW w:type="dxa" w:w="1300"/>
            <w:tcMar>
              <w:top w:w="80" w:type="dxa"/>
              <w:start w:w="120" w:type="dxa"/>
              <w:bottom w:w="80" w:type="dxa"/>
              <w:end w:w="120" w:type="dxa"/>
            </w:tcMar>
            <w:vAlign w:val="center"/>
          </w:tcPr>
          <w:p>
            <w:pPr>
              <w:spacing w:after="0" w:line="252" w:lineRule="auto"/>
            </w:pPr>
            <w:r>
              <w:rPr>
                <w:rFonts w:ascii="Calibri" w:hAnsi="Calibri" w:eastAsia="Calibri"/>
                <w:color w:val="202124"/>
                <w:sz w:val="16"/>
              </w:rPr>
              <w:t>Named permission required</w:t>
            </w:r>
          </w:p>
        </w:tc>
        <w:tc>
          <w:tcPr>
            <w:tcW w:type="dxa" w:w="1910"/>
            <w:tcMar>
              <w:top w:w="80" w:type="dxa"/>
              <w:start w:w="120" w:type="dxa"/>
              <w:bottom w:w="80" w:type="dxa"/>
              <w:end w:w="120" w:type="dxa"/>
            </w:tcMar>
            <w:vAlign w:val="center"/>
          </w:tcPr>
          <w:p>
            <w:pPr>
              <w:spacing w:after="0" w:line="252" w:lineRule="auto"/>
            </w:pPr>
            <w:r>
              <w:rPr>
                <w:rFonts w:ascii="Calibri" w:hAnsi="Calibri" w:eastAsia="Calibri"/>
                <w:color w:val="202124"/>
                <w:sz w:val="16"/>
              </w:rPr>
              <w:t>IGP consolidated reports</w:t>
            </w:r>
          </w:p>
        </w:tc>
      </w:tr>
      <w:tr>
        <w:trPr>
          <w:cantSplit/>
        </w:trPr>
        <w:tc>
          <w:tcPr>
            <w:tcW w:type="dxa" w:w="115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IGP Program Lead</w:t>
            </w:r>
          </w:p>
        </w:tc>
        <w:tc>
          <w:tcPr>
            <w:tcW w:type="dxa" w:w="105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Program</w:t>
            </w:r>
          </w:p>
        </w:tc>
        <w:tc>
          <w:tcPr>
            <w:tcW w:type="dxa" w:w="12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Assigned program</w:t>
            </w:r>
          </w:p>
        </w:tc>
        <w:tc>
          <w:tcPr>
            <w:tcW w:type="dxa" w:w="10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Delegated approvals</w:t>
            </w:r>
          </w:p>
        </w:tc>
        <w:tc>
          <w:tcPr>
            <w:tcW w:type="dxa" w:w="175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Assigned team/cohort</w:t>
            </w:r>
          </w:p>
        </w:tc>
        <w:tc>
          <w:tcPr>
            <w:tcW w:type="dxa" w:w="13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Named permission required</w:t>
            </w:r>
          </w:p>
        </w:tc>
        <w:tc>
          <w:tcPr>
            <w:tcW w:type="dxa" w:w="191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Program reports</w:t>
            </w:r>
          </w:p>
        </w:tc>
      </w:tr>
      <w:tr>
        <w:trPr>
          <w:cantSplit/>
        </w:trPr>
        <w:tc>
          <w:tcPr>
            <w:tcW w:type="dxa" w:w="1150"/>
            <w:tcMar>
              <w:top w:w="80" w:type="dxa"/>
              <w:start w:w="120" w:type="dxa"/>
              <w:bottom w:w="80" w:type="dxa"/>
              <w:end w:w="120" w:type="dxa"/>
            </w:tcMar>
            <w:vAlign w:val="center"/>
          </w:tcPr>
          <w:p>
            <w:pPr>
              <w:spacing w:after="0" w:line="252" w:lineRule="auto"/>
            </w:pPr>
            <w:r>
              <w:rPr>
                <w:rFonts w:ascii="Calibri" w:hAnsi="Calibri" w:eastAsia="Calibri"/>
                <w:color w:val="202124"/>
                <w:sz w:val="16"/>
              </w:rPr>
              <w:t>Volunteer / Buddy</w:t>
            </w:r>
          </w:p>
        </w:tc>
        <w:tc>
          <w:tcPr>
            <w:tcW w:type="dxa" w:w="1050"/>
            <w:tcMar>
              <w:top w:w="80" w:type="dxa"/>
              <w:start w:w="120" w:type="dxa"/>
              <w:bottom w:w="80" w:type="dxa"/>
              <w:end w:w="120" w:type="dxa"/>
            </w:tcMar>
            <w:vAlign w:val="center"/>
          </w:tcPr>
          <w:p>
            <w:pPr>
              <w:spacing w:after="0" w:line="252" w:lineRule="auto"/>
            </w:pPr>
            <w:r>
              <w:rPr>
                <w:rFonts w:ascii="Calibri" w:hAnsi="Calibri" w:eastAsia="Calibri"/>
                <w:color w:val="202124"/>
                <w:sz w:val="16"/>
              </w:rPr>
              <w:t>Project/program</w:t>
            </w:r>
          </w:p>
        </w:tc>
        <w:tc>
          <w:tcPr>
            <w:tcW w:type="dxa" w:w="12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6"/>
              </w:rPr>
              <w:t>No</w:t>
            </w:r>
          </w:p>
        </w:tc>
        <w:tc>
          <w:tcPr>
            <w:tcW w:type="dxa" w:w="10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6"/>
              </w:rPr>
              <w:t>No</w:t>
            </w:r>
          </w:p>
        </w:tc>
        <w:tc>
          <w:tcPr>
            <w:tcW w:type="dxa" w:w="1750"/>
            <w:tcMar>
              <w:top w:w="80" w:type="dxa"/>
              <w:start w:w="120" w:type="dxa"/>
              <w:bottom w:w="80" w:type="dxa"/>
              <w:end w:w="120" w:type="dxa"/>
            </w:tcMar>
            <w:vAlign w:val="center"/>
          </w:tcPr>
          <w:p>
            <w:pPr>
              <w:spacing w:after="0" w:line="252" w:lineRule="auto"/>
            </w:pPr>
            <w:r>
              <w:rPr>
                <w:rFonts w:ascii="Calibri" w:hAnsi="Calibri" w:eastAsia="Calibri"/>
                <w:color w:val="202124"/>
                <w:sz w:val="16"/>
              </w:rPr>
              <w:t>Own assignments and permitted participants</w:t>
            </w:r>
          </w:p>
        </w:tc>
        <w:tc>
          <w:tcPr>
            <w:tcW w:type="dxa" w:w="13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6"/>
              </w:rPr>
              <w:t>No</w:t>
            </w:r>
          </w:p>
        </w:tc>
        <w:tc>
          <w:tcPr>
            <w:tcW w:type="dxa" w:w="1910"/>
            <w:tcMar>
              <w:top w:w="80" w:type="dxa"/>
              <w:start w:w="120" w:type="dxa"/>
              <w:bottom w:w="80" w:type="dxa"/>
              <w:end w:w="120" w:type="dxa"/>
            </w:tcMar>
            <w:vAlign w:val="center"/>
          </w:tcPr>
          <w:p>
            <w:pPr>
              <w:spacing w:after="0" w:line="252" w:lineRule="auto"/>
            </w:pPr>
            <w:r>
              <w:rPr>
                <w:rFonts w:ascii="Calibri" w:hAnsi="Calibri" w:eastAsia="Calibri"/>
                <w:color w:val="202124"/>
                <w:sz w:val="16"/>
              </w:rPr>
              <w:t>Personal history</w:t>
            </w:r>
          </w:p>
        </w:tc>
      </w:tr>
      <w:tr>
        <w:trPr>
          <w:cantSplit/>
        </w:trPr>
        <w:tc>
          <w:tcPr>
            <w:tcW w:type="dxa" w:w="115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Participant</w:t>
            </w:r>
          </w:p>
        </w:tc>
        <w:tc>
          <w:tcPr>
            <w:tcW w:type="dxa" w:w="105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Self/project</w:t>
            </w:r>
          </w:p>
        </w:tc>
        <w:tc>
          <w:tcPr>
            <w:tcW w:type="dxa" w:w="1200"/>
            <w:shd w:fill="F8FAFC"/>
            <w:tcMar>
              <w:top w:w="80" w:type="dxa"/>
              <w:start w:w="120" w:type="dxa"/>
              <w:bottom w:w="80" w:type="dxa"/>
              <w:end w:w="120" w:type="dxa"/>
            </w:tcMar>
            <w:vAlign w:val="center"/>
          </w:tcPr>
          <w:p>
            <w:pPr>
              <w:spacing w:after="0" w:line="252" w:lineRule="auto"/>
              <w:jc w:val="center"/>
            </w:pPr>
            <w:r>
              <w:rPr>
                <w:rFonts w:ascii="Calibri" w:hAnsi="Calibri" w:eastAsia="Calibri"/>
                <w:color w:val="202124"/>
                <w:sz w:val="16"/>
              </w:rPr>
              <w:t>No</w:t>
            </w:r>
          </w:p>
        </w:tc>
        <w:tc>
          <w:tcPr>
            <w:tcW w:type="dxa" w:w="1000"/>
            <w:shd w:fill="F8FAFC"/>
            <w:tcMar>
              <w:top w:w="80" w:type="dxa"/>
              <w:start w:w="120" w:type="dxa"/>
              <w:bottom w:w="80" w:type="dxa"/>
              <w:end w:w="120" w:type="dxa"/>
            </w:tcMar>
            <w:vAlign w:val="center"/>
          </w:tcPr>
          <w:p>
            <w:pPr>
              <w:spacing w:after="0" w:line="252" w:lineRule="auto"/>
              <w:jc w:val="center"/>
            </w:pPr>
            <w:r>
              <w:rPr>
                <w:rFonts w:ascii="Calibri" w:hAnsi="Calibri" w:eastAsia="Calibri"/>
                <w:color w:val="202124"/>
                <w:sz w:val="16"/>
              </w:rPr>
              <w:t>No</w:t>
            </w:r>
          </w:p>
        </w:tc>
        <w:tc>
          <w:tcPr>
            <w:tcW w:type="dxa" w:w="175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Self only</w:t>
            </w:r>
          </w:p>
        </w:tc>
        <w:tc>
          <w:tcPr>
            <w:tcW w:type="dxa" w:w="1300"/>
            <w:shd w:fill="F8FAFC"/>
            <w:tcMar>
              <w:top w:w="80" w:type="dxa"/>
              <w:start w:w="120" w:type="dxa"/>
              <w:bottom w:w="80" w:type="dxa"/>
              <w:end w:w="120" w:type="dxa"/>
            </w:tcMar>
            <w:vAlign w:val="center"/>
          </w:tcPr>
          <w:p>
            <w:pPr>
              <w:spacing w:after="0" w:line="252" w:lineRule="auto"/>
              <w:jc w:val="center"/>
            </w:pPr>
            <w:r>
              <w:rPr>
                <w:rFonts w:ascii="Calibri" w:hAnsi="Calibri" w:eastAsia="Calibri"/>
                <w:color w:val="202124"/>
                <w:sz w:val="16"/>
              </w:rPr>
              <w:t>No</w:t>
            </w:r>
          </w:p>
        </w:tc>
        <w:tc>
          <w:tcPr>
            <w:tcW w:type="dxa" w:w="191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Own permitted records</w:t>
            </w:r>
          </w:p>
        </w:tc>
      </w:tr>
      <w:tr>
        <w:trPr>
          <w:cantSplit/>
        </w:trPr>
        <w:tc>
          <w:tcPr>
            <w:tcW w:type="dxa" w:w="1150"/>
            <w:tcMar>
              <w:top w:w="80" w:type="dxa"/>
              <w:start w:w="120" w:type="dxa"/>
              <w:bottom w:w="80" w:type="dxa"/>
              <w:end w:w="120" w:type="dxa"/>
            </w:tcMar>
            <w:vAlign w:val="center"/>
          </w:tcPr>
          <w:p>
            <w:pPr>
              <w:spacing w:after="0" w:line="252" w:lineRule="auto"/>
            </w:pPr>
            <w:r>
              <w:rPr>
                <w:rFonts w:ascii="Calibri" w:hAnsi="Calibri" w:eastAsia="Calibri"/>
                <w:color w:val="202124"/>
                <w:sz w:val="16"/>
              </w:rPr>
              <w:t>Auditor</w:t>
            </w:r>
          </w:p>
        </w:tc>
        <w:tc>
          <w:tcPr>
            <w:tcW w:type="dxa" w:w="1050"/>
            <w:tcMar>
              <w:top w:w="80" w:type="dxa"/>
              <w:start w:w="120" w:type="dxa"/>
              <w:bottom w:w="80" w:type="dxa"/>
              <w:end w:w="120" w:type="dxa"/>
            </w:tcMar>
            <w:vAlign w:val="center"/>
          </w:tcPr>
          <w:p>
            <w:pPr>
              <w:spacing w:after="0" w:line="252" w:lineRule="auto"/>
            </w:pPr>
            <w:r>
              <w:rPr>
                <w:rFonts w:ascii="Calibri" w:hAnsi="Calibri" w:eastAsia="Calibri"/>
                <w:color w:val="202124"/>
                <w:sz w:val="16"/>
              </w:rPr>
              <w:t>Assigned read-only scope</w:t>
            </w:r>
          </w:p>
        </w:tc>
        <w:tc>
          <w:tcPr>
            <w:tcW w:type="dxa" w:w="12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6"/>
              </w:rPr>
              <w:t>No</w:t>
            </w:r>
          </w:p>
        </w:tc>
        <w:tc>
          <w:tcPr>
            <w:tcW w:type="dxa" w:w="10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6"/>
              </w:rPr>
              <w:t>No</w:t>
            </w:r>
          </w:p>
        </w:tc>
        <w:tc>
          <w:tcPr>
            <w:tcW w:type="dxa" w:w="1750"/>
            <w:tcMar>
              <w:top w:w="80" w:type="dxa"/>
              <w:start w:w="120" w:type="dxa"/>
              <w:bottom w:w="80" w:type="dxa"/>
              <w:end w:w="120" w:type="dxa"/>
            </w:tcMar>
            <w:vAlign w:val="center"/>
          </w:tcPr>
          <w:p>
            <w:pPr>
              <w:spacing w:after="0" w:line="252" w:lineRule="auto"/>
            </w:pPr>
            <w:r>
              <w:rPr>
                <w:rFonts w:ascii="Calibri" w:hAnsi="Calibri" w:eastAsia="Calibri"/>
                <w:color w:val="202124"/>
                <w:sz w:val="16"/>
              </w:rPr>
              <w:t>Read-only</w:t>
            </w:r>
          </w:p>
        </w:tc>
        <w:tc>
          <w:tcPr>
            <w:tcW w:type="dxa" w:w="1300"/>
            <w:tcMar>
              <w:top w:w="80" w:type="dxa"/>
              <w:start w:w="120" w:type="dxa"/>
              <w:bottom w:w="80" w:type="dxa"/>
              <w:end w:w="120" w:type="dxa"/>
            </w:tcMar>
            <w:vAlign w:val="center"/>
          </w:tcPr>
          <w:p>
            <w:pPr>
              <w:spacing w:after="0" w:line="252" w:lineRule="auto"/>
            </w:pPr>
            <w:r>
              <w:rPr>
                <w:rFonts w:ascii="Calibri" w:hAnsi="Calibri" w:eastAsia="Calibri"/>
                <w:color w:val="202124"/>
                <w:sz w:val="16"/>
              </w:rPr>
              <w:t>Named permission required</w:t>
            </w:r>
          </w:p>
        </w:tc>
        <w:tc>
          <w:tcPr>
            <w:tcW w:type="dxa" w:w="1910"/>
            <w:tcMar>
              <w:top w:w="80" w:type="dxa"/>
              <w:start w:w="120" w:type="dxa"/>
              <w:bottom w:w="80" w:type="dxa"/>
              <w:end w:w="120" w:type="dxa"/>
            </w:tcMar>
            <w:vAlign w:val="center"/>
          </w:tcPr>
          <w:p>
            <w:pPr>
              <w:spacing w:after="0" w:line="252" w:lineRule="auto"/>
            </w:pPr>
            <w:r>
              <w:rPr>
                <w:rFonts w:ascii="Calibri" w:hAnsi="Calibri" w:eastAsia="Calibri"/>
                <w:color w:val="202124"/>
                <w:sz w:val="16"/>
              </w:rPr>
              <w:t>Approved records and audit</w:t>
            </w:r>
          </w:p>
        </w:tc>
      </w:tr>
    </w:tbl>
    <w:p>
      <w:pPr>
        <w:spacing w:after="20"/>
      </w:pPr>
    </w:p>
    <w:p>
      <w:pPr>
        <w:pStyle w:val="Heading1"/>
      </w:pPr>
      <w:r>
        <w:rPr>
          <w:rFonts w:ascii="Calibri" w:hAnsi="Calibri" w:eastAsia="Calibri"/>
          <w:color w:val="202124"/>
        </w:rPr>
        <w:t>5. Functional requirements</w:t>
      </w:r>
    </w:p>
    <w:p>
      <w:pPr>
        <w:pStyle w:val="Heading2"/>
      </w:pPr>
      <w:r>
        <w:rPr>
          <w:rFonts w:ascii="Calibri" w:hAnsi="Calibri" w:eastAsia="Calibri"/>
          <w:color w:val="202124"/>
        </w:rPr>
        <w:t>5.1 Organization and annual governance</w:t>
      </w:r>
    </w:p>
    <w:p>
      <w:pPr>
        <w:spacing w:after="80" w:line="300" w:lineRule="auto"/>
        <w:keepNext/>
        <w:numPr>
          <w:ilvl w:val="0"/>
          <w:numId w:val="20"/>
        </w:numPr>
      </w:pPr>
      <w:r>
        <w:rPr>
          <w:rFonts w:ascii="Calibri" w:hAnsi="Calibri" w:eastAsia="Calibri"/>
          <w:color w:val="202124"/>
        </w:rPr>
        <w:t>Campuses, operating units, wings, academic years, positions, and terms.</w:t>
      </w:r>
    </w:p>
    <w:p>
      <w:pPr>
        <w:spacing w:after="80" w:line="300" w:lineRule="auto"/>
        <w:keepNext/>
        <w:numPr>
          <w:ilvl w:val="0"/>
          <w:numId w:val="20"/>
        </w:numPr>
      </w:pPr>
      <w:r>
        <w:rPr>
          <w:rFonts w:ascii="Calibri" w:hAnsi="Calibri" w:eastAsia="Calibri"/>
          <w:color w:val="202124"/>
        </w:rPr>
        <w:t>ICC annual leadership and associate rosters.</w:t>
      </w:r>
    </w:p>
    <w:p>
      <w:pPr>
        <w:spacing w:after="80" w:line="300" w:lineRule="auto"/>
        <w:keepNext/>
        <w:numPr>
          <w:ilvl w:val="0"/>
          <w:numId w:val="20"/>
        </w:numPr>
      </w:pPr>
      <w:r>
        <w:rPr>
          <w:rFonts w:ascii="Calibri" w:hAnsi="Calibri" w:eastAsia="Calibri"/>
          <w:color w:val="202124"/>
        </w:rPr>
        <w:t>Program-specific IGP teams.</w:t>
      </w:r>
    </w:p>
    <w:p>
      <w:pPr>
        <w:spacing w:after="80" w:line="300" w:lineRule="auto"/>
        <w:keepNext/>
        <w:numPr>
          <w:ilvl w:val="0"/>
          <w:numId w:val="20"/>
        </w:numPr>
      </w:pPr>
      <w:r>
        <w:rPr>
          <w:rFonts w:ascii="Calibri" w:hAnsi="Calibri" w:eastAsia="Calibri"/>
          <w:color w:val="202124"/>
        </w:rPr>
        <w:t>Acting and delegated positions with effective dates.</w:t>
      </w:r>
    </w:p>
    <w:p>
      <w:pPr>
        <w:spacing w:after="80" w:line="300" w:lineRule="auto"/>
        <w:keepNext w:val="0"/>
        <w:numPr>
          <w:ilvl w:val="0"/>
          <w:numId w:val="20"/>
        </w:numPr>
      </w:pPr>
      <w:r>
        <w:rPr>
          <w:rFonts w:ascii="Calibri" w:hAnsi="Calibri" w:eastAsia="Calibri"/>
          <w:color w:val="202124"/>
        </w:rPr>
        <w:t>Historical roster preservation across leadership transitions.</w:t>
      </w:r>
    </w:p>
    <w:p>
      <w:pPr>
        <w:pStyle w:val="Heading2"/>
      </w:pPr>
      <w:r>
        <w:rPr>
          <w:rFonts w:ascii="Calibri" w:hAnsi="Calibri" w:eastAsia="Calibri"/>
          <w:color w:val="202124"/>
        </w:rPr>
        <w:t>5.2 Projects and programs</w:t>
      </w:r>
    </w:p>
    <w:p>
      <w:pPr>
        <w:spacing w:after="80" w:line="300" w:lineRule="auto"/>
        <w:keepNext/>
        <w:numPr>
          <w:ilvl w:val="0"/>
          <w:numId w:val="21"/>
        </w:numPr>
      </w:pPr>
      <w:r>
        <w:rPr>
          <w:rFonts w:ascii="Calibri" w:hAnsi="Calibri" w:eastAsia="Calibri"/>
          <w:color w:val="202124"/>
        </w:rPr>
        <w:t>Create, edit, clone, approve, cancel, archive, and search projects.</w:t>
      </w:r>
    </w:p>
    <w:p>
      <w:pPr>
        <w:spacing w:after="80" w:line="300" w:lineRule="auto"/>
        <w:keepNext/>
        <w:numPr>
          <w:ilvl w:val="0"/>
          <w:numId w:val="21"/>
        </w:numPr>
      </w:pPr>
      <w:r>
        <w:rPr>
          <w:rFonts w:ascii="Calibri" w:hAnsi="Calibri" w:eastAsia="Calibri"/>
          <w:color w:val="202124"/>
        </w:rPr>
        <w:t>Types: ICC event, ICC internal activity, IGP inbound program, immersion, exchange cohort, visitor program, and mobility activity.</w:t>
      </w:r>
    </w:p>
    <w:p>
      <w:pPr>
        <w:spacing w:after="80" w:line="300" w:lineRule="auto"/>
        <w:keepNext/>
        <w:numPr>
          <w:ilvl w:val="0"/>
          <w:numId w:val="21"/>
        </w:numPr>
      </w:pPr>
      <w:r>
        <w:rPr>
          <w:rFonts w:ascii="Calibri" w:hAnsi="Calibri" w:eastAsia="Calibri"/>
          <w:color w:val="202124"/>
        </w:rPr>
        <w:t>Fields include campus, owner, wing, partner institution, objectives, audience, venue, dates, times, capacity, expected and actual reach, status, collaborators, budget, risks, and closure summary.</w:t>
      </w:r>
    </w:p>
    <w:p>
      <w:pPr>
        <w:spacing w:after="80" w:line="300" w:lineRule="auto"/>
        <w:keepNext/>
        <w:numPr>
          <w:ilvl w:val="0"/>
          <w:numId w:val="21"/>
        </w:numPr>
      </w:pPr>
      <w:r>
        <w:rPr>
          <w:rFonts w:ascii="Calibri" w:hAnsi="Calibri" w:eastAsia="Calibri"/>
          <w:color w:val="202124"/>
        </w:rPr>
        <w:t xml:space="preserve">Lifecycle: </w:t>
      </w:r>
      <w:r>
        <w:rPr>
          <w:rFonts w:ascii="Calibri" w:hAnsi="Calibri" w:eastAsia="Calibri"/>
          <w:b/>
          <w:color w:val="202124"/>
        </w:rPr>
        <w:t>Draft → Pending Approval → Planned → Active → Closing → Completed → Archived</w:t>
      </w:r>
      <w:r>
        <w:rPr>
          <w:rFonts w:ascii="Calibri" w:hAnsi="Calibri" w:eastAsia="Calibri"/>
          <w:color w:val="202124"/>
        </w:rPr>
        <w:t>.</w:t>
      </w:r>
    </w:p>
    <w:p>
      <w:pPr>
        <w:spacing w:after="80" w:line="300" w:lineRule="auto"/>
        <w:keepNext/>
        <w:numPr>
          <w:ilvl w:val="0"/>
          <w:numId w:val="21"/>
        </w:numPr>
      </w:pPr>
      <w:r>
        <w:rPr>
          <w:rFonts w:ascii="Calibri" w:hAnsi="Calibri" w:eastAsia="Calibri"/>
          <w:color w:val="202124"/>
        </w:rPr>
        <w:t>Cancelled is a terminal state requiring a reason.</w:t>
      </w:r>
    </w:p>
    <w:p>
      <w:pPr>
        <w:spacing w:after="80" w:line="300" w:lineRule="auto"/>
        <w:keepNext w:val="0"/>
        <w:numPr>
          <w:ilvl w:val="0"/>
          <w:numId w:val="21"/>
        </w:numPr>
      </w:pPr>
      <w:r>
        <w:rPr>
          <w:rFonts w:ascii="Calibri" w:hAnsi="Calibri" w:eastAsia="Calibri"/>
          <w:color w:val="202124"/>
        </w:rPr>
        <w:t>Projects cannot complete until mandatory closure requirements are satisfied or formally waived.</w:t>
      </w:r>
    </w:p>
    <w:p>
      <w:pPr>
        <w:pStyle w:val="Heading2"/>
      </w:pPr>
      <w:r>
        <w:rPr>
          <w:rFonts w:ascii="Calibri" w:hAnsi="Calibri" w:eastAsia="Calibri"/>
          <w:color w:val="202124"/>
        </w:rPr>
        <w:t>5.3 Components, sessions, and schedules</w:t>
      </w:r>
    </w:p>
    <w:p>
      <w:pPr>
        <w:spacing w:after="80" w:line="300" w:lineRule="auto"/>
        <w:keepNext/>
        <w:numPr>
          <w:ilvl w:val="0"/>
          <w:numId w:val="22"/>
        </w:numPr>
      </w:pPr>
      <w:r>
        <w:rPr>
          <w:rFonts w:ascii="Calibri" w:hAnsi="Calibri" w:eastAsia="Calibri"/>
          <w:color w:val="202124"/>
        </w:rPr>
        <w:t>Project days, sessions, performances, tours, workshops, travel movements, inaugurations, and valedictories.</w:t>
      </w:r>
    </w:p>
    <w:p>
      <w:pPr>
        <w:spacing w:after="80" w:line="300" w:lineRule="auto"/>
        <w:keepNext/>
        <w:numPr>
          <w:ilvl w:val="0"/>
          <w:numId w:val="22"/>
        </w:numPr>
      </w:pPr>
      <w:r>
        <w:rPr>
          <w:rFonts w:ascii="Calibri" w:hAnsi="Calibri" w:eastAsia="Calibri"/>
          <w:color w:val="202124"/>
        </w:rPr>
        <w:t>Session-level venue, timing, owner, capacity, programme sequence, participant group, attendance, and resources.</w:t>
      </w:r>
    </w:p>
    <w:p>
      <w:pPr>
        <w:spacing w:after="80" w:line="300" w:lineRule="auto"/>
        <w:keepNext/>
        <w:numPr>
          <w:ilvl w:val="0"/>
          <w:numId w:val="22"/>
        </w:numPr>
      </w:pPr>
      <w:r>
        <w:rPr>
          <w:rFonts w:ascii="Calibri" w:hAnsi="Calibri" w:eastAsia="Calibri"/>
          <w:color w:val="202124"/>
        </w:rPr>
        <w:t>Calendar views by campus, unit, wing, academic year, and owner.</w:t>
      </w:r>
    </w:p>
    <w:p>
      <w:pPr>
        <w:spacing w:after="80" w:line="300" w:lineRule="auto"/>
        <w:keepNext w:val="0"/>
        <w:numPr>
          <w:ilvl w:val="0"/>
          <w:numId w:val="22"/>
        </w:numPr>
      </w:pPr>
      <w:r>
        <w:rPr>
          <w:rFonts w:ascii="Calibri" w:hAnsi="Calibri" w:eastAsia="Calibri"/>
          <w:color w:val="202124"/>
        </w:rPr>
        <w:t>Conflict warnings for venue, lead, and team scheduling.</w:t>
      </w:r>
    </w:p>
    <w:p>
      <w:pPr>
        <w:pStyle w:val="Heading2"/>
      </w:pPr>
      <w:r>
        <w:rPr>
          <w:rFonts w:ascii="Calibri" w:hAnsi="Calibri" w:eastAsia="Calibri"/>
          <w:color w:val="202124"/>
        </w:rPr>
        <w:t>5.4 Tasks, checklists, and approvals</w:t>
      </w:r>
    </w:p>
    <w:p>
      <w:pPr>
        <w:spacing w:after="80" w:line="300" w:lineRule="auto"/>
        <w:keepNext/>
        <w:numPr>
          <w:ilvl w:val="0"/>
          <w:numId w:val="23"/>
        </w:numPr>
      </w:pPr>
      <w:r>
        <w:rPr>
          <w:rFonts w:ascii="Calibri" w:hAnsi="Calibri" w:eastAsia="Calibri"/>
          <w:color w:val="202124"/>
        </w:rPr>
        <w:t>Reusable templates for ICC events and each IGP program category.</w:t>
      </w:r>
    </w:p>
    <w:p>
      <w:pPr>
        <w:spacing w:after="80" w:line="300" w:lineRule="auto"/>
        <w:keepNext/>
        <w:numPr>
          <w:ilvl w:val="0"/>
          <w:numId w:val="23"/>
        </w:numPr>
      </w:pPr>
      <w:r>
        <w:rPr>
          <w:rFonts w:ascii="Calibri" w:hAnsi="Calibri" w:eastAsia="Calibri"/>
          <w:color w:val="202124"/>
        </w:rPr>
        <w:t>Tasks with owner, accountable approver, due date, priority, dependencies, evidence, comments, reminders, and status.</w:t>
      </w:r>
    </w:p>
    <w:p>
      <w:pPr>
        <w:spacing w:after="80" w:line="300" w:lineRule="auto"/>
        <w:keepNext/>
        <w:numPr>
          <w:ilvl w:val="0"/>
          <w:numId w:val="23"/>
        </w:numPr>
      </w:pPr>
      <w:r>
        <w:rPr>
          <w:rFonts w:ascii="Calibri" w:hAnsi="Calibri" w:eastAsia="Calibri"/>
          <w:color w:val="202124"/>
        </w:rPr>
        <w:t>Checklist instances created from versioned templates.</w:t>
      </w:r>
    </w:p>
    <w:p>
      <w:pPr>
        <w:spacing w:after="80" w:line="300" w:lineRule="auto"/>
        <w:keepNext/>
        <w:numPr>
          <w:ilvl w:val="0"/>
          <w:numId w:val="23"/>
        </w:numPr>
      </w:pPr>
      <w:r>
        <w:rPr>
          <w:rFonts w:ascii="Calibri" w:hAnsi="Calibri" w:eastAsia="Calibri"/>
          <w:color w:val="202124"/>
        </w:rPr>
        <w:t>Statuses: Not Started, In Progress, Blocked, Submitted, Approved, Rejected, Waived, and Completed.</w:t>
      </w:r>
    </w:p>
    <w:p>
      <w:pPr>
        <w:spacing w:after="80" w:line="300" w:lineRule="auto"/>
        <w:keepNext/>
        <w:numPr>
          <w:ilvl w:val="0"/>
          <w:numId w:val="23"/>
        </w:numPr>
      </w:pPr>
      <w:r>
        <w:rPr>
          <w:rFonts w:ascii="Calibri" w:hAnsi="Calibri" w:eastAsia="Calibri"/>
          <w:color w:val="202124"/>
        </w:rPr>
        <w:t>Rejections require comments; waivers require faculty approval and justification.</w:t>
      </w:r>
    </w:p>
    <w:p>
      <w:pPr>
        <w:spacing w:after="80" w:line="300" w:lineRule="auto"/>
        <w:keepNext/>
        <w:numPr>
          <w:ilvl w:val="0"/>
          <w:numId w:val="23"/>
        </w:numPr>
      </w:pPr>
      <w:r>
        <w:rPr>
          <w:rFonts w:ascii="Calibri" w:hAnsi="Calibri" w:eastAsia="Calibri"/>
          <w:color w:val="202124"/>
        </w:rPr>
        <w:t>External departments, vendors, and faculty can be responsible contacts without requiring accounts.</w:t>
      </w:r>
    </w:p>
    <w:p>
      <w:pPr>
        <w:spacing w:after="80" w:line="300" w:lineRule="auto"/>
        <w:keepNext w:val="0"/>
        <w:numPr>
          <w:ilvl w:val="0"/>
          <w:numId w:val="23"/>
        </w:numPr>
      </w:pPr>
      <w:r>
        <w:rPr>
          <w:rFonts w:ascii="Calibri" w:hAnsi="Calibri" w:eastAsia="Calibri"/>
          <w:color w:val="202124"/>
        </w:rPr>
        <w:t>Every supplied Summer School checklist item must be represented as an operational requirement.</w:t>
      </w:r>
    </w:p>
    <w:p>
      <w:pPr>
        <w:pStyle w:val="Heading2"/>
      </w:pPr>
      <w:r>
        <w:rPr>
          <w:rFonts w:ascii="Calibri" w:hAnsi="Calibri" w:eastAsia="Calibri"/>
          <w:color w:val="202124"/>
        </w:rPr>
        <w:t>5.5 People, teams, and recruitment</w:t>
      </w:r>
    </w:p>
    <w:p>
      <w:pPr>
        <w:spacing w:after="80" w:line="300" w:lineRule="auto"/>
        <w:keepNext/>
        <w:numPr>
          <w:ilvl w:val="0"/>
          <w:numId w:val="24"/>
        </w:numPr>
      </w:pPr>
      <w:r>
        <w:rPr>
          <w:rFonts w:ascii="Calibri" w:hAnsi="Calibri" w:eastAsia="Calibri"/>
          <w:color w:val="202124"/>
        </w:rPr>
        <w:t xml:space="preserve">Separate </w:t>
      </w:r>
      <w:r>
        <w:rPr>
          <w:rFonts w:ascii="Courier New" w:hAnsi="Courier New" w:eastAsia="Courier New"/>
          <w:color w:val="1F4D78"/>
          <w:sz w:val="21"/>
        </w:rPr>
        <w:t>Person</w:t>
      </w:r>
      <w:r>
        <w:rPr>
          <w:rFonts w:ascii="Calibri" w:hAnsi="Calibri" w:eastAsia="Calibri"/>
          <w:color w:val="202124"/>
        </w:rPr>
        <w:t xml:space="preserve"> from </w:t>
      </w:r>
      <w:r>
        <w:rPr>
          <w:rFonts w:ascii="Courier New" w:hAnsi="Courier New" w:eastAsia="Courier New"/>
          <w:color w:val="1F4D78"/>
          <w:sz w:val="21"/>
        </w:rPr>
        <w:t>UserAccount</w:t>
      </w:r>
      <w:r>
        <w:rPr>
          <w:rFonts w:ascii="Calibri" w:hAnsi="Calibri" w:eastAsia="Calibri"/>
          <w:color w:val="202124"/>
        </w:rPr>
        <w:t>; people may participate without signing in.</w:t>
      </w:r>
    </w:p>
    <w:p>
      <w:pPr>
        <w:spacing w:after="80" w:line="300" w:lineRule="auto"/>
        <w:keepNext/>
        <w:numPr>
          <w:ilvl w:val="0"/>
          <w:numId w:val="24"/>
        </w:numPr>
      </w:pPr>
      <w:r>
        <w:rPr>
          <w:rFonts w:ascii="Calibri" w:hAnsi="Calibri" w:eastAsia="Calibri"/>
          <w:color w:val="202124"/>
        </w:rPr>
        <w:t>University registration number is optional but unique when present.</w:t>
      </w:r>
    </w:p>
    <w:p>
      <w:pPr>
        <w:spacing w:after="80" w:line="300" w:lineRule="auto"/>
        <w:keepNext/>
        <w:numPr>
          <w:ilvl w:val="0"/>
          <w:numId w:val="24"/>
        </w:numPr>
      </w:pPr>
      <w:r>
        <w:rPr>
          <w:rFonts w:ascii="Calibri" w:hAnsi="Calibri" w:eastAsia="Calibri"/>
          <w:color w:val="202124"/>
        </w:rPr>
        <w:t>Guest and parent attendance defaults to aggregate counts unless identity is operationally necessary.</w:t>
      </w:r>
    </w:p>
    <w:p>
      <w:pPr>
        <w:spacing w:after="80" w:line="300" w:lineRule="auto"/>
        <w:keepNext/>
        <w:numPr>
          <w:ilvl w:val="0"/>
          <w:numId w:val="24"/>
        </w:numPr>
      </w:pPr>
      <w:r>
        <w:rPr>
          <w:rFonts w:ascii="Calibri" w:hAnsi="Calibri" w:eastAsia="Calibri"/>
          <w:color w:val="202124"/>
        </w:rPr>
        <w:t>ICC associates remain assigned for an academic year.</w:t>
      </w:r>
    </w:p>
    <w:p>
      <w:pPr>
        <w:spacing w:after="80" w:line="300" w:lineRule="auto"/>
        <w:keepNext/>
        <w:numPr>
          <w:ilvl w:val="0"/>
          <w:numId w:val="24"/>
        </w:numPr>
      </w:pPr>
      <w:r>
        <w:rPr>
          <w:rFonts w:ascii="Calibri" w:hAnsi="Calibri" w:eastAsia="Calibri"/>
          <w:color w:val="202124"/>
        </w:rPr>
        <w:t>Support IGP applications, interviews, selection, rejection, program assignment, and prior-program history.</w:t>
      </w:r>
    </w:p>
    <w:p>
      <w:pPr>
        <w:spacing w:after="80" w:line="300" w:lineRule="auto"/>
        <w:keepNext/>
        <w:numPr>
          <w:ilvl w:val="0"/>
          <w:numId w:val="24"/>
        </w:numPr>
      </w:pPr>
      <w:r>
        <w:rPr>
          <w:rFonts w:ascii="Calibri" w:hAnsi="Calibri" w:eastAsia="Calibri"/>
          <w:color w:val="202124"/>
        </w:rPr>
        <w:t>Support bulk participant and team assignment.</w:t>
      </w:r>
    </w:p>
    <w:p>
      <w:pPr>
        <w:spacing w:after="80" w:line="300" w:lineRule="auto"/>
        <w:keepNext w:val="0"/>
        <w:numPr>
          <w:ilvl w:val="0"/>
          <w:numId w:val="24"/>
        </w:numPr>
      </w:pPr>
      <w:r>
        <w:rPr>
          <w:rFonts w:ascii="Calibri" w:hAnsi="Calibri" w:eastAsia="Calibri"/>
          <w:color w:val="202124"/>
        </w:rPr>
        <w:t>Store skills, interests, availability, campus, category, nationality/country, emergency-contact visibility rules, and consent status.</w:t>
      </w:r>
    </w:p>
    <w:p>
      <w:pPr>
        <w:pStyle w:val="Heading2"/>
      </w:pPr>
      <w:r>
        <w:rPr>
          <w:rFonts w:ascii="Calibri" w:hAnsi="Calibri" w:eastAsia="Calibri"/>
          <w:color w:val="202124"/>
        </w:rPr>
        <w:t>5.6 Attendance and contribution</w:t>
      </w:r>
    </w:p>
    <w:p>
      <w:pPr>
        <w:spacing w:after="80" w:line="300" w:lineRule="auto"/>
        <w:keepNext/>
        <w:numPr>
          <w:ilvl w:val="0"/>
          <w:numId w:val="25"/>
        </w:numPr>
      </w:pPr>
      <w:r>
        <w:rPr>
          <w:rFonts w:ascii="Calibri" w:hAnsi="Calibri" w:eastAsia="Calibri"/>
          <w:color w:val="202124"/>
        </w:rPr>
        <w:t>Attendance is session-specific and independent of contribution.</w:t>
      </w:r>
    </w:p>
    <w:p>
      <w:pPr>
        <w:spacing w:after="80" w:line="300" w:lineRule="auto"/>
        <w:keepNext/>
        <w:numPr>
          <w:ilvl w:val="0"/>
          <w:numId w:val="25"/>
        </w:numPr>
      </w:pPr>
      <w:r>
        <w:rPr>
          <w:rFonts w:ascii="Calibri" w:hAnsi="Calibri" w:eastAsia="Calibri"/>
          <w:color w:val="202124"/>
        </w:rPr>
        <w:t>Only authorized coordinators verify attendance.</w:t>
      </w:r>
    </w:p>
    <w:p>
      <w:pPr>
        <w:spacing w:after="80" w:line="300" w:lineRule="auto"/>
        <w:keepNext/>
        <w:numPr>
          <w:ilvl w:val="0"/>
          <w:numId w:val="25"/>
        </w:numPr>
      </w:pPr>
      <w:r>
        <w:rPr>
          <w:rFonts w:ascii="Calibri" w:hAnsi="Calibri" w:eastAsia="Calibri"/>
          <w:color w:val="202124"/>
        </w:rPr>
        <w:t>Allow one attendance record per person/session, with change history.</w:t>
      </w:r>
    </w:p>
    <w:p>
      <w:pPr>
        <w:spacing w:after="80" w:line="300" w:lineRule="auto"/>
        <w:keepNext/>
        <w:numPr>
          <w:ilvl w:val="0"/>
          <w:numId w:val="25"/>
        </w:numPr>
      </w:pPr>
      <w:r>
        <w:rPr>
          <w:rFonts w:ascii="Calibri" w:hAnsi="Calibri" w:eastAsia="Calibri"/>
          <w:color w:val="202124"/>
        </w:rPr>
        <w:t>Support individual rosters, bulk marking, spreadsheet import, and aggregate audience counts.</w:t>
      </w:r>
    </w:p>
    <w:p>
      <w:pPr>
        <w:spacing w:after="80" w:line="300" w:lineRule="auto"/>
        <w:keepNext/>
        <w:numPr>
          <w:ilvl w:val="0"/>
          <w:numId w:val="25"/>
        </w:numPr>
      </w:pPr>
      <w:r>
        <w:rPr>
          <w:rFonts w:ascii="Calibri" w:hAnsi="Calibri" w:eastAsia="Calibri"/>
          <w:color w:val="202124"/>
        </w:rPr>
        <w:t>Contributions record activity, wing, description, hours, evidence, approver, and approval state.</w:t>
      </w:r>
    </w:p>
    <w:p>
      <w:pPr>
        <w:spacing w:after="80" w:line="300" w:lineRule="auto"/>
        <w:keepNext w:val="0"/>
        <w:numPr>
          <w:ilvl w:val="0"/>
          <w:numId w:val="25"/>
        </w:numPr>
      </w:pPr>
      <w:r>
        <w:rPr>
          <w:rFonts w:ascii="Calibri" w:hAnsi="Calibri" w:eastAsia="Calibri"/>
          <w:color w:val="202124"/>
        </w:rPr>
        <w:t>Recognition uses transparent history and totals; no universal leaderboard is included in production.</w:t>
      </w:r>
    </w:p>
    <w:p>
      <w:pPr>
        <w:pStyle w:val="Heading2"/>
      </w:pPr>
      <w:r>
        <w:rPr>
          <w:rFonts w:ascii="Calibri" w:hAnsi="Calibri" w:eastAsia="Calibri"/>
          <w:color w:val="202124"/>
        </w:rPr>
        <w:t>5.7 IGP and buddy operations</w:t>
      </w:r>
    </w:p>
    <w:p>
      <w:pPr>
        <w:spacing w:after="80" w:line="300" w:lineRule="auto"/>
        <w:keepNext/>
        <w:numPr>
          <w:ilvl w:val="0"/>
          <w:numId w:val="26"/>
        </w:numPr>
      </w:pPr>
      <w:r>
        <w:rPr>
          <w:rFonts w:ascii="Calibri" w:hAnsi="Calibri" w:eastAsia="Calibri"/>
          <w:color w:val="202124"/>
        </w:rPr>
        <w:t>Partner institution, cohort, dates, participant roster, arrival/departure movements, accommodation-readiness status, itinerary, and program contacts.</w:t>
      </w:r>
    </w:p>
    <w:p>
      <w:pPr>
        <w:spacing w:after="80" w:line="300" w:lineRule="auto"/>
        <w:keepNext/>
        <w:numPr>
          <w:ilvl w:val="0"/>
          <w:numId w:val="26"/>
        </w:numPr>
      </w:pPr>
      <w:r>
        <w:rPr>
          <w:rFonts w:ascii="Calibri" w:hAnsi="Calibri" w:eastAsia="Calibri"/>
          <w:color w:val="202124"/>
        </w:rPr>
        <w:t>Buddy recruitment, interview outcome, one-to-one assignment, day-wise assignment, airport assignment, interaction logs, concerns, and escalation.</w:t>
      </w:r>
    </w:p>
    <w:p>
      <w:pPr>
        <w:spacing w:after="80" w:line="300" w:lineRule="auto"/>
        <w:keepNext/>
        <w:numPr>
          <w:ilvl w:val="0"/>
          <w:numId w:val="26"/>
        </w:numPr>
      </w:pPr>
      <w:r>
        <w:rPr>
          <w:rFonts w:ascii="Calibri" w:hAnsi="Calibri" w:eastAsia="Calibri"/>
          <w:color w:val="202124"/>
        </w:rPr>
        <w:t>Prevent overlapping or duplicate buddy assignments unless explicitly approved.</w:t>
      </w:r>
    </w:p>
    <w:p>
      <w:pPr>
        <w:spacing w:after="80" w:line="300" w:lineRule="auto"/>
        <w:keepNext w:val="0"/>
        <w:numPr>
          <w:ilvl w:val="0"/>
          <w:numId w:val="26"/>
        </w:numPr>
      </w:pPr>
      <w:r>
        <w:rPr>
          <w:rFonts w:ascii="Calibri" w:hAnsi="Calibri" w:eastAsia="Calibri"/>
          <w:color w:val="202124"/>
        </w:rPr>
        <w:t>Sensitive requirements store status, owner, expiry/due date, verification date, verifier, classification, and restricted Drive reference only.</w:t>
      </w:r>
    </w:p>
    <w:p>
      <w:pPr>
        <w:pStyle w:val="Heading2"/>
      </w:pPr>
      <w:r>
        <w:rPr>
          <w:rFonts w:ascii="Calibri" w:hAnsi="Calibri" w:eastAsia="Calibri"/>
          <w:color w:val="202124"/>
        </w:rPr>
        <w:t>5.8 Documents and Google Drive</w:t>
      </w:r>
    </w:p>
    <w:p>
      <w:pPr>
        <w:spacing w:after="80" w:line="300" w:lineRule="auto"/>
        <w:keepNext/>
        <w:numPr>
          <w:ilvl w:val="0"/>
          <w:numId w:val="27"/>
        </w:numPr>
      </w:pPr>
      <w:r>
        <w:rPr>
          <w:rFonts w:ascii="Calibri" w:hAnsi="Calibri" w:eastAsia="Calibri"/>
          <w:color w:val="202124"/>
        </w:rPr>
        <w:t>Required-document templates by project/program type.</w:t>
      </w:r>
    </w:p>
    <w:p>
      <w:pPr>
        <w:spacing w:after="80" w:line="300" w:lineRule="auto"/>
        <w:keepNext/>
        <w:numPr>
          <w:ilvl w:val="0"/>
          <w:numId w:val="27"/>
        </w:numPr>
      </w:pPr>
      <w:r>
        <w:rPr>
          <w:rFonts w:ascii="Calibri" w:hAnsi="Calibri" w:eastAsia="Calibri"/>
          <w:color w:val="202124"/>
        </w:rPr>
        <w:t>Metadata: category, title, version, owner, requirement, status, Drive file/folder ID, permission classification, approval, and superseded version.</w:t>
      </w:r>
    </w:p>
    <w:p>
      <w:pPr>
        <w:spacing w:after="80" w:line="300" w:lineRule="auto"/>
        <w:keepNext/>
        <w:numPr>
          <w:ilvl w:val="0"/>
          <w:numId w:val="27"/>
        </w:numPr>
      </w:pPr>
      <w:r>
        <w:rPr>
          <w:rFonts w:ascii="Calibri" w:hAnsi="Calibri" w:eastAsia="Calibri"/>
          <w:color w:val="202124"/>
        </w:rPr>
        <w:t>Validate Drive links and permission visibility through the Drive API.</w:t>
      </w:r>
    </w:p>
    <w:p>
      <w:pPr>
        <w:spacing w:after="80" w:line="300" w:lineRule="auto"/>
        <w:keepNext/>
        <w:numPr>
          <w:ilvl w:val="0"/>
          <w:numId w:val="27"/>
        </w:numPr>
      </w:pPr>
      <w:r>
        <w:rPr>
          <w:rFonts w:ascii="Calibri" w:hAnsi="Calibri" w:eastAsia="Calibri"/>
          <w:color w:val="202124"/>
        </w:rPr>
        <w:t>Never broaden Drive sharing automatically.</w:t>
      </w:r>
    </w:p>
    <w:p>
      <w:pPr>
        <w:spacing w:after="80" w:line="300" w:lineRule="auto"/>
        <w:keepNext/>
        <w:numPr>
          <w:ilvl w:val="0"/>
          <w:numId w:val="27"/>
        </w:numPr>
      </w:pPr>
      <w:r>
        <w:rPr>
          <w:rFonts w:ascii="Calibri" w:hAnsi="Calibri" w:eastAsia="Calibri"/>
          <w:color w:val="202124"/>
        </w:rPr>
        <w:t>Track missing, submitted, approved, rejected, expired, and superseded documents.</w:t>
      </w:r>
    </w:p>
    <w:p>
      <w:pPr>
        <w:spacing w:after="80" w:line="300" w:lineRule="auto"/>
        <w:keepNext w:val="0"/>
        <w:numPr>
          <w:ilvl w:val="0"/>
          <w:numId w:val="27"/>
        </w:numPr>
      </w:pPr>
      <w:r>
        <w:rPr>
          <w:rFonts w:ascii="Calibri" w:hAnsi="Calibri" w:eastAsia="Calibri"/>
          <w:color w:val="202124"/>
        </w:rPr>
        <w:t xml:space="preserve">Use Drive roles and permission metadata for access checks. See </w:t>
      </w:r>
      <w:hyperlink r:id="rId16">
        <w:r>
          <w:rPr>
            <w:rFonts w:ascii="Calibri" w:hAnsi="Calibri"/>
            <w:color w:val="2E74B5"/>
            <w:u w:val="single"/>
          </w:rPr>
          <w:t>Google Drive permissions</w:t>
        </w:r>
      </w:hyperlink>
      <w:r>
        <w:rPr>
          <w:rFonts w:ascii="Calibri" w:hAnsi="Calibri" w:eastAsia="Calibri"/>
          <w:color w:val="202124"/>
        </w:rPr>
        <w:t>.</w:t>
      </w:r>
    </w:p>
    <w:p>
      <w:pPr>
        <w:pStyle w:val="Heading2"/>
      </w:pPr>
      <w:r>
        <w:rPr>
          <w:rFonts w:ascii="Calibri" w:hAnsi="Calibri" w:eastAsia="Calibri"/>
          <w:color w:val="202124"/>
        </w:rPr>
        <w:t>5.9 Feedback and experience</w:t>
      </w:r>
    </w:p>
    <w:p>
      <w:pPr>
        <w:spacing w:after="80" w:line="300" w:lineRule="auto"/>
        <w:keepNext/>
        <w:numPr>
          <w:ilvl w:val="0"/>
          <w:numId w:val="28"/>
        </w:numPr>
      </w:pPr>
      <w:r>
        <w:rPr>
          <w:rFonts w:ascii="Calibri" w:hAnsi="Calibri" w:eastAsia="Calibri"/>
          <w:color w:val="202124"/>
        </w:rPr>
        <w:t>Configurable feedback forms and question types.</w:t>
      </w:r>
    </w:p>
    <w:p>
      <w:pPr>
        <w:spacing w:after="80" w:line="300" w:lineRule="auto"/>
        <w:keepNext/>
        <w:numPr>
          <w:ilvl w:val="0"/>
          <w:numId w:val="28"/>
        </w:numPr>
      </w:pPr>
      <w:r>
        <w:rPr>
          <w:rFonts w:ascii="Calibri" w:hAnsi="Calibri" w:eastAsia="Calibri"/>
          <w:color w:val="202124"/>
        </w:rPr>
        <w:t>Public token-based feedback for selected projects without requiring an account.</w:t>
      </w:r>
    </w:p>
    <w:p>
      <w:pPr>
        <w:spacing w:after="80" w:line="300" w:lineRule="auto"/>
        <w:keepNext/>
        <w:numPr>
          <w:ilvl w:val="0"/>
          <w:numId w:val="28"/>
        </w:numPr>
      </w:pPr>
      <w:r>
        <w:rPr>
          <w:rFonts w:ascii="Calibri" w:hAnsi="Calibri" w:eastAsia="Calibri"/>
          <w:color w:val="202124"/>
        </w:rPr>
        <w:t>One-response, anonymous, or repeat-response policy selected per form.</w:t>
      </w:r>
    </w:p>
    <w:p>
      <w:pPr>
        <w:spacing w:after="80" w:line="300" w:lineRule="auto"/>
        <w:keepNext/>
        <w:numPr>
          <w:ilvl w:val="0"/>
          <w:numId w:val="28"/>
        </w:numPr>
      </w:pPr>
      <w:r>
        <w:rPr>
          <w:rFonts w:ascii="Calibri" w:hAnsi="Calibri" w:eastAsia="Calibri"/>
          <w:color w:val="202124"/>
        </w:rPr>
        <w:t>Quantitative summaries and moderated qualitative comments.</w:t>
      </w:r>
    </w:p>
    <w:p>
      <w:pPr>
        <w:spacing w:after="80" w:line="300" w:lineRule="auto"/>
        <w:keepNext w:val="0"/>
        <w:numPr>
          <w:ilvl w:val="0"/>
          <w:numId w:val="28"/>
        </w:numPr>
      </w:pPr>
      <w:r>
        <w:rPr>
          <w:rFonts w:ascii="Calibri" w:hAnsi="Calibri" w:eastAsia="Calibri"/>
          <w:color w:val="202124"/>
        </w:rPr>
        <w:t>Experience/testimonial consent and publication status.</w:t>
      </w:r>
    </w:p>
    <w:p>
      <w:pPr>
        <w:pStyle w:val="Heading2"/>
      </w:pPr>
      <w:r>
        <w:rPr>
          <w:rFonts w:ascii="Calibri" w:hAnsi="Calibri" w:eastAsia="Calibri"/>
          <w:color w:val="202124"/>
        </w:rPr>
        <w:t>5.10 Budgets and operational requests</w:t>
      </w:r>
    </w:p>
    <w:p>
      <w:pPr>
        <w:spacing w:after="80" w:line="300" w:lineRule="auto"/>
        <w:keepNext/>
        <w:numPr>
          <w:ilvl w:val="0"/>
          <w:numId w:val="29"/>
        </w:numPr>
      </w:pPr>
      <w:r>
        <w:rPr>
          <w:rFonts w:ascii="Calibri" w:hAnsi="Calibri" w:eastAsia="Calibri"/>
          <w:color w:val="202124"/>
        </w:rPr>
        <w:t>Project budget, category lines, estimate, approved amount, commitment, actual amount, official finance reference, owner, and approval.</w:t>
      </w:r>
    </w:p>
    <w:p>
      <w:pPr>
        <w:spacing w:after="80" w:line="300" w:lineRule="auto"/>
        <w:keepNext/>
        <w:numPr>
          <w:ilvl w:val="0"/>
          <w:numId w:val="29"/>
        </w:numPr>
      </w:pPr>
      <w:r>
        <w:rPr>
          <w:rFonts w:ascii="Calibri" w:hAnsi="Calibri" w:eastAsia="Calibri"/>
          <w:color w:val="202124"/>
        </w:rPr>
        <w:t>Advance, remuneration, vendor, vehicle, food, venue, gift, and equipment requests.</w:t>
      </w:r>
    </w:p>
    <w:p>
      <w:pPr>
        <w:spacing w:after="80" w:line="300" w:lineRule="auto"/>
        <w:keepNext w:val="0"/>
        <w:numPr>
          <w:ilvl w:val="0"/>
          <w:numId w:val="29"/>
        </w:numPr>
      </w:pPr>
      <w:r>
        <w:rPr>
          <w:rFonts w:ascii="Calibri" w:hAnsi="Calibri" w:eastAsia="Calibri"/>
          <w:color w:val="202124"/>
        </w:rPr>
        <w:t>No payment execution or accounting-ledger behavior.</w:t>
      </w:r>
    </w:p>
    <w:p>
      <w:pPr>
        <w:pStyle w:val="Heading2"/>
      </w:pPr>
      <w:r>
        <w:rPr>
          <w:rFonts w:ascii="Calibri" w:hAnsi="Calibri" w:eastAsia="Calibri"/>
          <w:color w:val="202124"/>
        </w:rPr>
        <w:t>5.11 Reporting and institutional memory</w:t>
      </w:r>
    </w:p>
    <w:p>
      <w:pPr>
        <w:spacing w:after="80" w:line="300" w:lineRule="auto"/>
        <w:numPr>
          <w:ilvl w:val="0"/>
          <w:numId w:val="30"/>
        </w:numPr>
      </w:pPr>
      <w:r>
        <w:rPr>
          <w:rFonts w:ascii="Calibri" w:hAnsi="Calibri" w:eastAsia="Calibri"/>
          <w:color w:val="202124"/>
        </w:rPr>
        <w:t>Project operational report.</w:t>
      </w:r>
    </w:p>
    <w:p>
      <w:pPr>
        <w:spacing w:after="80" w:line="300" w:lineRule="auto"/>
        <w:numPr>
          <w:ilvl w:val="0"/>
          <w:numId w:val="30"/>
        </w:numPr>
      </w:pPr>
      <w:r>
        <w:rPr>
          <w:rFonts w:ascii="Calibri" w:hAnsi="Calibri" w:eastAsia="Calibri"/>
          <w:color w:val="202124"/>
        </w:rPr>
        <w:t>ICC event narrative report.</w:t>
      </w:r>
    </w:p>
    <w:p>
      <w:pPr>
        <w:spacing w:after="80" w:line="300" w:lineRule="auto"/>
        <w:numPr>
          <w:ilvl w:val="0"/>
          <w:numId w:val="30"/>
        </w:numPr>
      </w:pPr>
      <w:r>
        <w:rPr>
          <w:rFonts w:ascii="Calibri" w:hAnsi="Calibri" w:eastAsia="Calibri"/>
          <w:color w:val="202124"/>
        </w:rPr>
        <w:t>IGP program and checklist-completion report.</w:t>
      </w:r>
    </w:p>
    <w:p>
      <w:pPr>
        <w:spacing w:after="80" w:line="300" w:lineRule="auto"/>
        <w:numPr>
          <w:ilvl w:val="0"/>
          <w:numId w:val="30"/>
        </w:numPr>
      </w:pPr>
      <w:r>
        <w:rPr>
          <w:rFonts w:ascii="Calibri" w:hAnsi="Calibri" w:eastAsia="Calibri"/>
          <w:color w:val="202124"/>
        </w:rPr>
        <w:t>Monthly OIA activity report.</w:t>
      </w:r>
    </w:p>
    <w:p>
      <w:pPr>
        <w:spacing w:after="80" w:line="300" w:lineRule="auto"/>
        <w:numPr>
          <w:ilvl w:val="0"/>
          <w:numId w:val="30"/>
        </w:numPr>
      </w:pPr>
      <w:r>
        <w:rPr>
          <w:rFonts w:ascii="Calibri" w:hAnsi="Calibri" w:eastAsia="Calibri"/>
          <w:color w:val="202124"/>
        </w:rPr>
        <w:t>Academic-year impact report.</w:t>
      </w:r>
    </w:p>
    <w:p>
      <w:pPr>
        <w:spacing w:after="80" w:line="300" w:lineRule="auto"/>
        <w:numPr>
          <w:ilvl w:val="0"/>
          <w:numId w:val="30"/>
        </w:numPr>
      </w:pPr>
      <w:r>
        <w:rPr>
          <w:rFonts w:ascii="Calibri" w:hAnsi="Calibri" w:eastAsia="Calibri"/>
          <w:color w:val="202124"/>
        </w:rPr>
        <w:t>Attendance, contribution, volunteer, buddy, partner, campus, and document-completeness reports.</w:t>
      </w:r>
    </w:p>
    <w:p>
      <w:pPr>
        <w:spacing w:after="80" w:line="300" w:lineRule="auto"/>
        <w:numPr>
          <w:ilvl w:val="0"/>
          <w:numId w:val="30"/>
        </w:numPr>
      </w:pPr>
      <w:r>
        <w:rPr>
          <w:rFonts w:ascii="Calibri" w:hAnsi="Calibri" w:eastAsia="Calibri"/>
          <w:color w:val="202124"/>
        </w:rPr>
        <w:t>Coffee Meet &amp; Greet roster, action list, schedule, document index, reach totals, and narrative must be reproducible from structured data.</w:t>
      </w:r>
    </w:p>
    <w:p>
      <w:pPr>
        <w:spacing w:after="80" w:line="300" w:lineRule="auto"/>
        <w:numPr>
          <w:ilvl w:val="0"/>
          <w:numId w:val="30"/>
        </w:numPr>
      </w:pPr>
      <w:r>
        <w:rPr>
          <w:rFonts w:ascii="Calibri" w:hAnsi="Calibri" w:eastAsia="Calibri"/>
          <w:color w:val="202124"/>
        </w:rPr>
        <w:t>Reports are versioned snapshots with author, filters, generation time, approval status, and source-record references.</w:t>
      </w:r>
    </w:p>
    <w:p>
      <w:pPr>
        <w:spacing w:after="80" w:line="300" w:lineRule="auto"/>
        <w:keepNext w:val="0"/>
        <w:numPr>
          <w:ilvl w:val="0"/>
          <w:numId w:val="30"/>
        </w:numPr>
      </w:pPr>
      <w:r>
        <w:rPr>
          <w:rFonts w:ascii="Calibri" w:hAnsi="Calibri" w:eastAsia="Calibri"/>
          <w:color w:val="202124"/>
        </w:rPr>
        <w:t>Narrative reports require human approval before publication.</w:t>
      </w:r>
    </w:p>
    <w:p>
      <w:pPr>
        <w:pStyle w:val="Heading2"/>
      </w:pPr>
      <w:r>
        <w:rPr>
          <w:rFonts w:ascii="Calibri" w:hAnsi="Calibri" w:eastAsia="Calibri"/>
          <w:color w:val="202124"/>
        </w:rPr>
        <w:t>5.12 Administration and notifications</w:t>
      </w:r>
    </w:p>
    <w:p>
      <w:pPr>
        <w:spacing w:after="80" w:line="300" w:lineRule="auto"/>
        <w:keepNext/>
        <w:numPr>
          <w:ilvl w:val="0"/>
          <w:numId w:val="31"/>
        </w:numPr>
      </w:pPr>
      <w:r>
        <w:rPr>
          <w:rFonts w:ascii="Calibri" w:hAnsi="Calibri" w:eastAsia="Calibri"/>
          <w:color w:val="202124"/>
        </w:rPr>
        <w:t>Data dictionaries, controlled categories, template versioning, archival rules, audit search, import monitoring, and account administration.</w:t>
      </w:r>
    </w:p>
    <w:p>
      <w:pPr>
        <w:spacing w:after="80" w:line="300" w:lineRule="auto"/>
        <w:keepNext/>
        <w:numPr>
          <w:ilvl w:val="0"/>
          <w:numId w:val="31"/>
        </w:numPr>
      </w:pPr>
      <w:r>
        <w:rPr>
          <w:rFonts w:ascii="Calibri" w:hAnsi="Calibri" w:eastAsia="Calibri"/>
          <w:color w:val="202124"/>
        </w:rPr>
        <w:t>In-app and email notifications for assignments, approaching deadlines, rejections, approvals, missing documents, and closure blockers.</w:t>
      </w:r>
    </w:p>
    <w:p>
      <w:pPr>
        <w:spacing w:after="80" w:line="300" w:lineRule="auto"/>
        <w:keepNext/>
        <w:numPr>
          <w:ilvl w:val="0"/>
          <w:numId w:val="31"/>
        </w:numPr>
      </w:pPr>
      <w:r>
        <w:rPr>
          <w:rFonts w:ascii="Calibri" w:hAnsi="Calibri" w:eastAsia="Calibri"/>
          <w:color w:val="202124"/>
        </w:rPr>
        <w:t>User-configurable noncritical notification preferences.</w:t>
      </w:r>
    </w:p>
    <w:p>
      <w:pPr>
        <w:spacing w:after="80" w:line="300" w:lineRule="auto"/>
        <w:keepNext w:val="0"/>
        <w:numPr>
          <w:ilvl w:val="0"/>
          <w:numId w:val="31"/>
        </w:numPr>
      </w:pPr>
      <w:r>
        <w:rPr>
          <w:rFonts w:ascii="Calibri" w:hAnsi="Calibri" w:eastAsia="Calibri"/>
          <w:color w:val="202124"/>
        </w:rPr>
        <w:t>Critical security and assignment notifications cannot be disabled.</w:t>
      </w:r>
    </w:p>
    <w:p>
      <w:pPr>
        <w:pStyle w:val="Heading1"/>
      </w:pPr>
      <w:r>
        <w:rPr>
          <w:rFonts w:ascii="Calibri" w:hAnsi="Calibri" w:eastAsia="Calibri"/>
          <w:color w:val="202124"/>
        </w:rPr>
        <w:t>6. Data dictionary and core entities</w:t>
      </w:r>
    </w:p>
    <w:tbl>
      <w:tblPr>
        <w:tblW w:type="dxa" w:w="9360"/>
        <w:jc w:val="left"/>
        <w:tblLayout w:type="fixed"/>
        <w:tblLook w:firstColumn="1" w:firstRow="1" w:lastColumn="0" w:lastRow="0" w:noHBand="0" w:noVBand="1" w:val="04A0"/>
        <w:tblInd w:w="120" w:type="dxa"/>
        <w:tblBorders>
          <w:top w:val="single" w:sz="4" w:space="0" w:color="B9C4D0"/>
          <w:left w:val="single" w:sz="4" w:space="0" w:color="B9C4D0"/>
          <w:bottom w:val="single" w:sz="4" w:space="0" w:color="B9C4D0"/>
          <w:right w:val="single" w:sz="4" w:space="0" w:color="B9C4D0"/>
          <w:insideH w:val="single" w:sz="4" w:space="0" w:color="B9C4D0"/>
          <w:insideV w:val="single" w:sz="4" w:space="0" w:color="B9C4D0"/>
        </w:tblBorders>
      </w:tblPr>
      <w:tblGrid>
        <w:gridCol w:w="1100"/>
        <w:gridCol w:w="2000"/>
        <w:gridCol w:w="6260"/>
      </w:tblGrid>
      <w:tr>
        <w:trPr>
          <w:tblHeader w:val="true"/>
          <w:cantSplit/>
        </w:trPr>
        <w:tc>
          <w:tcPr>
            <w:tcW w:type="dxa" w:w="110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Domain</w:t>
            </w:r>
          </w:p>
        </w:tc>
        <w:tc>
          <w:tcPr>
            <w:tcW w:type="dxa" w:w="200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Entity</w:t>
            </w:r>
          </w:p>
        </w:tc>
        <w:tc>
          <w:tcPr>
            <w:tcW w:type="dxa" w:w="626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Purpose and key constraints</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eastAsia="Calibri"/>
                <w:color w:val="202124"/>
                <w:sz w:val="18"/>
              </w:rPr>
              <w:t>Identity</w:t>
            </w:r>
          </w:p>
        </w:tc>
        <w:tc>
          <w:tcPr>
            <w:tcW w:type="dxa" w:w="2000"/>
            <w:tcMar>
              <w:top w:w="80" w:type="dxa"/>
              <w:start w:w="120" w:type="dxa"/>
              <w:bottom w:w="80" w:type="dxa"/>
              <w:end w:w="120" w:type="dxa"/>
            </w:tcMar>
            <w:vAlign w:val="center"/>
          </w:tcPr>
          <w:p>
            <w:pPr>
              <w:spacing w:after="0" w:line="252" w:lineRule="auto"/>
            </w:pPr>
            <w:r>
              <w:rPr>
                <w:rFonts w:ascii="Calibri" w:hAnsi="Calibri" w:eastAsia="Calibri"/>
                <w:color w:val="202124"/>
                <w:sz w:val="18"/>
              </w:rPr>
              <w:t>Person</w:t>
            </w:r>
          </w:p>
        </w:tc>
        <w:tc>
          <w:tcPr>
            <w:tcW w:type="dxa" w:w="6260"/>
            <w:tcMar>
              <w:top w:w="80" w:type="dxa"/>
              <w:start w:w="120" w:type="dxa"/>
              <w:bottom w:w="80" w:type="dxa"/>
              <w:end w:w="120" w:type="dxa"/>
            </w:tcMar>
            <w:vAlign w:val="center"/>
          </w:tcPr>
          <w:p>
            <w:pPr>
              <w:spacing w:after="0" w:line="252" w:lineRule="auto"/>
            </w:pPr>
            <w:r>
              <w:rPr>
                <w:rFonts w:ascii="Calibri" w:hAnsi="Calibri" w:eastAsia="Calibri"/>
                <w:color w:val="202124"/>
                <w:sz w:val="18"/>
              </w:rPr>
              <w:t>Operational identity independent of login; optional unique registration number; privacy classification and consent.</w:t>
            </w:r>
          </w:p>
        </w:tc>
      </w:tr>
      <w:tr>
        <w:trPr>
          <w:cantSplit/>
        </w:trPr>
        <w:tc>
          <w:tcPr>
            <w:tcW w:type="dxa" w:w="11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Identity</w:t>
            </w:r>
          </w:p>
        </w:tc>
        <w:tc>
          <w:tcPr>
            <w:tcW w:type="dxa" w:w="20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UserAccount</w:t>
            </w:r>
          </w:p>
        </w:tc>
        <w:tc>
          <w:tcPr>
            <w:tcW w:type="dxa" w:w="62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Authentication state linked optionally to one Person; provider-independent operational identity.</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eastAsia="Calibri"/>
                <w:color w:val="202124"/>
                <w:sz w:val="18"/>
              </w:rPr>
              <w:t>Organization</w:t>
            </w:r>
          </w:p>
        </w:tc>
        <w:tc>
          <w:tcPr>
            <w:tcW w:type="dxa" w:w="2000"/>
            <w:tcMar>
              <w:top w:w="80" w:type="dxa"/>
              <w:start w:w="120" w:type="dxa"/>
              <w:bottom w:w="80" w:type="dxa"/>
              <w:end w:w="120" w:type="dxa"/>
            </w:tcMar>
            <w:vAlign w:val="center"/>
          </w:tcPr>
          <w:p>
            <w:pPr>
              <w:spacing w:after="0" w:line="252" w:lineRule="auto"/>
            </w:pPr>
            <w:r>
              <w:rPr>
                <w:rFonts w:ascii="Calibri" w:hAnsi="Calibri" w:eastAsia="Calibri"/>
                <w:color w:val="202124"/>
                <w:sz w:val="18"/>
              </w:rPr>
              <w:t>Campus / OperatingUnit / Wing</w:t>
            </w:r>
          </w:p>
        </w:tc>
        <w:tc>
          <w:tcPr>
            <w:tcW w:type="dxa" w:w="6260"/>
            <w:tcMar>
              <w:top w:w="80" w:type="dxa"/>
              <w:start w:w="120" w:type="dxa"/>
              <w:bottom w:w="80" w:type="dxa"/>
              <w:end w:w="120" w:type="dxa"/>
            </w:tcMar>
            <w:vAlign w:val="center"/>
          </w:tcPr>
          <w:p>
            <w:pPr>
              <w:spacing w:after="0" w:line="252" w:lineRule="auto"/>
            </w:pPr>
            <w:r>
              <w:rPr>
                <w:rFonts w:ascii="Calibri" w:hAnsi="Calibri" w:eastAsia="Calibri"/>
                <w:color w:val="202124"/>
                <w:sz w:val="18"/>
              </w:rPr>
              <w:t>Explicit organizational boundaries used by authorization and reporting.</w:t>
            </w:r>
          </w:p>
        </w:tc>
      </w:tr>
      <w:tr>
        <w:trPr>
          <w:cantSplit/>
        </w:trPr>
        <w:tc>
          <w:tcPr>
            <w:tcW w:type="dxa" w:w="11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Governance</w:t>
            </w:r>
          </w:p>
        </w:tc>
        <w:tc>
          <w:tcPr>
            <w:tcW w:type="dxa" w:w="20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AcademicYear / Position / RoleAssignment</w:t>
            </w:r>
          </w:p>
        </w:tc>
        <w:tc>
          <w:tcPr>
            <w:tcW w:type="dxa" w:w="62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Effective-dated annual leadership, membership, acting roles, and delegated authority.</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eastAsia="Calibri"/>
                <w:color w:val="202124"/>
                <w:sz w:val="18"/>
              </w:rPr>
              <w:t>Partnership</w:t>
            </w:r>
          </w:p>
        </w:tc>
        <w:tc>
          <w:tcPr>
            <w:tcW w:type="dxa" w:w="2000"/>
            <w:tcMar>
              <w:top w:w="80" w:type="dxa"/>
              <w:start w:w="120" w:type="dxa"/>
              <w:bottom w:w="80" w:type="dxa"/>
              <w:end w:w="120" w:type="dxa"/>
            </w:tcMar>
            <w:vAlign w:val="center"/>
          </w:tcPr>
          <w:p>
            <w:pPr>
              <w:spacing w:after="0" w:line="252" w:lineRule="auto"/>
            </w:pPr>
            <w:r>
              <w:rPr>
                <w:rFonts w:ascii="Calibri" w:hAnsi="Calibri" w:eastAsia="Calibri"/>
                <w:color w:val="202124"/>
                <w:sz w:val="18"/>
              </w:rPr>
              <w:t>PartnerInstitution / Cohort</w:t>
            </w:r>
          </w:p>
        </w:tc>
        <w:tc>
          <w:tcPr>
            <w:tcW w:type="dxa" w:w="6260"/>
            <w:tcMar>
              <w:top w:w="80" w:type="dxa"/>
              <w:start w:w="120" w:type="dxa"/>
              <w:bottom w:w="80" w:type="dxa"/>
              <w:end w:w="120" w:type="dxa"/>
            </w:tcMar>
            <w:vAlign w:val="center"/>
          </w:tcPr>
          <w:p>
            <w:pPr>
              <w:spacing w:after="0" w:line="252" w:lineRule="auto"/>
            </w:pPr>
            <w:r>
              <w:rPr>
                <w:rFonts w:ascii="Calibri" w:hAnsi="Calibri" w:eastAsia="Calibri"/>
                <w:color w:val="202124"/>
                <w:sz w:val="18"/>
              </w:rPr>
              <w:t>Foreign-university relationships and program participant groups.</w:t>
            </w:r>
          </w:p>
        </w:tc>
      </w:tr>
      <w:tr>
        <w:trPr>
          <w:cantSplit/>
        </w:trPr>
        <w:tc>
          <w:tcPr>
            <w:tcW w:type="dxa" w:w="11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Delivery</w:t>
            </w:r>
          </w:p>
        </w:tc>
        <w:tc>
          <w:tcPr>
            <w:tcW w:type="dxa" w:w="20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Project</w:t>
            </w:r>
          </w:p>
        </w:tc>
        <w:tc>
          <w:tcPr>
            <w:tcW w:type="dxa" w:w="62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Authoritative event/program record with immutable code, lifecycle, ownership, reach, risk, budget, and closure.</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eastAsia="Calibri"/>
                <w:color w:val="202124"/>
                <w:sz w:val="18"/>
              </w:rPr>
              <w:t>Delivery</w:t>
            </w:r>
          </w:p>
        </w:tc>
        <w:tc>
          <w:tcPr>
            <w:tcW w:type="dxa" w:w="2000"/>
            <w:tcMar>
              <w:top w:w="80" w:type="dxa"/>
              <w:start w:w="120" w:type="dxa"/>
              <w:bottom w:w="80" w:type="dxa"/>
              <w:end w:w="120" w:type="dxa"/>
            </w:tcMar>
            <w:vAlign w:val="center"/>
          </w:tcPr>
          <w:p>
            <w:pPr>
              <w:spacing w:after="0" w:line="252" w:lineRule="auto"/>
            </w:pPr>
            <w:r>
              <w:rPr>
                <w:rFonts w:ascii="Calibri" w:hAnsi="Calibri" w:eastAsia="Calibri"/>
                <w:color w:val="202124"/>
                <w:sz w:val="18"/>
              </w:rPr>
              <w:t>Component / Session</w:t>
            </w:r>
          </w:p>
        </w:tc>
        <w:tc>
          <w:tcPr>
            <w:tcW w:type="dxa" w:w="6260"/>
            <w:tcMar>
              <w:top w:w="80" w:type="dxa"/>
              <w:start w:w="120" w:type="dxa"/>
              <w:bottom w:w="80" w:type="dxa"/>
              <w:end w:w="120" w:type="dxa"/>
            </w:tcMar>
            <w:vAlign w:val="center"/>
          </w:tcPr>
          <w:p>
            <w:pPr>
              <w:spacing w:after="0" w:line="252" w:lineRule="auto"/>
            </w:pPr>
            <w:r>
              <w:rPr>
                <w:rFonts w:ascii="Calibri" w:hAnsi="Calibri" w:eastAsia="Calibri"/>
                <w:color w:val="202124"/>
                <w:sz w:val="18"/>
              </w:rPr>
              <w:t>Project structure, dated programme items, locations, capacity, ownership, and schedule conflicts.</w:t>
            </w:r>
          </w:p>
        </w:tc>
      </w:tr>
      <w:tr>
        <w:trPr>
          <w:cantSplit/>
        </w:trPr>
        <w:tc>
          <w:tcPr>
            <w:tcW w:type="dxa" w:w="11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Execution</w:t>
            </w:r>
          </w:p>
        </w:tc>
        <w:tc>
          <w:tcPr>
            <w:tcW w:type="dxa" w:w="20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Task</w:t>
            </w:r>
          </w:p>
        </w:tc>
        <w:tc>
          <w:tcPr>
            <w:tcW w:type="dxa" w:w="62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Assignable work with due date, dependencies, evidence, approver, and audited status.</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eastAsia="Calibri"/>
                <w:color w:val="202124"/>
                <w:sz w:val="18"/>
              </w:rPr>
              <w:t>Execution</w:t>
            </w:r>
          </w:p>
        </w:tc>
        <w:tc>
          <w:tcPr>
            <w:tcW w:type="dxa" w:w="2000"/>
            <w:tcMar>
              <w:top w:w="80" w:type="dxa"/>
              <w:start w:w="120" w:type="dxa"/>
              <w:bottom w:w="80" w:type="dxa"/>
              <w:end w:w="120" w:type="dxa"/>
            </w:tcMar>
            <w:vAlign w:val="center"/>
          </w:tcPr>
          <w:p>
            <w:pPr>
              <w:spacing w:after="0" w:line="252" w:lineRule="auto"/>
            </w:pPr>
            <w:r>
              <w:rPr>
                <w:rFonts w:ascii="Calibri" w:hAnsi="Calibri" w:eastAsia="Calibri"/>
                <w:color w:val="202124"/>
                <w:sz w:val="18"/>
              </w:rPr>
              <w:t>ChecklistTemplate / ChecklistInstance / ChecklistItem</w:t>
            </w:r>
          </w:p>
        </w:tc>
        <w:tc>
          <w:tcPr>
            <w:tcW w:type="dxa" w:w="6260"/>
            <w:tcMar>
              <w:top w:w="80" w:type="dxa"/>
              <w:start w:w="120" w:type="dxa"/>
              <w:bottom w:w="80" w:type="dxa"/>
              <w:end w:w="120" w:type="dxa"/>
            </w:tcMar>
            <w:vAlign w:val="center"/>
          </w:tcPr>
          <w:p>
            <w:pPr>
              <w:spacing w:after="0" w:line="252" w:lineRule="auto"/>
            </w:pPr>
            <w:r>
              <w:rPr>
                <w:rFonts w:ascii="Calibri" w:hAnsi="Calibri" w:eastAsia="Calibri"/>
                <w:color w:val="202124"/>
                <w:sz w:val="18"/>
              </w:rPr>
              <w:t>Versioned reusable requirements and their project-specific completion/waiver history.</w:t>
            </w:r>
          </w:p>
        </w:tc>
      </w:tr>
      <w:tr>
        <w:trPr>
          <w:cantSplit/>
        </w:trPr>
        <w:tc>
          <w:tcPr>
            <w:tcW w:type="dxa" w:w="11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Workforce</w:t>
            </w:r>
          </w:p>
        </w:tc>
        <w:tc>
          <w:tcPr>
            <w:tcW w:type="dxa" w:w="20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TeamAssignment / Application</w:t>
            </w:r>
          </w:p>
        </w:tc>
        <w:tc>
          <w:tcPr>
            <w:tcW w:type="dxa" w:w="62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Annual ICC membership or program-specific IGP recruitment and allocation.</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eastAsia="Calibri"/>
                <w:color w:val="202124"/>
                <w:sz w:val="18"/>
              </w:rPr>
              <w:t>Participation</w:t>
            </w:r>
          </w:p>
        </w:tc>
        <w:tc>
          <w:tcPr>
            <w:tcW w:type="dxa" w:w="2000"/>
            <w:tcMar>
              <w:top w:w="80" w:type="dxa"/>
              <w:start w:w="120" w:type="dxa"/>
              <w:bottom w:w="80" w:type="dxa"/>
              <w:end w:w="120" w:type="dxa"/>
            </w:tcMar>
            <w:vAlign w:val="center"/>
          </w:tcPr>
          <w:p>
            <w:pPr>
              <w:spacing w:after="0" w:line="252" w:lineRule="auto"/>
            </w:pPr>
            <w:r>
              <w:rPr>
                <w:rFonts w:ascii="Calibri" w:hAnsi="Calibri" w:eastAsia="Calibri"/>
                <w:color w:val="202124"/>
                <w:sz w:val="18"/>
              </w:rPr>
              <w:t>Attendance</w:t>
            </w:r>
          </w:p>
        </w:tc>
        <w:tc>
          <w:tcPr>
            <w:tcW w:type="dxa" w:w="6260"/>
            <w:tcMar>
              <w:top w:w="80" w:type="dxa"/>
              <w:start w:w="120" w:type="dxa"/>
              <w:bottom w:w="80" w:type="dxa"/>
              <w:end w:w="120" w:type="dxa"/>
            </w:tcMar>
            <w:vAlign w:val="center"/>
          </w:tcPr>
          <w:p>
            <w:pPr>
              <w:spacing w:after="0" w:line="252" w:lineRule="auto"/>
            </w:pPr>
            <w:r>
              <w:rPr>
                <w:rFonts w:ascii="Calibri" w:hAnsi="Calibri" w:eastAsia="Calibri"/>
                <w:color w:val="202124"/>
                <w:sz w:val="18"/>
              </w:rPr>
              <w:t>Unique person/session record or aggregate audience count; verification history.</w:t>
            </w:r>
          </w:p>
        </w:tc>
      </w:tr>
      <w:tr>
        <w:trPr>
          <w:cantSplit/>
        </w:trPr>
        <w:tc>
          <w:tcPr>
            <w:tcW w:type="dxa" w:w="11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Participation</w:t>
            </w:r>
          </w:p>
        </w:tc>
        <w:tc>
          <w:tcPr>
            <w:tcW w:type="dxa" w:w="20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Contribution</w:t>
            </w:r>
          </w:p>
        </w:tc>
        <w:tc>
          <w:tcPr>
            <w:tcW w:type="dxa" w:w="62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Hours/evidence independent of attendance, with approval status.</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eastAsia="Calibri"/>
                <w:color w:val="202124"/>
                <w:sz w:val="18"/>
              </w:rPr>
              <w:t>IGP</w:t>
            </w:r>
          </w:p>
        </w:tc>
        <w:tc>
          <w:tcPr>
            <w:tcW w:type="dxa" w:w="2000"/>
            <w:tcMar>
              <w:top w:w="80" w:type="dxa"/>
              <w:start w:w="120" w:type="dxa"/>
              <w:bottom w:w="80" w:type="dxa"/>
              <w:end w:w="120" w:type="dxa"/>
            </w:tcMar>
            <w:vAlign w:val="center"/>
          </w:tcPr>
          <w:p>
            <w:pPr>
              <w:spacing w:after="0" w:line="252" w:lineRule="auto"/>
            </w:pPr>
            <w:r>
              <w:rPr>
                <w:rFonts w:ascii="Calibri" w:hAnsi="Calibri" w:eastAsia="Calibri"/>
                <w:color w:val="202124"/>
                <w:sz w:val="18"/>
              </w:rPr>
              <w:t>BuddyAssignment / BuddyLog</w:t>
            </w:r>
          </w:p>
        </w:tc>
        <w:tc>
          <w:tcPr>
            <w:tcW w:type="dxa" w:w="6260"/>
            <w:tcMar>
              <w:top w:w="80" w:type="dxa"/>
              <w:start w:w="120" w:type="dxa"/>
              <w:bottom w:w="80" w:type="dxa"/>
              <w:end w:w="120" w:type="dxa"/>
            </w:tcMar>
            <w:vAlign w:val="center"/>
          </w:tcPr>
          <w:p>
            <w:pPr>
              <w:spacing w:after="0" w:line="252" w:lineRule="auto"/>
            </w:pPr>
            <w:r>
              <w:rPr>
                <w:rFonts w:ascii="Calibri" w:hAnsi="Calibri" w:eastAsia="Calibri"/>
                <w:color w:val="202124"/>
                <w:sz w:val="18"/>
              </w:rPr>
              <w:t>Assignment periods, assignment type, overlap rules, interactions, concerns, and escalation.</w:t>
            </w:r>
          </w:p>
        </w:tc>
      </w:tr>
      <w:tr>
        <w:trPr>
          <w:cantSplit/>
        </w:trPr>
        <w:tc>
          <w:tcPr>
            <w:tcW w:type="dxa" w:w="11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Documents</w:t>
            </w:r>
          </w:p>
        </w:tc>
        <w:tc>
          <w:tcPr>
            <w:tcW w:type="dxa" w:w="20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DocumentRequirement / DocumentRecord</w:t>
            </w:r>
          </w:p>
        </w:tc>
        <w:tc>
          <w:tcPr>
            <w:tcW w:type="dxa" w:w="62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Required evidence metadata, restricted Drive reference, classification, status, version, and approval.</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eastAsia="Calibri"/>
                <w:color w:val="202124"/>
                <w:sz w:val="18"/>
              </w:rPr>
              <w:t>Experience</w:t>
            </w:r>
          </w:p>
        </w:tc>
        <w:tc>
          <w:tcPr>
            <w:tcW w:type="dxa" w:w="2000"/>
            <w:tcMar>
              <w:top w:w="80" w:type="dxa"/>
              <w:start w:w="120" w:type="dxa"/>
              <w:bottom w:w="80" w:type="dxa"/>
              <w:end w:w="120" w:type="dxa"/>
            </w:tcMar>
            <w:vAlign w:val="center"/>
          </w:tcPr>
          <w:p>
            <w:pPr>
              <w:spacing w:after="0" w:line="252" w:lineRule="auto"/>
            </w:pPr>
            <w:r>
              <w:rPr>
                <w:rFonts w:ascii="Calibri" w:hAnsi="Calibri" w:eastAsia="Calibri"/>
                <w:color w:val="202124"/>
                <w:sz w:val="18"/>
              </w:rPr>
              <w:t>FeedbackForm / FeedbackQuestion / FeedbackResponse</w:t>
            </w:r>
          </w:p>
        </w:tc>
        <w:tc>
          <w:tcPr>
            <w:tcW w:type="dxa" w:w="6260"/>
            <w:tcMar>
              <w:top w:w="80" w:type="dxa"/>
              <w:start w:w="120" w:type="dxa"/>
              <w:bottom w:w="80" w:type="dxa"/>
              <w:end w:w="120" w:type="dxa"/>
            </w:tcMar>
            <w:vAlign w:val="center"/>
          </w:tcPr>
          <w:p>
            <w:pPr>
              <w:spacing w:after="0" w:line="252" w:lineRule="auto"/>
            </w:pPr>
            <w:r>
              <w:rPr>
                <w:rFonts w:ascii="Calibri" w:hAnsi="Calibri" w:eastAsia="Calibri"/>
                <w:color w:val="202124"/>
                <w:sz w:val="18"/>
              </w:rPr>
              <w:t>Token policy, anonymity policy, quantitative answers, moderated comments, and consent.</w:t>
            </w:r>
          </w:p>
        </w:tc>
      </w:tr>
      <w:tr>
        <w:trPr>
          <w:cantSplit/>
        </w:trPr>
        <w:tc>
          <w:tcPr>
            <w:tcW w:type="dxa" w:w="11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Finance</w:t>
            </w:r>
          </w:p>
        </w:tc>
        <w:tc>
          <w:tcPr>
            <w:tcW w:type="dxa" w:w="20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BudgetLine / OperationalRequest</w:t>
            </w:r>
          </w:p>
        </w:tc>
        <w:tc>
          <w:tcPr>
            <w:tcW w:type="dxa" w:w="62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Operational estimate, approval, commitment, actual amount, and official reference without payment execution.</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eastAsia="Calibri"/>
                <w:color w:val="202124"/>
                <w:sz w:val="18"/>
              </w:rPr>
              <w:t>Reporting</w:t>
            </w:r>
          </w:p>
        </w:tc>
        <w:tc>
          <w:tcPr>
            <w:tcW w:type="dxa" w:w="2000"/>
            <w:tcMar>
              <w:top w:w="80" w:type="dxa"/>
              <w:start w:w="120" w:type="dxa"/>
              <w:bottom w:w="80" w:type="dxa"/>
              <w:end w:w="120" w:type="dxa"/>
            </w:tcMar>
            <w:vAlign w:val="center"/>
          </w:tcPr>
          <w:p>
            <w:pPr>
              <w:spacing w:after="0" w:line="252" w:lineRule="auto"/>
            </w:pPr>
            <w:r>
              <w:rPr>
                <w:rFonts w:ascii="Calibri" w:hAnsi="Calibri" w:eastAsia="Calibri"/>
                <w:color w:val="202124"/>
                <w:sz w:val="18"/>
              </w:rPr>
              <w:t>ReportSnapshot</w:t>
            </w:r>
          </w:p>
        </w:tc>
        <w:tc>
          <w:tcPr>
            <w:tcW w:type="dxa" w:w="6260"/>
            <w:tcMar>
              <w:top w:w="80" w:type="dxa"/>
              <w:start w:w="120" w:type="dxa"/>
              <w:bottom w:w="80" w:type="dxa"/>
              <w:end w:w="120" w:type="dxa"/>
            </w:tcMar>
            <w:vAlign w:val="center"/>
          </w:tcPr>
          <w:p>
            <w:pPr>
              <w:spacing w:after="0" w:line="252" w:lineRule="auto"/>
            </w:pPr>
            <w:r>
              <w:rPr>
                <w:rFonts w:ascii="Calibri" w:hAnsi="Calibri" w:eastAsia="Calibri"/>
                <w:color w:val="202124"/>
                <w:sz w:val="18"/>
              </w:rPr>
              <w:t>Versioned generated report, filters, source references, approval, and publication state.</w:t>
            </w:r>
          </w:p>
        </w:tc>
      </w:tr>
      <w:tr>
        <w:trPr>
          <w:cantSplit/>
        </w:trPr>
        <w:tc>
          <w:tcPr>
            <w:tcW w:type="dxa" w:w="11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Imports</w:t>
            </w:r>
          </w:p>
        </w:tc>
        <w:tc>
          <w:tcPr>
            <w:tcW w:type="dxa" w:w="20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ImportBatch / ImportRow</w:t>
            </w:r>
          </w:p>
        </w:tc>
        <w:tc>
          <w:tcPr>
            <w:tcW w:type="dxa" w:w="62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Source provenance, staged parse, validation result, explicit commit, and reconciliation.</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eastAsia="Calibri"/>
                <w:color w:val="202124"/>
                <w:sz w:val="18"/>
              </w:rPr>
              <w:t>Platform</w:t>
            </w:r>
          </w:p>
        </w:tc>
        <w:tc>
          <w:tcPr>
            <w:tcW w:type="dxa" w:w="2000"/>
            <w:tcMar>
              <w:top w:w="80" w:type="dxa"/>
              <w:start w:w="120" w:type="dxa"/>
              <w:bottom w:w="80" w:type="dxa"/>
              <w:end w:w="120" w:type="dxa"/>
            </w:tcMar>
            <w:vAlign w:val="center"/>
          </w:tcPr>
          <w:p>
            <w:pPr>
              <w:spacing w:after="0" w:line="252" w:lineRule="auto"/>
            </w:pPr>
            <w:r>
              <w:rPr>
                <w:rFonts w:ascii="Calibri" w:hAnsi="Calibri" w:eastAsia="Calibri"/>
                <w:color w:val="202124"/>
                <w:sz w:val="18"/>
              </w:rPr>
              <w:t>AuditEvent / Notification</w:t>
            </w:r>
          </w:p>
        </w:tc>
        <w:tc>
          <w:tcPr>
            <w:tcW w:type="dxa" w:w="6260"/>
            <w:tcMar>
              <w:top w:w="80" w:type="dxa"/>
              <w:start w:w="120" w:type="dxa"/>
              <w:bottom w:w="80" w:type="dxa"/>
              <w:end w:w="120" w:type="dxa"/>
            </w:tcMar>
            <w:vAlign w:val="center"/>
          </w:tcPr>
          <w:p>
            <w:pPr>
              <w:spacing w:after="0" w:line="252" w:lineRule="auto"/>
            </w:pPr>
            <w:r>
              <w:rPr>
                <w:rFonts w:ascii="Calibri" w:hAnsi="Calibri" w:eastAsia="Calibri"/>
                <w:color w:val="202124"/>
                <w:sz w:val="18"/>
              </w:rPr>
              <w:t>Append-only change and security history; user-visible work and deadline signals.</w:t>
            </w:r>
          </w:p>
        </w:tc>
      </w:tr>
    </w:tbl>
    <w:p>
      <w:pPr>
        <w:spacing w:after="20"/>
      </w:pPr>
    </w:p>
    <w:p>
      <w:pPr>
        <w:pStyle w:val="Heading2"/>
      </w:pPr>
      <w:r>
        <w:rPr>
          <w:rFonts w:ascii="Calibri" w:hAnsi="Calibri" w:eastAsia="Calibri"/>
          <w:color w:val="202124"/>
        </w:rPr>
        <w:t>6.1 Shared data rules</w:t>
      </w:r>
    </w:p>
    <w:p>
      <w:pPr>
        <w:spacing w:after="80" w:line="300" w:lineRule="auto"/>
        <w:keepNext/>
        <w:numPr>
          <w:ilvl w:val="0"/>
          <w:numId w:val="32"/>
        </w:numPr>
      </w:pPr>
      <w:r>
        <w:rPr>
          <w:rFonts w:ascii="Calibri" w:hAnsi="Calibri" w:eastAsia="Calibri"/>
          <w:color w:val="202124"/>
        </w:rPr>
        <w:t xml:space="preserve">Use UUID primary keys and immutable human-readable codes such as </w:t>
      </w:r>
      <w:r>
        <w:rPr>
          <w:rFonts w:ascii="Courier New" w:hAnsi="Courier New" w:eastAsia="Courier New"/>
          <w:color w:val="1F4D78"/>
          <w:sz w:val="21"/>
        </w:rPr>
        <w:t>ICC-2026-CEN-001</w:t>
      </w:r>
      <w:r>
        <w:rPr>
          <w:rFonts w:ascii="Calibri" w:hAnsi="Calibri" w:eastAsia="Calibri"/>
          <w:color w:val="202124"/>
        </w:rPr>
        <w:t>.</w:t>
      </w:r>
    </w:p>
    <w:p>
      <w:pPr>
        <w:spacing w:after="80" w:line="300" w:lineRule="auto"/>
        <w:keepNext/>
        <w:numPr>
          <w:ilvl w:val="0"/>
          <w:numId w:val="32"/>
        </w:numPr>
      </w:pPr>
      <w:r>
        <w:rPr>
          <w:rFonts w:ascii="Calibri" w:hAnsi="Calibri" w:eastAsia="Calibri"/>
          <w:color w:val="202124"/>
        </w:rPr>
        <w:t>Store timestamps in UTC and display them in Asia/Kolkata.</w:t>
      </w:r>
    </w:p>
    <w:p>
      <w:pPr>
        <w:spacing w:after="80" w:line="300" w:lineRule="auto"/>
        <w:keepNext/>
        <w:numPr>
          <w:ilvl w:val="0"/>
          <w:numId w:val="32"/>
        </w:numPr>
      </w:pPr>
      <w:r>
        <w:rPr>
          <w:rFonts w:ascii="Calibri" w:hAnsi="Calibri" w:eastAsia="Calibri"/>
          <w:color w:val="202124"/>
        </w:rPr>
        <w:t>Use soft archival for operational records; destructive deletion is restricted to erroneous unreferenced drafts.</w:t>
      </w:r>
    </w:p>
    <w:p>
      <w:pPr>
        <w:spacing w:after="80" w:line="300" w:lineRule="auto"/>
        <w:keepNext/>
        <w:numPr>
          <w:ilvl w:val="0"/>
          <w:numId w:val="32"/>
        </w:numPr>
      </w:pPr>
      <w:r>
        <w:rPr>
          <w:rFonts w:ascii="Calibri" w:hAnsi="Calibri" w:eastAsia="Calibri"/>
          <w:color w:val="202124"/>
        </w:rPr>
        <w:t>Enforce database constraints for uniqueness, status values, ratings, nonnegative hours/amounts, date order, and scoped assignments.</w:t>
      </w:r>
    </w:p>
    <w:p>
      <w:pPr>
        <w:spacing w:after="80" w:line="300" w:lineRule="auto"/>
        <w:keepNext/>
        <w:numPr>
          <w:ilvl w:val="0"/>
          <w:numId w:val="32"/>
        </w:numPr>
      </w:pPr>
      <w:r>
        <w:rPr>
          <w:rFonts w:ascii="Calibri" w:hAnsi="Calibri" w:eastAsia="Calibri"/>
          <w:color w:val="202124"/>
        </w:rPr>
        <w:t>Keep audit events append-only with actor, action, entity, before/after summary, timestamp, request ID, and IP metadata.</w:t>
      </w:r>
    </w:p>
    <w:p>
      <w:pPr>
        <w:spacing w:after="80" w:line="300" w:lineRule="auto"/>
        <w:keepNext/>
        <w:numPr>
          <w:ilvl w:val="0"/>
          <w:numId w:val="32"/>
        </w:numPr>
      </w:pPr>
      <w:r>
        <w:rPr>
          <w:rFonts w:ascii="Calibri" w:hAnsi="Calibri" w:eastAsia="Calibri"/>
          <w:color w:val="202124"/>
        </w:rPr>
        <w:t>Encrypt transport with TLS; rely on managed encryption at rest and avoid storing prohibited sensitive content.</w:t>
      </w:r>
    </w:p>
    <w:p>
      <w:pPr>
        <w:spacing w:after="80" w:line="300" w:lineRule="auto"/>
        <w:keepNext w:val="0"/>
        <w:numPr>
          <w:ilvl w:val="0"/>
          <w:numId w:val="32"/>
        </w:numPr>
      </w:pPr>
      <w:r>
        <w:rPr>
          <w:rFonts w:ascii="Calibri" w:hAnsi="Calibri" w:eastAsia="Calibri"/>
          <w:color w:val="202124"/>
        </w:rPr>
        <w:t>Retention: operational records seven years, audit/security records seven years, rejected applications one year, password-reset data minutes/hours, and sensitive links only as long as operationally required.</w:t>
      </w:r>
    </w:p>
    <w:p>
      <w:pPr>
        <w:pStyle w:val="Heading1"/>
      </w:pPr>
      <w:r>
        <w:rPr>
          <w:rFonts w:ascii="Calibri" w:hAnsi="Calibri" w:eastAsia="Calibri"/>
          <w:color w:val="202124"/>
        </w:rPr>
        <w:t>7. Technical architecture</w:t>
      </w:r>
    </w:p>
    <w:p>
      <w:pPr>
        <w:pStyle w:val="Heading2"/>
      </w:pPr>
      <w:r>
        <w:rPr>
          <w:rFonts w:ascii="Calibri" w:hAnsi="Calibri" w:eastAsia="Calibri"/>
          <w:color w:val="202124"/>
        </w:rPr>
        <w:t>7.1 Application architecture</w:t>
      </w:r>
    </w:p>
    <w:p>
      <w:pPr>
        <w:spacing w:after="80" w:line="300" w:lineRule="auto"/>
        <w:keepNext/>
        <w:numPr>
          <w:ilvl w:val="0"/>
          <w:numId w:val="33"/>
        </w:numPr>
      </w:pPr>
      <w:r>
        <w:rPr>
          <w:rFonts w:ascii="Calibri" w:hAnsi="Calibri" w:eastAsia="Calibri"/>
          <w:color w:val="202124"/>
        </w:rPr>
        <w:t>Preserve the v2 server-rendered Flask/Jinja/Bootstrap approach.</w:t>
      </w:r>
    </w:p>
    <w:p>
      <w:pPr>
        <w:spacing w:after="80" w:line="300" w:lineRule="auto"/>
        <w:keepNext/>
        <w:numPr>
          <w:ilvl w:val="0"/>
          <w:numId w:val="33"/>
        </w:numPr>
      </w:pPr>
      <w:r>
        <w:rPr>
          <w:rFonts w:ascii="Calibri" w:hAnsi="Calibri" w:eastAsia="Calibri"/>
          <w:color w:val="202124"/>
        </w:rPr>
        <w:t>Refactor into a modular monolith with domain packages for identity, organization, projects, workforce, execution, IGP, documents, feedback, reporting, imports, and audit.</w:t>
      </w:r>
    </w:p>
    <w:p>
      <w:pPr>
        <w:spacing w:after="80" w:line="300" w:lineRule="auto"/>
        <w:keepNext/>
        <w:numPr>
          <w:ilvl w:val="0"/>
          <w:numId w:val="33"/>
        </w:numPr>
      </w:pPr>
      <w:r>
        <w:rPr>
          <w:rFonts w:ascii="Calibri" w:hAnsi="Calibri" w:eastAsia="Calibri"/>
          <w:color w:val="202124"/>
        </w:rPr>
        <w:t>Use SQLAlchemy 2.x, PostgreSQL, Alembic, Flask-Login, Flask-WTF CSRF protection, and rate limiting.</w:t>
      </w:r>
    </w:p>
    <w:p>
      <w:pPr>
        <w:spacing w:after="80" w:line="300" w:lineRule="auto"/>
        <w:keepNext/>
        <w:numPr>
          <w:ilvl w:val="0"/>
          <w:numId w:val="33"/>
        </w:numPr>
      </w:pPr>
      <w:r>
        <w:rPr>
          <w:rFonts w:ascii="Calibri" w:hAnsi="Calibri" w:eastAsia="Calibri"/>
          <w:color w:val="202124"/>
        </w:rPr>
        <w:t>Use Gunicorn in a multi-stage Docker image.</w:t>
      </w:r>
    </w:p>
    <w:p>
      <w:pPr>
        <w:spacing w:after="80" w:line="300" w:lineRule="auto"/>
        <w:keepNext w:val="0"/>
        <w:numPr>
          <w:ilvl w:val="0"/>
          <w:numId w:val="33"/>
        </w:numPr>
      </w:pPr>
      <w:r>
        <w:rPr>
          <w:rFonts w:ascii="Calibri" w:hAnsi="Calibri" w:eastAsia="Calibri"/>
          <w:color w:val="202124"/>
        </w:rPr>
        <w:t>Keep static dependencies locally bundled; production UI must not depend on public CDNs.</w:t>
      </w:r>
    </w:p>
    <w:p>
      <w:pPr>
        <w:pStyle w:val="Heading2"/>
      </w:pPr>
      <w:r>
        <w:rPr>
          <w:rFonts w:ascii="Calibri" w:hAnsi="Calibri" w:eastAsia="Calibri"/>
          <w:color w:val="202124"/>
        </w:rPr>
        <w:t>7.2 GCP deployment architecture</w:t>
      </w:r>
    </w:p>
    <w:p>
      <w:pPr>
        <w:spacing w:after="80" w:line="300" w:lineRule="auto"/>
        <w:numPr>
          <w:ilvl w:val="0"/>
          <w:numId w:val="34"/>
        </w:numPr>
      </w:pPr>
      <w:r>
        <w:rPr>
          <w:rFonts w:ascii="Calibri" w:hAnsi="Calibri" w:eastAsia="Calibri"/>
          <w:color w:val="202124"/>
        </w:rPr>
        <w:t>Cloud Run hosts the web service.</w:t>
      </w:r>
    </w:p>
    <w:p>
      <w:pPr>
        <w:spacing w:after="80" w:line="300" w:lineRule="auto"/>
        <w:numPr>
          <w:ilvl w:val="0"/>
          <w:numId w:val="34"/>
        </w:numPr>
      </w:pPr>
      <w:r>
        <w:rPr>
          <w:rFonts w:ascii="Calibri" w:hAnsi="Calibri" w:eastAsia="Calibri"/>
          <w:color w:val="202124"/>
        </w:rPr>
        <w:t>Cloud Run Jobs execute schema migrations and large imports.</w:t>
      </w:r>
    </w:p>
    <w:p>
      <w:pPr>
        <w:spacing w:after="80" w:line="300" w:lineRule="auto"/>
        <w:numPr>
          <w:ilvl w:val="0"/>
          <w:numId w:val="34"/>
        </w:numPr>
      </w:pPr>
      <w:r>
        <w:rPr>
          <w:rFonts w:ascii="Calibri" w:hAnsi="Calibri" w:eastAsia="Calibri"/>
          <w:color w:val="202124"/>
        </w:rPr>
        <w:t>Cloud Tasks handles asynchronous notification and report jobs.</w:t>
      </w:r>
    </w:p>
    <w:p>
      <w:pPr>
        <w:spacing w:after="80" w:line="300" w:lineRule="auto"/>
        <w:numPr>
          <w:ilvl w:val="0"/>
          <w:numId w:val="34"/>
        </w:numPr>
      </w:pPr>
      <w:r>
        <w:rPr>
          <w:rFonts w:ascii="Calibri" w:hAnsi="Calibri" w:eastAsia="Calibri"/>
          <w:color w:val="202124"/>
        </w:rPr>
        <w:t>Cloud Scheduler triggers reminders, archival, and routine maintenance.</w:t>
      </w:r>
    </w:p>
    <w:p>
      <w:pPr>
        <w:spacing w:after="80" w:line="300" w:lineRule="auto"/>
        <w:numPr>
          <w:ilvl w:val="0"/>
          <w:numId w:val="34"/>
        </w:numPr>
      </w:pPr>
      <w:r>
        <w:rPr>
          <w:rFonts w:ascii="Calibri" w:hAnsi="Calibri" w:eastAsia="Calibri"/>
          <w:color w:val="202124"/>
        </w:rPr>
        <w:t>Cloud SQL for PostgreSQL uses regional high availability, point-in-time recovery, daily backups, and tested restoration.</w:t>
      </w:r>
    </w:p>
    <w:p>
      <w:pPr>
        <w:spacing w:after="80" w:line="300" w:lineRule="auto"/>
        <w:numPr>
          <w:ilvl w:val="0"/>
          <w:numId w:val="34"/>
        </w:numPr>
      </w:pPr>
      <w:r>
        <w:rPr>
          <w:rFonts w:ascii="Calibri" w:hAnsi="Calibri" w:eastAsia="Calibri"/>
          <w:color w:val="202124"/>
        </w:rPr>
        <w:t>Secret Manager stores database credentials, signing keys, mail credentials, and Drive credentials.</w:t>
      </w:r>
    </w:p>
    <w:p>
      <w:pPr>
        <w:spacing w:after="80" w:line="300" w:lineRule="auto"/>
        <w:numPr>
          <w:ilvl w:val="0"/>
          <w:numId w:val="34"/>
        </w:numPr>
      </w:pPr>
      <w:r>
        <w:rPr>
          <w:rFonts w:ascii="Calibri" w:hAnsi="Calibri" w:eastAsia="Calibri"/>
          <w:color w:val="202124"/>
        </w:rPr>
        <w:t>Development, staging, and production use separate GCP projects or fully isolated services and databases.</w:t>
      </w:r>
    </w:p>
    <w:p>
      <w:pPr>
        <w:spacing w:after="80" w:line="300" w:lineRule="auto"/>
        <w:numPr>
          <w:ilvl w:val="0"/>
          <w:numId w:val="34"/>
        </w:numPr>
      </w:pPr>
      <w:r>
        <w:rPr>
          <w:rFonts w:ascii="Calibri" w:hAnsi="Calibri" w:eastAsia="Calibri"/>
          <w:color w:val="202124"/>
        </w:rPr>
        <w:t>Terraform provides reproducible infrastructure.</w:t>
      </w:r>
    </w:p>
    <w:p>
      <w:pPr>
        <w:spacing w:after="80" w:line="300" w:lineRule="auto"/>
        <w:keepNext w:val="0"/>
        <w:numPr>
          <w:ilvl w:val="0"/>
          <w:numId w:val="34"/>
        </w:numPr>
      </w:pPr>
      <w:r>
        <w:rPr>
          <w:rFonts w:ascii="Calibri" w:hAnsi="Calibri" w:eastAsia="Calibri"/>
          <w:color w:val="202124"/>
        </w:rPr>
        <w:t>Cloud Logging, Error Reporting, uptime checks, dashboards, and alerts provide observability.</w:t>
      </w:r>
    </w:p>
    <w:p>
      <w:pPr>
        <w:pStyle w:val="Heading2"/>
      </w:pPr>
      <w:r>
        <w:rPr>
          <w:rFonts w:ascii="Calibri" w:hAnsi="Calibri" w:eastAsia="Calibri"/>
          <w:color w:val="202124"/>
        </w:rPr>
        <w:t>7.3 Public interfaces</w:t>
      </w:r>
    </w:p>
    <w:p>
      <w:r>
        <w:rPr>
          <w:rFonts w:ascii="Calibri" w:hAnsi="Calibri" w:eastAsia="Calibri"/>
          <w:color w:val="202124"/>
        </w:rPr>
        <w:t xml:space="preserve">Provide </w:t>
      </w:r>
      <w:r>
        <w:rPr>
          <w:rFonts w:ascii="Courier New" w:hAnsi="Courier New" w:eastAsia="Courier New"/>
          <w:color w:val="1F4D78"/>
          <w:sz w:val="21"/>
        </w:rPr>
        <w:t>/api/v1</w:t>
      </w:r>
      <w:r>
        <w:rPr>
          <w:rFonts w:ascii="Calibri" w:hAnsi="Calibri" w:eastAsia="Calibri"/>
          <w:color w:val="202124"/>
        </w:rPr>
        <w:t xml:space="preserve"> JSON endpoints, used by imports and future integrations, while the web UI uses the same service layer:</w:t>
      </w:r>
    </w:p>
    <w:p>
      <w:pPr>
        <w:spacing w:after="80" w:line="300" w:lineRule="auto"/>
        <w:keepNext/>
        <w:numPr>
          <w:ilvl w:val="0"/>
          <w:numId w:val="35"/>
        </w:numPr>
      </w:pPr>
      <w:r>
        <w:rPr>
          <w:rFonts w:ascii="Courier New" w:hAnsi="Courier New" w:eastAsia="Courier New"/>
          <w:color w:val="1F4D78"/>
          <w:sz w:val="21"/>
        </w:rPr>
        <w:t>/organizations</w:t>
      </w:r>
      <w:r>
        <w:rPr>
          <w:rFonts w:ascii="Calibri" w:hAnsi="Calibri" w:eastAsia="Calibri"/>
          <w:color w:val="202124"/>
        </w:rPr>
        <w:t xml:space="preserve">, </w:t>
      </w:r>
      <w:r>
        <w:rPr>
          <w:rFonts w:ascii="Courier New" w:hAnsi="Courier New" w:eastAsia="Courier New"/>
          <w:color w:val="1F4D78"/>
          <w:sz w:val="21"/>
        </w:rPr>
        <w:t>/campuses</w:t>
      </w:r>
      <w:r>
        <w:rPr>
          <w:rFonts w:ascii="Calibri" w:hAnsi="Calibri" w:eastAsia="Calibri"/>
          <w:color w:val="202124"/>
        </w:rPr>
        <w:t xml:space="preserve">, </w:t>
      </w:r>
      <w:r>
        <w:rPr>
          <w:rFonts w:ascii="Courier New" w:hAnsi="Courier New" w:eastAsia="Courier New"/>
          <w:color w:val="1F4D78"/>
          <w:sz w:val="21"/>
        </w:rPr>
        <w:t>/academic-years</w:t>
      </w:r>
      <w:r>
        <w:rPr>
          <w:rFonts w:ascii="Calibri" w:hAnsi="Calibri" w:eastAsia="Calibri"/>
          <w:color w:val="202124"/>
        </w:rPr>
        <w:t xml:space="preserve">, </w:t>
      </w:r>
      <w:r>
        <w:rPr>
          <w:rFonts w:ascii="Courier New" w:hAnsi="Courier New" w:eastAsia="Courier New"/>
          <w:color w:val="1F4D78"/>
          <w:sz w:val="21"/>
        </w:rPr>
        <w:t>/role-assignments</w:t>
      </w:r>
    </w:p>
    <w:p>
      <w:pPr>
        <w:spacing w:after="80" w:line="300" w:lineRule="auto"/>
        <w:keepNext/>
        <w:numPr>
          <w:ilvl w:val="0"/>
          <w:numId w:val="35"/>
        </w:numPr>
      </w:pPr>
      <w:r>
        <w:rPr>
          <w:rFonts w:ascii="Courier New" w:hAnsi="Courier New" w:eastAsia="Courier New"/>
          <w:color w:val="1F4D78"/>
          <w:sz w:val="21"/>
        </w:rPr>
        <w:t>/projects</w:t>
      </w:r>
      <w:r>
        <w:rPr>
          <w:rFonts w:ascii="Calibri" w:hAnsi="Calibri" w:eastAsia="Calibri"/>
          <w:color w:val="202124"/>
        </w:rPr>
        <w:t xml:space="preserve">, </w:t>
      </w:r>
      <w:r>
        <w:rPr>
          <w:rFonts w:ascii="Courier New" w:hAnsi="Courier New" w:eastAsia="Courier New"/>
          <w:color w:val="1F4D78"/>
          <w:sz w:val="21"/>
        </w:rPr>
        <w:t>/projects/{id}/components</w:t>
      </w:r>
      <w:r>
        <w:rPr>
          <w:rFonts w:ascii="Calibri" w:hAnsi="Calibri" w:eastAsia="Calibri"/>
          <w:color w:val="202124"/>
        </w:rPr>
        <w:t xml:space="preserve">, </w:t>
      </w:r>
      <w:r>
        <w:rPr>
          <w:rFonts w:ascii="Courier New" w:hAnsi="Courier New" w:eastAsia="Courier New"/>
          <w:color w:val="1F4D78"/>
          <w:sz w:val="21"/>
        </w:rPr>
        <w:t>/sessions</w:t>
      </w:r>
      <w:r>
        <w:rPr>
          <w:rFonts w:ascii="Calibri" w:hAnsi="Calibri" w:eastAsia="Calibri"/>
          <w:color w:val="202124"/>
        </w:rPr>
        <w:t xml:space="preserve">, </w:t>
      </w:r>
      <w:r>
        <w:rPr>
          <w:rFonts w:ascii="Courier New" w:hAnsi="Courier New" w:eastAsia="Courier New"/>
          <w:color w:val="1F4D78"/>
          <w:sz w:val="21"/>
        </w:rPr>
        <w:t>/tasks</w:t>
      </w:r>
      <w:r>
        <w:rPr>
          <w:rFonts w:ascii="Calibri" w:hAnsi="Calibri" w:eastAsia="Calibri"/>
          <w:color w:val="202124"/>
        </w:rPr>
        <w:t xml:space="preserve">, </w:t>
      </w:r>
      <w:r>
        <w:rPr>
          <w:rFonts w:ascii="Courier New" w:hAnsi="Courier New" w:eastAsia="Courier New"/>
          <w:color w:val="1F4D78"/>
          <w:sz w:val="21"/>
        </w:rPr>
        <w:t>/checklists</w:t>
      </w:r>
    </w:p>
    <w:p>
      <w:pPr>
        <w:spacing w:after="80" w:line="300" w:lineRule="auto"/>
        <w:keepNext/>
        <w:numPr>
          <w:ilvl w:val="0"/>
          <w:numId w:val="35"/>
        </w:numPr>
      </w:pPr>
      <w:r>
        <w:rPr>
          <w:rFonts w:ascii="Courier New" w:hAnsi="Courier New" w:eastAsia="Courier New"/>
          <w:color w:val="1F4D78"/>
          <w:sz w:val="21"/>
        </w:rPr>
        <w:t>/people</w:t>
      </w:r>
      <w:r>
        <w:rPr>
          <w:rFonts w:ascii="Calibri" w:hAnsi="Calibri" w:eastAsia="Calibri"/>
          <w:color w:val="202124"/>
        </w:rPr>
        <w:t xml:space="preserve">, </w:t>
      </w:r>
      <w:r>
        <w:rPr>
          <w:rFonts w:ascii="Courier New" w:hAnsi="Courier New" w:eastAsia="Courier New"/>
          <w:color w:val="1F4D78"/>
          <w:sz w:val="21"/>
        </w:rPr>
        <w:t>/teams</w:t>
      </w:r>
      <w:r>
        <w:rPr>
          <w:rFonts w:ascii="Calibri" w:hAnsi="Calibri" w:eastAsia="Calibri"/>
          <w:color w:val="202124"/>
        </w:rPr>
        <w:t xml:space="preserve">, </w:t>
      </w:r>
      <w:r>
        <w:rPr>
          <w:rFonts w:ascii="Courier New" w:hAnsi="Courier New" w:eastAsia="Courier New"/>
          <w:color w:val="1F4D78"/>
          <w:sz w:val="21"/>
        </w:rPr>
        <w:t>/applications</w:t>
      </w:r>
      <w:r>
        <w:rPr>
          <w:rFonts w:ascii="Calibri" w:hAnsi="Calibri" w:eastAsia="Calibri"/>
          <w:color w:val="202124"/>
        </w:rPr>
        <w:t xml:space="preserve">, </w:t>
      </w:r>
      <w:r>
        <w:rPr>
          <w:rFonts w:ascii="Courier New" w:hAnsi="Courier New" w:eastAsia="Courier New"/>
          <w:color w:val="1F4D78"/>
          <w:sz w:val="21"/>
        </w:rPr>
        <w:t>/participants</w:t>
      </w:r>
    </w:p>
    <w:p>
      <w:pPr>
        <w:spacing w:after="80" w:line="300" w:lineRule="auto"/>
        <w:keepNext/>
        <w:numPr>
          <w:ilvl w:val="0"/>
          <w:numId w:val="35"/>
        </w:numPr>
      </w:pPr>
      <w:r>
        <w:rPr>
          <w:rFonts w:ascii="Courier New" w:hAnsi="Courier New" w:eastAsia="Courier New"/>
          <w:color w:val="1F4D78"/>
          <w:sz w:val="21"/>
        </w:rPr>
        <w:t>/attendance</w:t>
      </w:r>
      <w:r>
        <w:rPr>
          <w:rFonts w:ascii="Calibri" w:hAnsi="Calibri" w:eastAsia="Calibri"/>
          <w:color w:val="202124"/>
        </w:rPr>
        <w:t xml:space="preserve">, </w:t>
      </w:r>
      <w:r>
        <w:rPr>
          <w:rFonts w:ascii="Courier New" w:hAnsi="Courier New" w:eastAsia="Courier New"/>
          <w:color w:val="1F4D78"/>
          <w:sz w:val="21"/>
        </w:rPr>
        <w:t>/contributions</w:t>
      </w:r>
      <w:r>
        <w:rPr>
          <w:rFonts w:ascii="Calibri" w:hAnsi="Calibri" w:eastAsia="Calibri"/>
          <w:color w:val="202124"/>
        </w:rPr>
        <w:t xml:space="preserve">, </w:t>
      </w:r>
      <w:r>
        <w:rPr>
          <w:rFonts w:ascii="Courier New" w:hAnsi="Courier New" w:eastAsia="Courier New"/>
          <w:color w:val="1F4D78"/>
          <w:sz w:val="21"/>
        </w:rPr>
        <w:t>/buddy-assignments</w:t>
      </w:r>
      <w:r>
        <w:rPr>
          <w:rFonts w:ascii="Calibri" w:hAnsi="Calibri" w:eastAsia="Calibri"/>
          <w:color w:val="202124"/>
        </w:rPr>
        <w:t xml:space="preserve">, </w:t>
      </w:r>
      <w:r>
        <w:rPr>
          <w:rFonts w:ascii="Courier New" w:hAnsi="Courier New" w:eastAsia="Courier New"/>
          <w:color w:val="1F4D78"/>
          <w:sz w:val="21"/>
        </w:rPr>
        <w:t>/buddy-logs</w:t>
      </w:r>
    </w:p>
    <w:p>
      <w:pPr>
        <w:spacing w:after="80" w:line="300" w:lineRule="auto"/>
        <w:keepNext/>
        <w:numPr>
          <w:ilvl w:val="0"/>
          <w:numId w:val="35"/>
        </w:numPr>
      </w:pPr>
      <w:r>
        <w:rPr>
          <w:rFonts w:ascii="Courier New" w:hAnsi="Courier New" w:eastAsia="Courier New"/>
          <w:color w:val="1F4D78"/>
          <w:sz w:val="21"/>
        </w:rPr>
        <w:t>/documents</w:t>
      </w:r>
      <w:r>
        <w:rPr>
          <w:rFonts w:ascii="Calibri" w:hAnsi="Calibri" w:eastAsia="Calibri"/>
          <w:color w:val="202124"/>
        </w:rPr>
        <w:t xml:space="preserve">, </w:t>
      </w:r>
      <w:r>
        <w:rPr>
          <w:rFonts w:ascii="Courier New" w:hAnsi="Courier New" w:eastAsia="Courier New"/>
          <w:color w:val="1F4D78"/>
          <w:sz w:val="21"/>
        </w:rPr>
        <w:t>/documents/validate-drive-link</w:t>
      </w:r>
    </w:p>
    <w:p>
      <w:pPr>
        <w:spacing w:after="80" w:line="300" w:lineRule="auto"/>
        <w:keepNext/>
        <w:numPr>
          <w:ilvl w:val="0"/>
          <w:numId w:val="35"/>
        </w:numPr>
      </w:pPr>
      <w:r>
        <w:rPr>
          <w:rFonts w:ascii="Courier New" w:hAnsi="Courier New" w:eastAsia="Courier New"/>
          <w:color w:val="1F4D78"/>
          <w:sz w:val="21"/>
        </w:rPr>
        <w:t>/feedback-forms</w:t>
      </w:r>
      <w:r>
        <w:rPr>
          <w:rFonts w:ascii="Calibri" w:hAnsi="Calibri" w:eastAsia="Calibri"/>
          <w:color w:val="202124"/>
        </w:rPr>
        <w:t xml:space="preserve">, </w:t>
      </w:r>
      <w:r>
        <w:rPr>
          <w:rFonts w:ascii="Courier New" w:hAnsi="Courier New" w:eastAsia="Courier New"/>
          <w:color w:val="1F4D78"/>
          <w:sz w:val="21"/>
        </w:rPr>
        <w:t>/feedback-responses</w:t>
      </w:r>
    </w:p>
    <w:p>
      <w:pPr>
        <w:spacing w:after="80" w:line="300" w:lineRule="auto"/>
        <w:keepNext/>
        <w:numPr>
          <w:ilvl w:val="0"/>
          <w:numId w:val="35"/>
        </w:numPr>
      </w:pPr>
      <w:r>
        <w:rPr>
          <w:rFonts w:ascii="Courier New" w:hAnsi="Courier New" w:eastAsia="Courier New"/>
          <w:color w:val="1F4D78"/>
          <w:sz w:val="21"/>
        </w:rPr>
        <w:t>/budgets</w:t>
      </w:r>
      <w:r>
        <w:rPr>
          <w:rFonts w:ascii="Calibri" w:hAnsi="Calibri" w:eastAsia="Calibri"/>
          <w:color w:val="202124"/>
        </w:rPr>
        <w:t xml:space="preserve">, </w:t>
      </w:r>
      <w:r>
        <w:rPr>
          <w:rFonts w:ascii="Courier New" w:hAnsi="Courier New" w:eastAsia="Courier New"/>
          <w:color w:val="1F4D78"/>
          <w:sz w:val="21"/>
        </w:rPr>
        <w:t>/operational-requests</w:t>
      </w:r>
    </w:p>
    <w:p>
      <w:pPr>
        <w:spacing w:after="80" w:line="300" w:lineRule="auto"/>
        <w:keepNext w:val="0"/>
        <w:numPr>
          <w:ilvl w:val="0"/>
          <w:numId w:val="35"/>
        </w:numPr>
      </w:pPr>
      <w:r>
        <w:rPr>
          <w:rFonts w:ascii="Courier New" w:hAnsi="Courier New" w:eastAsia="Courier New"/>
          <w:color w:val="1F4D78"/>
          <w:sz w:val="21"/>
        </w:rPr>
        <w:t>/imports</w:t>
      </w:r>
      <w:r>
        <w:rPr>
          <w:rFonts w:ascii="Calibri" w:hAnsi="Calibri" w:eastAsia="Calibri"/>
          <w:color w:val="202124"/>
        </w:rPr>
        <w:t xml:space="preserve">, </w:t>
      </w:r>
      <w:r>
        <w:rPr>
          <w:rFonts w:ascii="Courier New" w:hAnsi="Courier New" w:eastAsia="Courier New"/>
          <w:color w:val="1F4D78"/>
          <w:sz w:val="21"/>
        </w:rPr>
        <w:t>/reports</w:t>
      </w:r>
      <w:r>
        <w:rPr>
          <w:rFonts w:ascii="Calibri" w:hAnsi="Calibri" w:eastAsia="Calibri"/>
          <w:color w:val="202124"/>
        </w:rPr>
        <w:t xml:space="preserve">, </w:t>
      </w:r>
      <w:r>
        <w:rPr>
          <w:rFonts w:ascii="Courier New" w:hAnsi="Courier New" w:eastAsia="Courier New"/>
          <w:color w:val="1F4D78"/>
          <w:sz w:val="21"/>
        </w:rPr>
        <w:t>/audit-events</w:t>
      </w:r>
    </w:p>
    <w:p>
      <w:r>
        <w:rPr>
          <w:rFonts w:ascii="Calibri" w:hAnsi="Calibri" w:eastAsia="Calibri"/>
          <w:color w:val="202124"/>
        </w:rPr>
        <w:t>Interface rules:</w:t>
      </w:r>
    </w:p>
    <w:p>
      <w:pPr>
        <w:spacing w:after="80" w:line="300" w:lineRule="auto"/>
        <w:keepNext/>
        <w:numPr>
          <w:ilvl w:val="0"/>
          <w:numId w:val="36"/>
        </w:numPr>
      </w:pPr>
      <w:r>
        <w:rPr>
          <w:rFonts w:ascii="Calibri" w:hAnsi="Calibri" w:eastAsia="Calibri"/>
          <w:color w:val="202124"/>
        </w:rPr>
        <w:t>Cursor pagination, filter parameters, and deterministic sorting.</w:t>
      </w:r>
    </w:p>
    <w:p>
      <w:pPr>
        <w:spacing w:after="80" w:line="300" w:lineRule="auto"/>
        <w:keepNext/>
        <w:numPr>
          <w:ilvl w:val="0"/>
          <w:numId w:val="36"/>
        </w:numPr>
      </w:pPr>
      <w:r>
        <w:rPr>
          <w:rFonts w:ascii="Calibri" w:hAnsi="Calibri" w:eastAsia="Calibri"/>
          <w:color w:val="202124"/>
        </w:rPr>
        <w:t>RFC 7807-style error responses.</w:t>
      </w:r>
    </w:p>
    <w:p>
      <w:pPr>
        <w:spacing w:after="80" w:line="300" w:lineRule="auto"/>
        <w:keepNext/>
        <w:numPr>
          <w:ilvl w:val="0"/>
          <w:numId w:val="36"/>
        </w:numPr>
      </w:pPr>
      <w:r>
        <w:rPr>
          <w:rFonts w:ascii="Calibri" w:hAnsi="Calibri" w:eastAsia="Calibri"/>
          <w:color w:val="202124"/>
        </w:rPr>
        <w:t>Optimistic concurrency version on editable records.</w:t>
      </w:r>
    </w:p>
    <w:p>
      <w:pPr>
        <w:spacing w:after="80" w:line="300" w:lineRule="auto"/>
        <w:keepNext/>
        <w:numPr>
          <w:ilvl w:val="0"/>
          <w:numId w:val="36"/>
        </w:numPr>
      </w:pPr>
      <w:r>
        <w:rPr>
          <w:rFonts w:ascii="Calibri" w:hAnsi="Calibri" w:eastAsia="Calibri"/>
          <w:color w:val="202124"/>
        </w:rPr>
        <w:t>Idempotency keys for imports, attendance batches, notifications, and report jobs.</w:t>
      </w:r>
    </w:p>
    <w:p>
      <w:pPr>
        <w:spacing w:after="80" w:line="300" w:lineRule="auto"/>
        <w:keepNext/>
        <w:numPr>
          <w:ilvl w:val="0"/>
          <w:numId w:val="36"/>
        </w:numPr>
      </w:pPr>
      <w:r>
        <w:rPr>
          <w:rFonts w:ascii="Calibri" w:hAnsi="Calibri" w:eastAsia="Calibri"/>
          <w:color w:val="202124"/>
        </w:rPr>
        <w:t>CSV/XLSX templates for people, ICC roster, projects, participants, attendance, checklists, and document indexes.</w:t>
      </w:r>
    </w:p>
    <w:p>
      <w:pPr>
        <w:spacing w:after="80" w:line="300" w:lineRule="auto"/>
        <w:keepNext/>
        <w:numPr>
          <w:ilvl w:val="0"/>
          <w:numId w:val="36"/>
        </w:numPr>
      </w:pPr>
      <w:r>
        <w:rPr>
          <w:rFonts w:ascii="Calibri" w:hAnsi="Calibri" w:eastAsia="Calibri"/>
          <w:color w:val="202124"/>
        </w:rPr>
        <w:t>Import flow: upload → staged parse → validation → preview → explicit commit → reconciliation report.</w:t>
      </w:r>
    </w:p>
    <w:p>
      <w:pPr>
        <w:spacing w:after="80" w:line="300" w:lineRule="auto"/>
        <w:keepNext w:val="0"/>
        <w:numPr>
          <w:ilvl w:val="0"/>
          <w:numId w:val="36"/>
        </w:numPr>
      </w:pPr>
      <w:r>
        <w:rPr>
          <w:rFonts w:ascii="Calibri" w:hAnsi="Calibri" w:eastAsia="Calibri"/>
          <w:color w:val="202124"/>
        </w:rPr>
        <w:t xml:space="preserve">Future institutional identity integration uses an </w:t>
      </w:r>
      <w:r>
        <w:rPr>
          <w:rFonts w:ascii="Courier New" w:hAnsi="Courier New" w:eastAsia="Courier New"/>
          <w:color w:val="1F4D78"/>
          <w:sz w:val="21"/>
        </w:rPr>
        <w:t>IdentityProvider</w:t>
      </w:r>
      <w:r>
        <w:rPr>
          <w:rFonts w:ascii="Calibri" w:hAnsi="Calibri" w:eastAsia="Calibri"/>
          <w:color w:val="202124"/>
        </w:rPr>
        <w:t xml:space="preserve"> interface with internal-password and external-directory implementations. Operational </w:t>
      </w:r>
      <w:r>
        <w:rPr>
          <w:rFonts w:ascii="Courier New" w:hAnsi="Courier New" w:eastAsia="Courier New"/>
          <w:color w:val="1F4D78"/>
          <w:sz w:val="21"/>
        </w:rPr>
        <w:t>Person</w:t>
      </w:r>
      <w:r>
        <w:rPr>
          <w:rFonts w:ascii="Calibri" w:hAnsi="Calibri" w:eastAsia="Calibri"/>
          <w:color w:val="202124"/>
        </w:rPr>
        <w:t xml:space="preserve"> IDs never depend on authentication-provider IDs.</w:t>
      </w:r>
    </w:p>
    <w:p>
      <w:pPr>
        <w:pStyle w:val="Heading1"/>
      </w:pPr>
      <w:r>
        <w:rPr>
          <w:rFonts w:ascii="Calibri" w:hAnsi="Calibri" w:eastAsia="Calibri"/>
          <w:color w:val="202124"/>
        </w:rPr>
        <w:t>8. Security, privacy, quality, and service levels</w:t>
      </w:r>
    </w:p>
    <w:p>
      <w:pPr>
        <w:pStyle w:val="Heading2"/>
      </w:pPr>
      <w:r>
        <w:rPr>
          <w:rFonts w:ascii="Calibri" w:hAnsi="Calibri" w:eastAsia="Calibri"/>
          <w:color w:val="202124"/>
        </w:rPr>
        <w:t>8.1 Security and privacy</w:t>
      </w:r>
    </w:p>
    <w:p>
      <w:pPr>
        <w:spacing w:after="80" w:line="300" w:lineRule="auto"/>
        <w:keepNext/>
        <w:numPr>
          <w:ilvl w:val="0"/>
          <w:numId w:val="37"/>
        </w:numPr>
      </w:pPr>
      <w:r>
        <w:rPr>
          <w:rFonts w:ascii="Calibri" w:hAnsi="Calibri" w:eastAsia="Calibri"/>
          <w:color w:val="202124"/>
        </w:rPr>
        <w:t>No default production accounts, hard-coded secrets, or demo passwords.</w:t>
      </w:r>
    </w:p>
    <w:p>
      <w:pPr>
        <w:spacing w:after="80" w:line="300" w:lineRule="auto"/>
        <w:keepNext/>
        <w:numPr>
          <w:ilvl w:val="0"/>
          <w:numId w:val="37"/>
        </w:numPr>
      </w:pPr>
      <w:r>
        <w:rPr>
          <w:rFonts w:ascii="Calibri" w:hAnsi="Calibri" w:eastAsia="Calibri"/>
          <w:color w:val="202124"/>
        </w:rPr>
        <w:t>Password hashing uses a modern memory-hard configuration; enforce length, breached-password checks, reset expiry, session rotation, lockout, and recovery audit.</w:t>
      </w:r>
    </w:p>
    <w:p>
      <w:pPr>
        <w:spacing w:after="80" w:line="300" w:lineRule="auto"/>
        <w:keepNext/>
        <w:numPr>
          <w:ilvl w:val="0"/>
          <w:numId w:val="37"/>
        </w:numPr>
      </w:pPr>
      <w:r>
        <w:rPr>
          <w:rFonts w:ascii="Calibri" w:hAnsi="Calibri" w:eastAsia="Calibri"/>
          <w:color w:val="202124"/>
        </w:rPr>
        <w:t>CSRF protection applies to all browser mutations.</w:t>
      </w:r>
    </w:p>
    <w:p>
      <w:pPr>
        <w:spacing w:after="80" w:line="300" w:lineRule="auto"/>
        <w:keepNext/>
        <w:numPr>
          <w:ilvl w:val="0"/>
          <w:numId w:val="37"/>
        </w:numPr>
      </w:pPr>
      <w:r>
        <w:rPr>
          <w:rFonts w:ascii="Calibri" w:hAnsi="Calibri" w:eastAsia="Calibri"/>
          <w:color w:val="202124"/>
        </w:rPr>
        <w:t>Authorization is checked in both the service and route layers.</w:t>
      </w:r>
    </w:p>
    <w:p>
      <w:pPr>
        <w:spacing w:after="80" w:line="300" w:lineRule="auto"/>
        <w:keepNext/>
        <w:numPr>
          <w:ilvl w:val="0"/>
          <w:numId w:val="37"/>
        </w:numPr>
      </w:pPr>
      <w:r>
        <w:rPr>
          <w:rFonts w:ascii="Calibri" w:hAnsi="Calibri" w:eastAsia="Calibri"/>
          <w:color w:val="202124"/>
        </w:rPr>
        <w:t>Prevent cross-project identifier access and verify parent-child ownership on every mutation.</w:t>
      </w:r>
    </w:p>
    <w:p>
      <w:pPr>
        <w:spacing w:after="80" w:line="300" w:lineRule="auto"/>
        <w:keepNext/>
        <w:numPr>
          <w:ilvl w:val="0"/>
          <w:numId w:val="37"/>
        </w:numPr>
      </w:pPr>
      <w:r>
        <w:rPr>
          <w:rFonts w:ascii="Calibri" w:hAnsi="Calibri" w:eastAsia="Calibri"/>
          <w:color w:val="202124"/>
        </w:rPr>
        <w:t>Use secure cookies, strict security headers, origin checks, request-size limits, upload-type validation, and rate limits.</w:t>
      </w:r>
    </w:p>
    <w:p>
      <w:pPr>
        <w:spacing w:after="80" w:line="300" w:lineRule="auto"/>
        <w:keepNext/>
        <w:numPr>
          <w:ilvl w:val="0"/>
          <w:numId w:val="37"/>
        </w:numPr>
      </w:pPr>
      <w:r>
        <w:rPr>
          <w:rFonts w:ascii="Calibri" w:hAnsi="Calibri" w:eastAsia="Calibri"/>
          <w:color w:val="202124"/>
        </w:rPr>
        <w:t>Sensitive IGP files remain in restricted Drive storage. The ERP stores only operational status, classification, verification metadata, and restricted references.</w:t>
      </w:r>
    </w:p>
    <w:p>
      <w:pPr>
        <w:spacing w:after="80" w:line="300" w:lineRule="auto"/>
        <w:keepNext w:val="0"/>
        <w:numPr>
          <w:ilvl w:val="0"/>
          <w:numId w:val="37"/>
        </w:numPr>
      </w:pPr>
      <w:r>
        <w:rPr>
          <w:rFonts w:ascii="Calibri" w:hAnsi="Calibri" w:eastAsia="Calibri"/>
          <w:color w:val="202124"/>
        </w:rPr>
        <w:t>Sensitive content is never included in offline caches, public feedback routes, logs, analytics, or notification bodies.</w:t>
      </w:r>
    </w:p>
    <w:p>
      <w:pPr>
        <w:pStyle w:val="Heading2"/>
      </w:pPr>
      <w:r>
        <w:rPr>
          <w:rFonts w:ascii="Calibri" w:hAnsi="Calibri" w:eastAsia="Calibri"/>
          <w:color w:val="202124"/>
        </w:rPr>
        <w:t>8.2 Accessibility and performance</w:t>
      </w:r>
    </w:p>
    <w:p>
      <w:pPr>
        <w:spacing w:after="80" w:line="300" w:lineRule="auto"/>
        <w:keepNext/>
        <w:numPr>
          <w:ilvl w:val="0"/>
          <w:numId w:val="38"/>
        </w:numPr>
      </w:pPr>
      <w:r>
        <w:rPr>
          <w:rFonts w:ascii="Calibri" w:hAnsi="Calibri" w:eastAsia="Calibri"/>
          <w:color w:val="202124"/>
        </w:rPr>
        <w:t>Meet WCAG 2.1 AA, including keyboard operation, semantic labels, responsive layouts, and screen-reader-compatible errors.</w:t>
      </w:r>
    </w:p>
    <w:p>
      <w:pPr>
        <w:spacing w:after="80" w:line="300" w:lineRule="auto"/>
        <w:keepNext/>
        <w:numPr>
          <w:ilvl w:val="0"/>
          <w:numId w:val="38"/>
        </w:numPr>
      </w:pPr>
      <w:r>
        <w:rPr>
          <w:rFonts w:ascii="Calibri" w:hAnsi="Calibri" w:eastAsia="Calibri"/>
          <w:color w:val="202124"/>
        </w:rPr>
        <w:t>Common authenticated pages should meet p95 server response under 500 ms at 200 concurrent users.</w:t>
      </w:r>
    </w:p>
    <w:p>
      <w:pPr>
        <w:spacing w:after="80" w:line="300" w:lineRule="auto"/>
        <w:keepNext/>
        <w:numPr>
          <w:ilvl w:val="0"/>
          <w:numId w:val="38"/>
        </w:numPr>
      </w:pPr>
      <w:r>
        <w:rPr>
          <w:rFonts w:ascii="Calibri" w:hAnsi="Calibri" w:eastAsia="Calibri"/>
          <w:color w:val="202124"/>
        </w:rPr>
        <w:t>Target 99.5% availability, recovery point objective of 15 minutes, and recovery time objective of four hours.</w:t>
      </w:r>
    </w:p>
    <w:p>
      <w:pPr>
        <w:spacing w:after="80" w:line="300" w:lineRule="auto"/>
        <w:keepNext w:val="0"/>
        <w:numPr>
          <w:ilvl w:val="0"/>
          <w:numId w:val="38"/>
        </w:numPr>
      </w:pPr>
      <w:r>
        <w:rPr>
          <w:rFonts w:ascii="Calibri" w:hAnsi="Calibri" w:eastAsia="Calibri"/>
          <w:color w:val="202124"/>
        </w:rPr>
        <w:t>PWA support includes an installable shell, safe static caching, and offline read-only access to previously viewed nonsensitive schedules/tasks; sensitive IGP data is never cached offline.</w:t>
      </w:r>
    </w:p>
    <w:p>
      <w:pPr>
        <w:pStyle w:val="Heading1"/>
      </w:pPr>
      <w:r>
        <w:rPr>
          <w:rFonts w:ascii="Calibri" w:hAnsi="Calibri" w:eastAsia="Calibri"/>
          <w:color w:val="202124"/>
        </w:rPr>
        <w:t>9. Delivery and implementation plan</w:t>
      </w:r>
    </w:p>
    <w:p>
      <w:pPr>
        <w:pStyle w:val="Heading2"/>
      </w:pPr>
      <w:r>
        <w:rPr>
          <w:rFonts w:ascii="Calibri" w:hAnsi="Calibri" w:eastAsia="Calibri"/>
          <w:color w:val="202124"/>
        </w:rPr>
        <w:t>9.1 Plan artifacts</w:t>
      </w:r>
    </w:p>
    <w:p>
      <w:pPr>
        <w:spacing w:after="80" w:line="300" w:lineRule="auto"/>
        <w:keepNext/>
        <w:numPr>
          <w:ilvl w:val="0"/>
          <w:numId w:val="39"/>
        </w:numPr>
      </w:pPr>
      <w:r>
        <w:rPr>
          <w:rFonts w:ascii="Calibri" w:hAnsi="Calibri" w:eastAsia="Calibri"/>
          <w:color w:val="202124"/>
        </w:rPr>
        <w:t>Write this complete Markdown PRD in the workspace root.</w:t>
      </w:r>
    </w:p>
    <w:p>
      <w:pPr>
        <w:spacing w:after="80" w:line="300" w:lineRule="auto"/>
        <w:keepNext/>
        <w:numPr>
          <w:ilvl w:val="0"/>
          <w:numId w:val="39"/>
        </w:numPr>
      </w:pPr>
      <w:r>
        <w:rPr>
          <w:rFonts w:ascii="Calibri" w:hAnsi="Calibri" w:eastAsia="Calibri"/>
          <w:color w:val="202124"/>
        </w:rPr>
        <w:t>Generate a matching DOCX from the approved content.</w:t>
      </w:r>
    </w:p>
    <w:p>
      <w:pPr>
        <w:spacing w:after="80" w:line="300" w:lineRule="auto"/>
        <w:keepNext/>
        <w:numPr>
          <w:ilvl w:val="0"/>
          <w:numId w:val="39"/>
        </w:numPr>
      </w:pPr>
      <w:r>
        <w:rPr>
          <w:rFonts w:ascii="Calibri" w:hAnsi="Calibri" w:eastAsia="Calibri"/>
          <w:color w:val="202124"/>
        </w:rPr>
        <w:t>Render every DOCX page to PNG, inspect all pages, and correct layout defects.</w:t>
      </w:r>
    </w:p>
    <w:p>
      <w:pPr>
        <w:spacing w:after="80" w:line="300" w:lineRule="auto"/>
        <w:keepNext w:val="0"/>
        <w:numPr>
          <w:ilvl w:val="0"/>
          <w:numId w:val="39"/>
        </w:numPr>
      </w:pPr>
      <w:r>
        <w:rPr>
          <w:rFonts w:ascii="Calibri" w:hAnsi="Calibri" w:eastAsia="Calibri"/>
          <w:color w:val="202124"/>
        </w:rPr>
        <w:t>Include version, status, decision log, glossary, role matrix, data dictionary, acceptance matrix, and revision history.</w:t>
      </w:r>
    </w:p>
    <w:p>
      <w:pPr>
        <w:pStyle w:val="Heading2"/>
      </w:pPr>
      <w:r>
        <w:rPr>
          <w:rFonts w:ascii="Calibri" w:hAnsi="Calibri" w:eastAsia="Calibri"/>
          <w:color w:val="202124"/>
        </w:rPr>
        <w:t>9.2 Three-day demonstrator</w:t>
      </w:r>
    </w:p>
    <w:p>
      <w:pPr>
        <w:pStyle w:val="Heading3"/>
      </w:pPr>
      <w:r>
        <w:rPr>
          <w:rFonts w:ascii="Calibri" w:hAnsi="Calibri" w:eastAsia="Calibri"/>
          <w:color w:val="202124"/>
        </w:rPr>
        <w:t>Day 1 — foundation</w:t>
      </w:r>
    </w:p>
    <w:p>
      <w:pPr>
        <w:spacing w:after="80" w:line="300" w:lineRule="auto"/>
        <w:keepNext/>
        <w:numPr>
          <w:ilvl w:val="0"/>
          <w:numId w:val="40"/>
        </w:numPr>
      </w:pPr>
      <w:r>
        <w:rPr>
          <w:rFonts w:ascii="Calibri" w:hAnsi="Calibri" w:eastAsia="Calibri"/>
          <w:color w:val="202124"/>
        </w:rPr>
        <w:t xml:space="preserve">Archive v1 safely and initialize </w:t>
      </w:r>
      <w:r>
        <w:rPr>
          <w:rFonts w:ascii="Courier New" w:hAnsi="Courier New" w:eastAsia="Courier New"/>
          <w:color w:val="1F4D78"/>
          <w:sz w:val="21"/>
        </w:rPr>
        <w:t>icc-platform-2</w:t>
      </w:r>
      <w:r>
        <w:rPr>
          <w:rFonts w:ascii="Calibri" w:hAnsi="Calibri" w:eastAsia="Calibri"/>
          <w:color w:val="202124"/>
        </w:rPr>
        <w:t xml:space="preserve"> as the </w:t>
      </w:r>
      <w:r>
        <w:rPr>
          <w:rFonts w:ascii="Courier New" w:hAnsi="Courier New" w:eastAsia="Courier New"/>
          <w:color w:val="1F4D78"/>
          <w:sz w:val="21"/>
        </w:rPr>
        <w:t>icc-erp</w:t>
      </w:r>
      <w:r>
        <w:rPr>
          <w:rFonts w:ascii="Calibri" w:hAnsi="Calibri" w:eastAsia="Calibri"/>
          <w:color w:val="202124"/>
        </w:rPr>
        <w:t xml:space="preserve"> Git repository.</w:t>
      </w:r>
    </w:p>
    <w:p>
      <w:pPr>
        <w:spacing w:after="80" w:line="300" w:lineRule="auto"/>
        <w:keepNext/>
        <w:numPr>
          <w:ilvl w:val="0"/>
          <w:numId w:val="40"/>
        </w:numPr>
      </w:pPr>
      <w:r>
        <w:rPr>
          <w:rFonts w:ascii="Calibri" w:hAnsi="Calibri" w:eastAsia="Calibri"/>
          <w:color w:val="202124"/>
        </w:rPr>
        <w:t>Remove demo credentials from normal startup.</w:t>
      </w:r>
    </w:p>
    <w:p>
      <w:pPr>
        <w:spacing w:after="80" w:line="300" w:lineRule="auto"/>
        <w:keepNext/>
        <w:numPr>
          <w:ilvl w:val="0"/>
          <w:numId w:val="40"/>
        </w:numPr>
      </w:pPr>
      <w:r>
        <w:rPr>
          <w:rFonts w:ascii="Calibri" w:hAnsi="Calibri" w:eastAsia="Calibri"/>
          <w:color w:val="202124"/>
        </w:rPr>
        <w:t>Establish PostgreSQL-compatible models, Alembic baseline, environment configuration, and CSRF.</w:t>
      </w:r>
    </w:p>
    <w:p>
      <w:pPr>
        <w:spacing w:after="80" w:line="300" w:lineRule="auto"/>
        <w:keepNext/>
        <w:numPr>
          <w:ilvl w:val="0"/>
          <w:numId w:val="40"/>
        </w:numPr>
      </w:pPr>
      <w:r>
        <w:rPr>
          <w:rFonts w:ascii="Calibri" w:hAnsi="Calibri" w:eastAsia="Calibri"/>
          <w:color w:val="202124"/>
        </w:rPr>
        <w:t>Implement organization hierarchy, scoped roles, project CRUD, components, and lifecycle.</w:t>
      </w:r>
    </w:p>
    <w:p>
      <w:pPr>
        <w:spacing w:after="80" w:line="300" w:lineRule="auto"/>
        <w:keepNext w:val="0"/>
        <w:numPr>
          <w:ilvl w:val="0"/>
          <w:numId w:val="40"/>
        </w:numPr>
      </w:pPr>
      <w:r>
        <w:rPr>
          <w:rFonts w:ascii="Calibri" w:hAnsi="Calibri" w:eastAsia="Calibri"/>
          <w:color w:val="202124"/>
        </w:rPr>
        <w:t>Create the development Docker stack and automated test workflow.</w:t>
      </w:r>
    </w:p>
    <w:p>
      <w:pPr>
        <w:pStyle w:val="Heading3"/>
      </w:pPr>
      <w:r>
        <w:rPr>
          <w:rFonts w:ascii="Calibri" w:hAnsi="Calibri" w:eastAsia="Calibri"/>
          <w:color w:val="202124"/>
        </w:rPr>
        <w:t>Day 2 — operational workflows</w:t>
      </w:r>
    </w:p>
    <w:p>
      <w:pPr>
        <w:spacing w:after="80" w:line="300" w:lineRule="auto"/>
        <w:keepNext/>
        <w:numPr>
          <w:ilvl w:val="0"/>
          <w:numId w:val="41"/>
        </w:numPr>
      </w:pPr>
      <w:r>
        <w:rPr>
          <w:rFonts w:ascii="Calibri" w:hAnsi="Calibri" w:eastAsia="Calibri"/>
          <w:color w:val="202124"/>
        </w:rPr>
        <w:t>Implement people without accounts, teams, tasks, checklist templates/instances, documents, sessions, attendance, contributions, and basic IGP/buddy assignment.</w:t>
      </w:r>
    </w:p>
    <w:p>
      <w:pPr>
        <w:spacing w:after="80" w:line="300" w:lineRule="auto"/>
        <w:keepNext/>
        <w:numPr>
          <w:ilvl w:val="0"/>
          <w:numId w:val="41"/>
        </w:numPr>
      </w:pPr>
      <w:r>
        <w:rPr>
          <w:rFonts w:ascii="Calibri" w:hAnsi="Calibri" w:eastAsia="Calibri"/>
          <w:color w:val="202124"/>
        </w:rPr>
        <w:t>Add staged import for the supplied event summary, Coffee Meet roster/action list, and Summer School checklist.</w:t>
      </w:r>
    </w:p>
    <w:p>
      <w:pPr>
        <w:spacing w:after="80" w:line="300" w:lineRule="auto"/>
        <w:keepNext w:val="0"/>
        <w:numPr>
          <w:ilvl w:val="0"/>
          <w:numId w:val="41"/>
        </w:numPr>
      </w:pPr>
      <w:r>
        <w:rPr>
          <w:rFonts w:ascii="Calibri" w:hAnsi="Calibri" w:eastAsia="Calibri"/>
          <w:color w:val="202124"/>
        </w:rPr>
        <w:t>Build Drive-link metadata validation with a mock mode when production credentials are unavailable.</w:t>
      </w:r>
    </w:p>
    <w:p>
      <w:pPr>
        <w:pStyle w:val="Heading3"/>
      </w:pPr>
      <w:r>
        <w:rPr>
          <w:rFonts w:ascii="Calibri" w:hAnsi="Calibri" w:eastAsia="Calibri"/>
          <w:color w:val="202124"/>
        </w:rPr>
        <w:t>Day 3 — demonstration and evidence</w:t>
      </w:r>
    </w:p>
    <w:p>
      <w:pPr>
        <w:spacing w:after="80" w:line="300" w:lineRule="auto"/>
        <w:keepNext/>
        <w:numPr>
          <w:ilvl w:val="0"/>
          <w:numId w:val="42"/>
        </w:numPr>
      </w:pPr>
      <w:r>
        <w:rPr>
          <w:rFonts w:ascii="Calibri" w:hAnsi="Calibri" w:eastAsia="Calibri"/>
          <w:color w:val="202124"/>
        </w:rPr>
        <w:t>Implement dashboards, closure blockers, event/IGP report previews, audit history, and core exports.</w:t>
      </w:r>
    </w:p>
    <w:p>
      <w:pPr>
        <w:spacing w:after="80" w:line="300" w:lineRule="auto"/>
        <w:keepNext/>
        <w:numPr>
          <w:ilvl w:val="0"/>
          <w:numId w:val="42"/>
        </w:numPr>
      </w:pPr>
      <w:r>
        <w:rPr>
          <w:rFonts w:ascii="Calibri" w:hAnsi="Calibri" w:eastAsia="Calibri"/>
          <w:color w:val="202124"/>
        </w:rPr>
        <w:t>Deploy the demonstrator to a nonproduction Cloud Run service with a development database.</w:t>
      </w:r>
    </w:p>
    <w:p>
      <w:pPr>
        <w:spacing w:after="80" w:line="300" w:lineRule="auto"/>
        <w:keepNext/>
        <w:numPr>
          <w:ilvl w:val="0"/>
          <w:numId w:val="42"/>
        </w:numPr>
      </w:pPr>
      <w:r>
        <w:rPr>
          <w:rFonts w:ascii="Calibri" w:hAnsi="Calibri" w:eastAsia="Calibri"/>
          <w:color w:val="202124"/>
        </w:rPr>
        <w:t>Load validated sample data, execute the demo script, run automated tests, and produce a known-limitations register.</w:t>
      </w:r>
    </w:p>
    <w:p>
      <w:pPr>
        <w:spacing w:after="80" w:line="300" w:lineRule="auto"/>
        <w:keepNext w:val="0"/>
        <w:numPr>
          <w:ilvl w:val="0"/>
          <w:numId w:val="42"/>
        </w:numPr>
      </w:pPr>
      <w:r>
        <w:rPr>
          <w:rFonts w:ascii="Calibri" w:hAnsi="Calibri" w:eastAsia="Calibri"/>
          <w:color w:val="202124"/>
        </w:rPr>
        <w:t xml:space="preserve">Label every screen and environment as </w:t>
      </w:r>
      <w:r>
        <w:rPr>
          <w:rFonts w:ascii="Calibri" w:hAnsi="Calibri" w:eastAsia="Calibri"/>
          <w:b/>
          <w:color w:val="202124"/>
        </w:rPr>
        <w:t>“Demonstrator—Not Production.”</w:t>
      </w:r>
    </w:p>
    <w:p>
      <w:pPr>
        <w:pStyle w:val="Heading2"/>
      </w:pPr>
      <w:r>
        <w:rPr>
          <w:rFonts w:ascii="Calibri" w:hAnsi="Calibri" w:eastAsia="Calibri"/>
          <w:color w:val="202124"/>
        </w:rPr>
        <w:t>9.3 Fourteen-week production program</w:t>
      </w:r>
    </w:p>
    <w:p>
      <w:pPr>
        <w:spacing w:after="80" w:line="300" w:lineRule="auto"/>
        <w:numPr>
          <w:ilvl w:val="0"/>
          <w:numId w:val="43"/>
        </w:numPr>
      </w:pPr>
      <w:r>
        <w:rPr>
          <w:rFonts w:ascii="Calibri" w:hAnsi="Calibri" w:eastAsia="Calibri"/>
          <w:b/>
          <w:color w:val="202124"/>
        </w:rPr>
        <w:t>Week 1:</w:t>
      </w:r>
      <w:r>
        <w:rPr>
          <w:rFonts w:ascii="Calibri" w:hAnsi="Calibri" w:eastAsia="Calibri"/>
          <w:color w:val="202124"/>
        </w:rPr>
        <w:t xml:space="preserve"> stakeholder workflow validation and data dictionary sign-off.</w:t>
      </w:r>
    </w:p>
    <w:p>
      <w:pPr>
        <w:spacing w:after="80" w:line="300" w:lineRule="auto"/>
        <w:numPr>
          <w:ilvl w:val="0"/>
          <w:numId w:val="43"/>
        </w:numPr>
      </w:pPr>
      <w:r>
        <w:rPr>
          <w:rFonts w:ascii="Calibri" w:hAnsi="Calibri" w:eastAsia="Calibri"/>
          <w:b/>
          <w:color w:val="202124"/>
        </w:rPr>
        <w:t>Weeks 2–3:</w:t>
      </w:r>
      <w:r>
        <w:rPr>
          <w:rFonts w:ascii="Calibri" w:hAnsi="Calibri" w:eastAsia="Calibri"/>
          <w:color w:val="202124"/>
        </w:rPr>
        <w:t xml:space="preserve"> production security, infrastructure, migration framework, audit, backup, and restore.</w:t>
      </w:r>
    </w:p>
    <w:p>
      <w:pPr>
        <w:spacing w:after="80" w:line="300" w:lineRule="auto"/>
        <w:numPr>
          <w:ilvl w:val="0"/>
          <w:numId w:val="43"/>
        </w:numPr>
      </w:pPr>
      <w:r>
        <w:rPr>
          <w:rFonts w:ascii="Calibri" w:hAnsi="Calibri" w:eastAsia="Calibri"/>
          <w:b/>
          <w:color w:val="202124"/>
        </w:rPr>
        <w:t>Weeks 4–5:</w:t>
      </w:r>
      <w:r>
        <w:rPr>
          <w:rFonts w:ascii="Calibri" w:hAnsi="Calibri" w:eastAsia="Calibri"/>
          <w:color w:val="202124"/>
        </w:rPr>
        <w:t xml:space="preserve"> organization, identity adapter, scoped RBAC, annual ICC governance.</w:t>
      </w:r>
    </w:p>
    <w:p>
      <w:pPr>
        <w:spacing w:after="80" w:line="300" w:lineRule="auto"/>
        <w:numPr>
          <w:ilvl w:val="0"/>
          <w:numId w:val="43"/>
        </w:numPr>
      </w:pPr>
      <w:r>
        <w:rPr>
          <w:rFonts w:ascii="Calibri" w:hAnsi="Calibri" w:eastAsia="Calibri"/>
          <w:b/>
          <w:color w:val="202124"/>
        </w:rPr>
        <w:t>Weeks 6–7:</w:t>
      </w:r>
      <w:r>
        <w:rPr>
          <w:rFonts w:ascii="Calibri" w:hAnsi="Calibri" w:eastAsia="Calibri"/>
          <w:color w:val="202124"/>
        </w:rPr>
        <w:t xml:space="preserve"> projects, sessions, tasks, checklists, approvals, documents, budgets.</w:t>
      </w:r>
    </w:p>
    <w:p>
      <w:pPr>
        <w:spacing w:after="80" w:line="300" w:lineRule="auto"/>
        <w:numPr>
          <w:ilvl w:val="0"/>
          <w:numId w:val="43"/>
        </w:numPr>
      </w:pPr>
      <w:r>
        <w:rPr>
          <w:rFonts w:ascii="Calibri" w:hAnsi="Calibri" w:eastAsia="Calibri"/>
          <w:b/>
          <w:color w:val="202124"/>
        </w:rPr>
        <w:t>Weeks 8–9:</w:t>
      </w:r>
      <w:r>
        <w:rPr>
          <w:rFonts w:ascii="Calibri" w:hAnsi="Calibri" w:eastAsia="Calibri"/>
          <w:color w:val="202124"/>
        </w:rPr>
        <w:t xml:space="preserve"> people, recruitment, teams, attendance, contribution, imports.</w:t>
      </w:r>
    </w:p>
    <w:p>
      <w:pPr>
        <w:spacing w:after="80" w:line="300" w:lineRule="auto"/>
        <w:numPr>
          <w:ilvl w:val="0"/>
          <w:numId w:val="43"/>
        </w:numPr>
      </w:pPr>
      <w:r>
        <w:rPr>
          <w:rFonts w:ascii="Calibri" w:hAnsi="Calibri" w:eastAsia="Calibri"/>
          <w:b/>
          <w:color w:val="202124"/>
        </w:rPr>
        <w:t>Weeks 10–11:</w:t>
      </w:r>
      <w:r>
        <w:rPr>
          <w:rFonts w:ascii="Calibri" w:hAnsi="Calibri" w:eastAsia="Calibri"/>
          <w:color w:val="202124"/>
        </w:rPr>
        <w:t xml:space="preserve"> IGP cohorts, logistics readiness, buddies, partners, sensitive-link handling.</w:t>
      </w:r>
    </w:p>
    <w:p>
      <w:pPr>
        <w:spacing w:after="80" w:line="300" w:lineRule="auto"/>
        <w:numPr>
          <w:ilvl w:val="0"/>
          <w:numId w:val="43"/>
        </w:numPr>
      </w:pPr>
      <w:r>
        <w:rPr>
          <w:rFonts w:ascii="Calibri" w:hAnsi="Calibri" w:eastAsia="Calibri"/>
          <w:b/>
          <w:color w:val="202124"/>
        </w:rPr>
        <w:t>Week 12:</w:t>
      </w:r>
      <w:r>
        <w:rPr>
          <w:rFonts w:ascii="Calibri" w:hAnsi="Calibri" w:eastAsia="Calibri"/>
          <w:color w:val="202124"/>
        </w:rPr>
        <w:t xml:space="preserve"> feedback, reports, analytics, notifications, and PWA.</w:t>
      </w:r>
    </w:p>
    <w:p>
      <w:pPr>
        <w:spacing w:after="80" w:line="300" w:lineRule="auto"/>
        <w:numPr>
          <w:ilvl w:val="0"/>
          <w:numId w:val="43"/>
        </w:numPr>
      </w:pPr>
      <w:r>
        <w:rPr>
          <w:rFonts w:ascii="Calibri" w:hAnsi="Calibri" w:eastAsia="Calibri"/>
          <w:b/>
          <w:color w:val="202124"/>
        </w:rPr>
        <w:t>Week 13:</w:t>
      </w:r>
      <w:r>
        <w:rPr>
          <w:rFonts w:ascii="Calibri" w:hAnsi="Calibri" w:eastAsia="Calibri"/>
          <w:color w:val="202124"/>
        </w:rPr>
        <w:t xml:space="preserve"> migration rehearsal and ICC/IGP pilot.</w:t>
      </w:r>
    </w:p>
    <w:p>
      <w:pPr>
        <w:spacing w:after="80" w:line="300" w:lineRule="auto"/>
        <w:keepNext w:val="0"/>
        <w:numPr>
          <w:ilvl w:val="0"/>
          <w:numId w:val="43"/>
        </w:numPr>
      </w:pPr>
      <w:r>
        <w:rPr>
          <w:rFonts w:ascii="Calibri" w:hAnsi="Calibri" w:eastAsia="Calibri"/>
          <w:b/>
          <w:color w:val="202124"/>
        </w:rPr>
        <w:t>Week 14:</w:t>
      </w:r>
      <w:r>
        <w:rPr>
          <w:rFonts w:ascii="Calibri" w:hAnsi="Calibri" w:eastAsia="Calibri"/>
          <w:color w:val="202124"/>
        </w:rPr>
        <w:t xml:space="preserve"> accessibility, performance, security, restore drill, training, and release sign-off.</w:t>
      </w:r>
    </w:p>
    <w:p>
      <w:pPr>
        <w:pStyle w:val="Heading1"/>
      </w:pPr>
      <w:r>
        <w:rPr>
          <w:rFonts w:ascii="Calibri" w:hAnsi="Calibri" w:eastAsia="Calibri"/>
          <w:color w:val="202124"/>
        </w:rPr>
        <w:t>10. Data migration and reconciliation</w:t>
      </w:r>
    </w:p>
    <w:p>
      <w:pPr>
        <w:spacing w:after="80" w:line="300" w:lineRule="auto"/>
        <w:numPr>
          <w:ilvl w:val="0"/>
          <w:numId w:val="44"/>
        </w:numPr>
      </w:pPr>
      <w:r>
        <w:rPr>
          <w:rFonts w:ascii="Calibri" w:hAnsi="Calibri" w:eastAsia="Calibri"/>
          <w:color w:val="202124"/>
        </w:rPr>
        <w:t>Build a fresh production database.</w:t>
      </w:r>
    </w:p>
    <w:p>
      <w:pPr>
        <w:spacing w:after="80" w:line="300" w:lineRule="auto"/>
        <w:numPr>
          <w:ilvl w:val="0"/>
          <w:numId w:val="44"/>
        </w:numPr>
      </w:pPr>
      <w:r>
        <w:rPr>
          <w:rFonts w:ascii="Calibri" w:hAnsi="Calibri" w:eastAsia="Calibri"/>
          <w:color w:val="202124"/>
        </w:rPr>
        <w:t>Preserve v2 synthetic records only in fixtures.</w:t>
      </w:r>
    </w:p>
    <w:p>
      <w:pPr>
        <w:spacing w:after="80" w:line="300" w:lineRule="auto"/>
        <w:numPr>
          <w:ilvl w:val="0"/>
          <w:numId w:val="44"/>
        </w:numPr>
      </w:pPr>
      <w:r>
        <w:rPr>
          <w:rFonts w:ascii="Calibri" w:hAnsi="Calibri" w:eastAsia="Calibri"/>
          <w:color w:val="202124"/>
        </w:rPr>
        <w:t>Normalize campuses, project names, roles, wings, countries, categories, programme names, and document types through controlled mapping tables.</w:t>
      </w:r>
    </w:p>
    <w:p>
      <w:pPr>
        <w:spacing w:after="80" w:line="300" w:lineRule="auto"/>
        <w:numPr>
          <w:ilvl w:val="0"/>
          <w:numId w:val="44"/>
        </w:numPr>
      </w:pPr>
      <w:r>
        <w:rPr>
          <w:rFonts w:ascii="Calibri" w:hAnsi="Calibri" w:eastAsia="Calibri"/>
          <w:color w:val="202124"/>
        </w:rPr>
        <w:t>Stage every source workbook; never write source rows directly into production tables.</w:t>
      </w:r>
    </w:p>
    <w:p>
      <w:pPr>
        <w:spacing w:after="80" w:line="300" w:lineRule="auto"/>
        <w:numPr>
          <w:ilvl w:val="0"/>
          <w:numId w:val="44"/>
        </w:numPr>
      </w:pPr>
      <w:r>
        <w:rPr>
          <w:rFonts w:ascii="Calibri" w:hAnsi="Calibri" w:eastAsia="Calibri"/>
          <w:color w:val="202124"/>
        </w:rPr>
        <w:t>Resolve people using registration number first, approved email second, and reviewed name/program matching last.</w:t>
      </w:r>
    </w:p>
    <w:p>
      <w:pPr>
        <w:spacing w:after="80" w:line="300" w:lineRule="auto"/>
        <w:numPr>
          <w:ilvl w:val="0"/>
          <w:numId w:val="44"/>
        </w:numPr>
      </w:pPr>
      <w:r>
        <w:rPr>
          <w:rFonts w:ascii="Calibri" w:hAnsi="Calibri" w:eastAsia="Calibri"/>
          <w:color w:val="202124"/>
        </w:rPr>
        <w:t>Preserve source file, sheet, row, import batch, and transformation notes for audit.</w:t>
      </w:r>
    </w:p>
    <w:p>
      <w:pPr>
        <w:spacing w:after="80" w:line="300" w:lineRule="auto"/>
        <w:numPr>
          <w:ilvl w:val="0"/>
          <w:numId w:val="44"/>
        </w:numPr>
      </w:pPr>
      <w:r>
        <w:rPr>
          <w:rFonts w:ascii="Calibri" w:hAnsi="Calibri" w:eastAsia="Calibri"/>
          <w:color w:val="202124"/>
        </w:rPr>
        <w:t>Reconcile event count, participant count, volunteer count, attendance, documents, checklist items, and Drive links.</w:t>
      </w:r>
    </w:p>
    <w:p>
      <w:pPr>
        <w:spacing w:after="80" w:line="300" w:lineRule="auto"/>
        <w:numPr>
          <w:ilvl w:val="0"/>
          <w:numId w:val="44"/>
        </w:numPr>
      </w:pPr>
      <w:r>
        <w:rPr>
          <w:rFonts w:ascii="Calibri" w:hAnsi="Calibri" w:eastAsia="Calibri"/>
          <w:color w:val="202124"/>
        </w:rPr>
        <w:t>Run imports twice in staging to prove idempotency.</w:t>
      </w:r>
    </w:p>
    <w:p>
      <w:pPr>
        <w:spacing w:after="80" w:line="300" w:lineRule="auto"/>
        <w:keepNext w:val="0"/>
        <w:numPr>
          <w:ilvl w:val="0"/>
          <w:numId w:val="44"/>
        </w:numPr>
      </w:pPr>
      <w:r>
        <w:rPr>
          <w:rFonts w:ascii="Calibri" w:hAnsi="Calibri" w:eastAsia="Calibri"/>
          <w:color w:val="202124"/>
        </w:rPr>
        <w:t>The product owner signs the reconciliation report before production commit.</w:t>
      </w:r>
    </w:p>
    <w:p>
      <w:pPr>
        <w:pStyle w:val="Heading2"/>
      </w:pPr>
      <w:r>
        <w:rPr>
          <w:rFonts w:ascii="Calibri" w:hAnsi="Calibri" w:eastAsia="Calibri"/>
          <w:color w:val="202124"/>
        </w:rPr>
        <w:t>10.1 Supplied-data acceptance targets</w:t>
      </w:r>
    </w:p>
    <w:p>
      <w:pPr>
        <w:spacing w:after="80" w:line="300" w:lineRule="auto"/>
        <w:keepNext/>
        <w:numPr>
          <w:ilvl w:val="0"/>
          <w:numId w:val="45"/>
        </w:numPr>
      </w:pPr>
      <w:r>
        <w:rPr>
          <w:rFonts w:ascii="Calibri" w:hAnsi="Calibri" w:eastAsia="Calibri"/>
          <w:b/>
          <w:color w:val="202124"/>
        </w:rPr>
        <w:t>2026 ICC Events Report Summary:</w:t>
      </w:r>
      <w:r>
        <w:rPr>
          <w:rFonts w:ascii="Calibri" w:hAnsi="Calibri" w:eastAsia="Calibri"/>
          <w:color w:val="202124"/>
        </w:rPr>
        <w:t xml:space="preserve"> every source event is staged, mapped to campus/type/status, validated, and either committed or listed with a review reason.</w:t>
      </w:r>
    </w:p>
    <w:p>
      <w:pPr>
        <w:spacing w:after="80" w:line="300" w:lineRule="auto"/>
        <w:keepNext/>
        <w:numPr>
          <w:ilvl w:val="0"/>
          <w:numId w:val="45"/>
        </w:numPr>
      </w:pPr>
      <w:r>
        <w:rPr>
          <w:rFonts w:ascii="Calibri" w:hAnsi="Calibri" w:eastAsia="Calibri"/>
          <w:b/>
          <w:color w:val="202124"/>
        </w:rPr>
        <w:t>Coffee Meet &amp; Greet folder:</w:t>
      </w:r>
      <w:r>
        <w:rPr>
          <w:rFonts w:ascii="Calibri" w:hAnsi="Calibri" w:eastAsia="Calibri"/>
          <w:color w:val="202124"/>
        </w:rPr>
        <w:t xml:space="preserve"> the system reproduces its 31-person core/volunteer roster, action list, schedule, document index, audience totals, and approved narrative report.</w:t>
      </w:r>
    </w:p>
    <w:p>
      <w:pPr>
        <w:spacing w:after="80" w:line="300" w:lineRule="auto"/>
        <w:keepNext w:val="0"/>
        <w:numPr>
          <w:ilvl w:val="0"/>
          <w:numId w:val="45"/>
        </w:numPr>
      </w:pPr>
      <w:r>
        <w:rPr>
          <w:rFonts w:ascii="Calibri" w:hAnsi="Calibri" w:eastAsia="Calibri"/>
          <w:b/>
          <w:color w:val="202124"/>
        </w:rPr>
        <w:t>Summer School checklist:</w:t>
      </w:r>
      <w:r>
        <w:rPr>
          <w:rFonts w:ascii="Calibri" w:hAnsi="Calibri" w:eastAsia="Calibri"/>
          <w:color w:val="202124"/>
        </w:rPr>
        <w:t xml:space="preserve"> every source checklist requirement is represented with owner/contact, status, evidence/reference, due date where available, approval/waiver state, and source-row provenance.</w:t>
      </w:r>
    </w:p>
    <w:p>
      <w:pPr>
        <w:pStyle w:val="Heading1"/>
      </w:pPr>
      <w:r>
        <w:rPr>
          <w:rFonts w:ascii="Calibri" w:hAnsi="Calibri" w:eastAsia="Calibri"/>
          <w:color w:val="202124"/>
        </w:rPr>
        <w:t>11. Pilot, training, and go-live</w:t>
      </w:r>
    </w:p>
    <w:p>
      <w:pPr>
        <w:spacing w:after="80" w:line="300" w:lineRule="auto"/>
        <w:keepNext/>
        <w:numPr>
          <w:ilvl w:val="0"/>
          <w:numId w:val="46"/>
        </w:numPr>
      </w:pPr>
      <w:r>
        <w:rPr>
          <w:rFonts w:ascii="Calibri" w:hAnsi="Calibri" w:eastAsia="Calibri"/>
          <w:color w:val="202124"/>
        </w:rPr>
        <w:t>Pilot one ICC event from planning through closure.</w:t>
      </w:r>
    </w:p>
    <w:p>
      <w:pPr>
        <w:spacing w:after="80" w:line="300" w:lineRule="auto"/>
        <w:keepNext/>
        <w:numPr>
          <w:ilvl w:val="0"/>
          <w:numId w:val="46"/>
        </w:numPr>
      </w:pPr>
      <w:r>
        <w:rPr>
          <w:rFonts w:ascii="Calibri" w:hAnsi="Calibri" w:eastAsia="Calibri"/>
          <w:color w:val="202124"/>
        </w:rPr>
        <w:t>Pilot one IGP program from recruitment/checklist creation through final report.</w:t>
      </w:r>
    </w:p>
    <w:p>
      <w:pPr>
        <w:spacing w:after="80" w:line="300" w:lineRule="auto"/>
        <w:keepNext/>
        <w:numPr>
          <w:ilvl w:val="0"/>
          <w:numId w:val="46"/>
        </w:numPr>
      </w:pPr>
      <w:r>
        <w:rPr>
          <w:rFonts w:ascii="Calibri" w:hAnsi="Calibri" w:eastAsia="Calibri"/>
          <w:color w:val="202124"/>
        </w:rPr>
        <w:t>Train faculty, ICC heads, IGP heads, associates, and volunteers using role-specific guides.</w:t>
      </w:r>
    </w:p>
    <w:p>
      <w:pPr>
        <w:spacing w:after="80" w:line="300" w:lineRule="auto"/>
        <w:keepNext/>
        <w:numPr>
          <w:ilvl w:val="0"/>
          <w:numId w:val="46"/>
        </w:numPr>
      </w:pPr>
      <w:r>
        <w:rPr>
          <w:rFonts w:ascii="Calibri" w:hAnsi="Calibri" w:eastAsia="Calibri"/>
          <w:color w:val="202124"/>
        </w:rPr>
        <w:t>Provide a support process, incident owner, rollback procedure, and seven-day hypercare period.</w:t>
      </w:r>
    </w:p>
    <w:p>
      <w:pPr>
        <w:spacing w:after="80" w:line="300" w:lineRule="auto"/>
        <w:keepNext w:val="0"/>
        <w:numPr>
          <w:ilvl w:val="0"/>
          <w:numId w:val="46"/>
        </w:numPr>
      </w:pPr>
      <w:r>
        <w:rPr>
          <w:rFonts w:ascii="Calibri" w:hAnsi="Calibri" w:eastAsia="Calibri"/>
          <w:color w:val="202124"/>
        </w:rPr>
        <w:t>Production approval requires signatures from the product owner, OIA faculty owner, ICC head, and IGP head.</w:t>
      </w:r>
    </w:p>
    <w:p>
      <w:pPr>
        <w:pStyle w:val="Heading2"/>
      </w:pPr>
      <w:r>
        <w:rPr>
          <w:rFonts w:ascii="Calibri" w:hAnsi="Calibri" w:eastAsia="Calibri"/>
          <w:color w:val="202124"/>
        </w:rPr>
        <w:t>11.1 Release gates</w:t>
      </w:r>
    </w:p>
    <w:tbl>
      <w:tblPr>
        <w:tblW w:type="dxa" w:w="9360"/>
        <w:jc w:val="left"/>
        <w:tblLayout w:type="fixed"/>
        <w:tblLook w:firstColumn="1" w:firstRow="1" w:lastColumn="0" w:lastRow="0" w:noHBand="0" w:noVBand="1" w:val="04A0"/>
        <w:tblInd w:w="120" w:type="dxa"/>
        <w:tblBorders>
          <w:top w:val="single" w:sz="4" w:space="0" w:color="B9C4D0"/>
          <w:left w:val="single" w:sz="4" w:space="0" w:color="B9C4D0"/>
          <w:bottom w:val="single" w:sz="4" w:space="0" w:color="B9C4D0"/>
          <w:right w:val="single" w:sz="4" w:space="0" w:color="B9C4D0"/>
          <w:insideH w:val="single" w:sz="4" w:space="0" w:color="B9C4D0"/>
          <w:insideV w:val="single" w:sz="4" w:space="0" w:color="B9C4D0"/>
        </w:tblBorders>
      </w:tblPr>
      <w:tblGrid>
        <w:gridCol w:w="1800"/>
        <w:gridCol w:w="4900"/>
        <w:gridCol w:w="2660"/>
      </w:tblGrid>
      <w:tr>
        <w:trPr>
          <w:tblHeader w:val="true"/>
          <w:cantSplit/>
        </w:trPr>
        <w:tc>
          <w:tcPr>
            <w:tcW w:type="dxa" w:w="180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Gate</w:t>
            </w:r>
          </w:p>
        </w:tc>
        <w:tc>
          <w:tcPr>
            <w:tcW w:type="dxa" w:w="490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Evidence</w:t>
            </w:r>
          </w:p>
        </w:tc>
        <w:tc>
          <w:tcPr>
            <w:tcW w:type="dxa" w:w="266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Required approver</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eastAsia="Calibri"/>
                <w:color w:val="202124"/>
                <w:sz w:val="18"/>
              </w:rPr>
              <w:t>Workflow validation</w:t>
            </w:r>
          </w:p>
        </w:tc>
        <w:tc>
          <w:tcPr>
            <w:tcW w:type="dxa" w:w="4900"/>
            <w:tcMar>
              <w:top w:w="80" w:type="dxa"/>
              <w:start w:w="120" w:type="dxa"/>
              <w:bottom w:w="80" w:type="dxa"/>
              <w:end w:w="120" w:type="dxa"/>
            </w:tcMar>
            <w:vAlign w:val="center"/>
          </w:tcPr>
          <w:p>
            <w:pPr>
              <w:spacing w:after="0" w:line="252" w:lineRule="auto"/>
            </w:pPr>
            <w:r>
              <w:rPr>
                <w:rFonts w:ascii="Calibri" w:hAnsi="Calibri" w:eastAsia="Calibri"/>
                <w:color w:val="202124"/>
                <w:sz w:val="18"/>
              </w:rPr>
              <w:t>Signed workflows and data dictionary</w:t>
            </w:r>
          </w:p>
        </w:tc>
        <w:tc>
          <w:tcPr>
            <w:tcW w:type="dxa" w:w="2660"/>
            <w:tcMar>
              <w:top w:w="80" w:type="dxa"/>
              <w:start w:w="120" w:type="dxa"/>
              <w:bottom w:w="80" w:type="dxa"/>
              <w:end w:w="120" w:type="dxa"/>
            </w:tcMar>
            <w:vAlign w:val="center"/>
          </w:tcPr>
          <w:p>
            <w:pPr>
              <w:spacing w:after="0" w:line="252" w:lineRule="auto"/>
            </w:pPr>
            <w:r>
              <w:rPr>
                <w:rFonts w:ascii="Calibri" w:hAnsi="Calibri" w:eastAsia="Calibri"/>
                <w:color w:val="202124"/>
                <w:sz w:val="18"/>
              </w:rPr>
              <w:t>Product owner + OIA faculty</w:t>
            </w:r>
          </w:p>
        </w:tc>
      </w:tr>
      <w:tr>
        <w:trPr>
          <w:cantSplit/>
        </w:trPr>
        <w:tc>
          <w:tcPr>
            <w:tcW w:type="dxa" w:w="18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Security and privacy</w:t>
            </w:r>
          </w:p>
        </w:tc>
        <w:tc>
          <w:tcPr>
            <w:tcW w:type="dxa" w:w="49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Threat review, authorization tests, no critical/high findings</w:t>
            </w:r>
          </w:p>
        </w:tc>
        <w:tc>
          <w:tcPr>
            <w:tcW w:type="dxa" w:w="26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OIA faculty + technical owner</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eastAsia="Calibri"/>
                <w:color w:val="202124"/>
                <w:sz w:val="18"/>
              </w:rPr>
              <w:t>Migration rehearsal</w:t>
            </w:r>
          </w:p>
        </w:tc>
        <w:tc>
          <w:tcPr>
            <w:tcW w:type="dxa" w:w="4900"/>
            <w:tcMar>
              <w:top w:w="80" w:type="dxa"/>
              <w:start w:w="120" w:type="dxa"/>
              <w:bottom w:w="80" w:type="dxa"/>
              <w:end w:w="120" w:type="dxa"/>
            </w:tcMar>
            <w:vAlign w:val="center"/>
          </w:tcPr>
          <w:p>
            <w:pPr>
              <w:spacing w:after="0" w:line="252" w:lineRule="auto"/>
            </w:pPr>
            <w:r>
              <w:rPr>
                <w:rFonts w:ascii="Calibri" w:hAnsi="Calibri" w:eastAsia="Calibri"/>
                <w:color w:val="202124"/>
                <w:sz w:val="18"/>
              </w:rPr>
              <w:t>Reconciliation report and idempotent staging runs</w:t>
            </w:r>
          </w:p>
        </w:tc>
        <w:tc>
          <w:tcPr>
            <w:tcW w:type="dxa" w:w="2660"/>
            <w:tcMar>
              <w:top w:w="80" w:type="dxa"/>
              <w:start w:w="120" w:type="dxa"/>
              <w:bottom w:w="80" w:type="dxa"/>
              <w:end w:w="120" w:type="dxa"/>
            </w:tcMar>
            <w:vAlign w:val="center"/>
          </w:tcPr>
          <w:p>
            <w:pPr>
              <w:spacing w:after="0" w:line="252" w:lineRule="auto"/>
            </w:pPr>
            <w:r>
              <w:rPr>
                <w:rFonts w:ascii="Calibri" w:hAnsi="Calibri" w:eastAsia="Calibri"/>
                <w:color w:val="202124"/>
                <w:sz w:val="18"/>
              </w:rPr>
              <w:t>Product owner</w:t>
            </w:r>
          </w:p>
        </w:tc>
      </w:tr>
      <w:tr>
        <w:trPr>
          <w:cantSplit/>
        </w:trPr>
        <w:tc>
          <w:tcPr>
            <w:tcW w:type="dxa" w:w="18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ICC pilot</w:t>
            </w:r>
          </w:p>
        </w:tc>
        <w:tc>
          <w:tcPr>
            <w:tcW w:type="dxa" w:w="49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Completed project with approved closure report</w:t>
            </w:r>
          </w:p>
        </w:tc>
        <w:tc>
          <w:tcPr>
            <w:tcW w:type="dxa" w:w="26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ICC head + OIA faculty</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eastAsia="Calibri"/>
                <w:color w:val="202124"/>
                <w:sz w:val="18"/>
              </w:rPr>
              <w:t>IGP pilot</w:t>
            </w:r>
          </w:p>
        </w:tc>
        <w:tc>
          <w:tcPr>
            <w:tcW w:type="dxa" w:w="4900"/>
            <w:tcMar>
              <w:top w:w="80" w:type="dxa"/>
              <w:start w:w="120" w:type="dxa"/>
              <w:bottom w:w="80" w:type="dxa"/>
              <w:end w:w="120" w:type="dxa"/>
            </w:tcMar>
            <w:vAlign w:val="center"/>
          </w:tcPr>
          <w:p>
            <w:pPr>
              <w:spacing w:after="0" w:line="252" w:lineRule="auto"/>
            </w:pPr>
            <w:r>
              <w:rPr>
                <w:rFonts w:ascii="Calibri" w:hAnsi="Calibri" w:eastAsia="Calibri"/>
                <w:color w:val="202124"/>
                <w:sz w:val="18"/>
              </w:rPr>
              <w:t>Completed program/checklist report</w:t>
            </w:r>
          </w:p>
        </w:tc>
        <w:tc>
          <w:tcPr>
            <w:tcW w:type="dxa" w:w="2660"/>
            <w:tcMar>
              <w:top w:w="80" w:type="dxa"/>
              <w:start w:w="120" w:type="dxa"/>
              <w:bottom w:w="80" w:type="dxa"/>
              <w:end w:w="120" w:type="dxa"/>
            </w:tcMar>
            <w:vAlign w:val="center"/>
          </w:tcPr>
          <w:p>
            <w:pPr>
              <w:spacing w:after="0" w:line="252" w:lineRule="auto"/>
            </w:pPr>
            <w:r>
              <w:rPr>
                <w:rFonts w:ascii="Calibri" w:hAnsi="Calibri" w:eastAsia="Calibri"/>
                <w:color w:val="202124"/>
                <w:sz w:val="18"/>
              </w:rPr>
              <w:t>IGP head + OIA faculty</w:t>
            </w:r>
          </w:p>
        </w:tc>
      </w:tr>
      <w:tr>
        <w:trPr>
          <w:cantSplit/>
        </w:trPr>
        <w:tc>
          <w:tcPr>
            <w:tcW w:type="dxa" w:w="18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Recovery readiness</w:t>
            </w:r>
          </w:p>
        </w:tc>
        <w:tc>
          <w:tcPr>
            <w:tcW w:type="dxa" w:w="49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Backup restore and rollback evidence</w:t>
            </w:r>
          </w:p>
        </w:tc>
        <w:tc>
          <w:tcPr>
            <w:tcW w:type="dxa" w:w="26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Technical owner</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eastAsia="Calibri"/>
                <w:color w:val="202124"/>
                <w:sz w:val="18"/>
              </w:rPr>
              <w:t>Production acceptance</w:t>
            </w:r>
          </w:p>
        </w:tc>
        <w:tc>
          <w:tcPr>
            <w:tcW w:type="dxa" w:w="4900"/>
            <w:tcMar>
              <w:top w:w="80" w:type="dxa"/>
              <w:start w:w="120" w:type="dxa"/>
              <w:bottom w:w="80" w:type="dxa"/>
              <w:end w:w="120" w:type="dxa"/>
            </w:tcMar>
            <w:vAlign w:val="center"/>
          </w:tcPr>
          <w:p>
            <w:pPr>
              <w:spacing w:after="0" w:line="252" w:lineRule="auto"/>
            </w:pPr>
            <w:r>
              <w:rPr>
                <w:rFonts w:ascii="Calibri" w:hAnsi="Calibri" w:eastAsia="Calibri"/>
                <w:color w:val="202124"/>
                <w:sz w:val="18"/>
              </w:rPr>
              <w:t>Acceptance matrix with no blocking failures</w:t>
            </w:r>
          </w:p>
        </w:tc>
        <w:tc>
          <w:tcPr>
            <w:tcW w:type="dxa" w:w="2660"/>
            <w:tcMar>
              <w:top w:w="80" w:type="dxa"/>
              <w:start w:w="120" w:type="dxa"/>
              <w:bottom w:w="80" w:type="dxa"/>
              <w:end w:w="120" w:type="dxa"/>
            </w:tcMar>
            <w:vAlign w:val="center"/>
          </w:tcPr>
          <w:p>
            <w:pPr>
              <w:spacing w:after="0" w:line="252" w:lineRule="auto"/>
            </w:pPr>
            <w:r>
              <w:rPr>
                <w:rFonts w:ascii="Calibri" w:hAnsi="Calibri" w:eastAsia="Calibri"/>
                <w:color w:val="202124"/>
                <w:sz w:val="18"/>
              </w:rPr>
              <w:t>All four release approvers</w:t>
            </w:r>
          </w:p>
        </w:tc>
      </w:tr>
    </w:tbl>
    <w:p>
      <w:pPr>
        <w:spacing w:after="20"/>
      </w:pPr>
    </w:p>
    <w:p>
      <w:pPr>
        <w:pStyle w:val="Heading1"/>
      </w:pPr>
      <w:r>
        <w:rPr>
          <w:rFonts w:ascii="Calibri" w:hAnsi="Calibri" w:eastAsia="Calibri"/>
          <w:color w:val="202124"/>
        </w:rPr>
        <w:t>12. Test and acceptance plan</w:t>
      </w:r>
    </w:p>
    <w:p>
      <w:pPr>
        <w:pStyle w:val="Heading2"/>
      </w:pPr>
      <w:r>
        <w:rPr>
          <w:rFonts w:ascii="Calibri" w:hAnsi="Calibri" w:eastAsia="Calibri"/>
          <w:color w:val="202124"/>
        </w:rPr>
        <w:t>12.1 Automated testing</w:t>
      </w:r>
    </w:p>
    <w:p>
      <w:pPr>
        <w:spacing w:after="80" w:line="300" w:lineRule="auto"/>
        <w:numPr>
          <w:ilvl w:val="0"/>
          <w:numId w:val="47"/>
        </w:numPr>
      </w:pPr>
      <w:r>
        <w:rPr>
          <w:rFonts w:ascii="Calibri" w:hAnsi="Calibri" w:eastAsia="Calibri"/>
          <w:color w:val="202124"/>
        </w:rPr>
        <w:t>Unit tests for lifecycle rules, permissions, checklist gates, imports, calculations, and report compilation.</w:t>
      </w:r>
    </w:p>
    <w:p>
      <w:pPr>
        <w:spacing w:after="80" w:line="300" w:lineRule="auto"/>
        <w:numPr>
          <w:ilvl w:val="0"/>
          <w:numId w:val="47"/>
        </w:numPr>
      </w:pPr>
      <w:r>
        <w:rPr>
          <w:rFonts w:ascii="Calibri" w:hAnsi="Calibri" w:eastAsia="Calibri"/>
          <w:color w:val="202124"/>
        </w:rPr>
        <w:t>Integration tests against PostgreSQL and mocked Drive/email services.</w:t>
      </w:r>
    </w:p>
    <w:p>
      <w:pPr>
        <w:spacing w:after="80" w:line="300" w:lineRule="auto"/>
        <w:numPr>
          <w:ilvl w:val="0"/>
          <w:numId w:val="47"/>
        </w:numPr>
      </w:pPr>
      <w:r>
        <w:rPr>
          <w:rFonts w:ascii="Calibri" w:hAnsi="Calibri" w:eastAsia="Calibri"/>
          <w:color w:val="202124"/>
        </w:rPr>
        <w:t>End-to-end browser tests for every role’s critical journey.</w:t>
      </w:r>
    </w:p>
    <w:p>
      <w:pPr>
        <w:spacing w:after="80" w:line="300" w:lineRule="auto"/>
        <w:numPr>
          <w:ilvl w:val="0"/>
          <w:numId w:val="47"/>
        </w:numPr>
      </w:pPr>
      <w:r>
        <w:rPr>
          <w:rFonts w:ascii="Calibri" w:hAnsi="Calibri" w:eastAsia="Calibri"/>
          <w:color w:val="202124"/>
        </w:rPr>
        <w:t>Minimum 80% service-layer coverage and complete coverage of authorization decisions.</w:t>
      </w:r>
    </w:p>
    <w:p>
      <w:pPr>
        <w:spacing w:after="80" w:line="300" w:lineRule="auto"/>
        <w:numPr>
          <w:ilvl w:val="0"/>
          <w:numId w:val="47"/>
        </w:numPr>
      </w:pPr>
      <w:r>
        <w:rPr>
          <w:rFonts w:ascii="Calibri" w:hAnsi="Calibri" w:eastAsia="Calibri"/>
          <w:color w:val="202124"/>
        </w:rPr>
        <w:t>Security scans for dependencies, secrets, unsafe queries, CSRF, IDOR, session fixation, rate limits, and privilege escalation.</w:t>
      </w:r>
    </w:p>
    <w:p>
      <w:pPr>
        <w:spacing w:after="80" w:line="300" w:lineRule="auto"/>
        <w:numPr>
          <w:ilvl w:val="0"/>
          <w:numId w:val="47"/>
        </w:numPr>
      </w:pPr>
      <w:r>
        <w:rPr>
          <w:rFonts w:ascii="Calibri" w:hAnsi="Calibri" w:eastAsia="Calibri"/>
          <w:color w:val="202124"/>
        </w:rPr>
        <w:t>Load tests for 200 concurrent users and large attendance/import batches.</w:t>
      </w:r>
    </w:p>
    <w:p>
      <w:pPr>
        <w:spacing w:after="80" w:line="300" w:lineRule="auto"/>
        <w:numPr>
          <w:ilvl w:val="0"/>
          <w:numId w:val="47"/>
        </w:numPr>
      </w:pPr>
      <w:r>
        <w:rPr>
          <w:rFonts w:ascii="Calibri" w:hAnsi="Calibri" w:eastAsia="Calibri"/>
          <w:color w:val="202124"/>
        </w:rPr>
        <w:t>Accessibility testing with automated checks plus keyboard and screen-reader review.</w:t>
      </w:r>
    </w:p>
    <w:p>
      <w:pPr>
        <w:spacing w:after="80" w:line="300" w:lineRule="auto"/>
        <w:numPr>
          <w:ilvl w:val="0"/>
          <w:numId w:val="47"/>
        </w:numPr>
      </w:pPr>
      <w:r>
        <w:rPr>
          <w:rFonts w:ascii="Calibri" w:hAnsi="Calibri" w:eastAsia="Calibri"/>
          <w:color w:val="202124"/>
        </w:rPr>
        <w:t>Backup restoration and point-in-time recovery drill.</w:t>
      </w:r>
    </w:p>
    <w:p>
      <w:pPr>
        <w:spacing w:after="80" w:line="300" w:lineRule="auto"/>
        <w:keepNext w:val="0"/>
        <w:numPr>
          <w:ilvl w:val="0"/>
          <w:numId w:val="47"/>
        </w:numPr>
      </w:pPr>
      <w:r>
        <w:rPr>
          <w:rFonts w:ascii="Calibri" w:hAnsi="Calibri" w:eastAsia="Calibri"/>
          <w:color w:val="202124"/>
        </w:rPr>
        <w:t>PDF/XLSX/DOCX output rendering and reconciliation tests.</w:t>
      </w:r>
    </w:p>
    <w:p>
      <w:pPr>
        <w:pStyle w:val="Heading2"/>
      </w:pPr>
      <w:r>
        <w:rPr>
          <w:rFonts w:ascii="Calibri" w:hAnsi="Calibri" w:eastAsia="Calibri"/>
          <w:color w:val="202124"/>
        </w:rPr>
        <w:t>12.2 Required scenarios</w:t>
      </w:r>
    </w:p>
    <w:p>
      <w:pPr>
        <w:spacing w:after="80" w:line="300" w:lineRule="auto"/>
        <w:numPr>
          <w:ilvl w:val="0"/>
          <w:numId w:val="48"/>
        </w:numPr>
      </w:pPr>
      <w:r>
        <w:rPr>
          <w:rFonts w:ascii="Calibri" w:hAnsi="Calibri" w:eastAsia="Calibri"/>
          <w:color w:val="202124"/>
        </w:rPr>
        <w:t>ICC head cannot approve IGP work without a separate assignment.</w:t>
      </w:r>
    </w:p>
    <w:p>
      <w:pPr>
        <w:spacing w:after="80" w:line="300" w:lineRule="auto"/>
        <w:numPr>
          <w:ilvl w:val="0"/>
          <w:numId w:val="48"/>
        </w:numPr>
      </w:pPr>
      <w:r>
        <w:rPr>
          <w:rFonts w:ascii="Calibri" w:hAnsi="Calibri" w:eastAsia="Calibri"/>
          <w:color w:val="202124"/>
        </w:rPr>
        <w:t>Campus-scoped faculty cannot access another campus’s restricted records.</w:t>
      </w:r>
    </w:p>
    <w:p>
      <w:pPr>
        <w:spacing w:after="80" w:line="300" w:lineRule="auto"/>
        <w:numPr>
          <w:ilvl w:val="0"/>
          <w:numId w:val="48"/>
        </w:numPr>
      </w:pPr>
      <w:r>
        <w:rPr>
          <w:rFonts w:ascii="Calibri" w:hAnsi="Calibri" w:eastAsia="Calibri"/>
          <w:color w:val="202124"/>
        </w:rPr>
        <w:t>Volunteer sees only assigned projects and personal records.</w:t>
      </w:r>
    </w:p>
    <w:p>
      <w:pPr>
        <w:spacing w:after="80" w:line="300" w:lineRule="auto"/>
        <w:numPr>
          <w:ilvl w:val="0"/>
          <w:numId w:val="48"/>
        </w:numPr>
      </w:pPr>
      <w:r>
        <w:rPr>
          <w:rFonts w:ascii="Calibri" w:hAnsi="Calibri" w:eastAsia="Calibri"/>
          <w:color w:val="202124"/>
        </w:rPr>
        <w:t>A participant can exist and attend without an account.</w:t>
      </w:r>
    </w:p>
    <w:p>
      <w:pPr>
        <w:spacing w:after="80" w:line="300" w:lineRule="auto"/>
        <w:numPr>
          <w:ilvl w:val="0"/>
          <w:numId w:val="48"/>
        </w:numPr>
      </w:pPr>
      <w:r>
        <w:rPr>
          <w:rFonts w:ascii="Calibri" w:hAnsi="Calibri" w:eastAsia="Calibri"/>
          <w:color w:val="202124"/>
        </w:rPr>
        <w:t>Duplicate person and attendance imports are rejected or reconciled.</w:t>
      </w:r>
    </w:p>
    <w:p>
      <w:pPr>
        <w:spacing w:after="80" w:line="300" w:lineRule="auto"/>
        <w:numPr>
          <w:ilvl w:val="0"/>
          <w:numId w:val="48"/>
        </w:numPr>
      </w:pPr>
      <w:r>
        <w:rPr>
          <w:rFonts w:ascii="Calibri" w:hAnsi="Calibri" w:eastAsia="Calibri"/>
          <w:color w:val="202124"/>
        </w:rPr>
        <w:t>Attendance and contribution remain independent.</w:t>
      </w:r>
    </w:p>
    <w:p>
      <w:pPr>
        <w:spacing w:after="80" w:line="300" w:lineRule="auto"/>
        <w:numPr>
          <w:ilvl w:val="0"/>
          <w:numId w:val="48"/>
        </w:numPr>
      </w:pPr>
      <w:r>
        <w:rPr>
          <w:rFonts w:ascii="Calibri" w:hAnsi="Calibri" w:eastAsia="Calibri"/>
          <w:color w:val="202124"/>
        </w:rPr>
        <w:t>Project closure is blocked by missing required documents, unresolved tasks, and incomplete report data.</w:t>
      </w:r>
    </w:p>
    <w:p>
      <w:pPr>
        <w:spacing w:after="80" w:line="300" w:lineRule="auto"/>
        <w:numPr>
          <w:ilvl w:val="0"/>
          <w:numId w:val="48"/>
        </w:numPr>
      </w:pPr>
      <w:r>
        <w:rPr>
          <w:rFonts w:ascii="Calibri" w:hAnsi="Calibri" w:eastAsia="Calibri"/>
          <w:color w:val="202124"/>
        </w:rPr>
        <w:t>A faculty-approved waiver allows closure and appears in the audit trail.</w:t>
      </w:r>
    </w:p>
    <w:p>
      <w:pPr>
        <w:spacing w:after="80" w:line="300" w:lineRule="auto"/>
        <w:numPr>
          <w:ilvl w:val="0"/>
          <w:numId w:val="48"/>
        </w:numPr>
      </w:pPr>
      <w:r>
        <w:rPr>
          <w:rFonts w:ascii="Calibri" w:hAnsi="Calibri" w:eastAsia="Calibri"/>
          <w:color w:val="202124"/>
        </w:rPr>
        <w:t>Sensitive Drive links are hidden from unauthorized roles and never cached offline.</w:t>
      </w:r>
    </w:p>
    <w:p>
      <w:pPr>
        <w:spacing w:after="80" w:line="300" w:lineRule="auto"/>
        <w:numPr>
          <w:ilvl w:val="0"/>
          <w:numId w:val="48"/>
        </w:numPr>
      </w:pPr>
      <w:r>
        <w:rPr>
          <w:rFonts w:ascii="Calibri" w:hAnsi="Calibri" w:eastAsia="Calibri"/>
          <w:color w:val="202124"/>
        </w:rPr>
        <w:t>Buddy assignments reject invalid, duplicate, or overlapping allocations.</w:t>
      </w:r>
    </w:p>
    <w:p>
      <w:pPr>
        <w:spacing w:after="80" w:line="300" w:lineRule="auto"/>
        <w:numPr>
          <w:ilvl w:val="0"/>
          <w:numId w:val="48"/>
        </w:numPr>
      </w:pPr>
      <w:r>
        <w:rPr>
          <w:rFonts w:ascii="Calibri" w:hAnsi="Calibri" w:eastAsia="Calibri"/>
          <w:color w:val="202124"/>
        </w:rPr>
        <w:t>Rejected tasks/documents require reasons and notify the owner.</w:t>
      </w:r>
    </w:p>
    <w:p>
      <w:pPr>
        <w:spacing w:after="80" w:line="300" w:lineRule="auto"/>
        <w:numPr>
          <w:ilvl w:val="0"/>
          <w:numId w:val="48"/>
        </w:numPr>
      </w:pPr>
      <w:r>
        <w:rPr>
          <w:rFonts w:ascii="Calibri" w:hAnsi="Calibri" w:eastAsia="Calibri"/>
          <w:color w:val="202124"/>
        </w:rPr>
        <w:t>Report totals reconcile exactly with underlying records and import reports.</w:t>
      </w:r>
    </w:p>
    <w:p>
      <w:pPr>
        <w:spacing w:after="80" w:line="300" w:lineRule="auto"/>
        <w:numPr>
          <w:ilvl w:val="0"/>
          <w:numId w:val="48"/>
        </w:numPr>
      </w:pPr>
      <w:r>
        <w:rPr>
          <w:rFonts w:ascii="Calibri" w:hAnsi="Calibri" w:eastAsia="Calibri"/>
          <w:color w:val="202124"/>
        </w:rPr>
        <w:t>Concurrent edits return a conflict instead of silently overwriting data.</w:t>
      </w:r>
    </w:p>
    <w:p>
      <w:pPr>
        <w:spacing w:after="80" w:line="300" w:lineRule="auto"/>
        <w:keepNext w:val="0"/>
        <w:numPr>
          <w:ilvl w:val="0"/>
          <w:numId w:val="48"/>
        </w:numPr>
      </w:pPr>
      <w:r>
        <w:rPr>
          <w:rFonts w:ascii="Calibri" w:hAnsi="Calibri" w:eastAsia="Calibri"/>
          <w:color w:val="202124"/>
        </w:rPr>
        <w:t>Cancelled and archived projects remain historically reportable.</w:t>
      </w:r>
    </w:p>
    <w:p>
      <w:pPr>
        <w:pStyle w:val="Heading2"/>
      </w:pPr>
      <w:r>
        <w:rPr>
          <w:rFonts w:ascii="Calibri" w:hAnsi="Calibri" w:eastAsia="Calibri"/>
          <w:color w:val="202124"/>
        </w:rPr>
        <w:t>12.3 Production acceptance matrix</w:t>
      </w:r>
    </w:p>
    <w:tbl>
      <w:tblPr>
        <w:tblW w:type="dxa" w:w="9360"/>
        <w:jc w:val="left"/>
        <w:tblLayout w:type="fixed"/>
        <w:tblLook w:firstColumn="1" w:firstRow="1" w:lastColumn="0" w:lastRow="0" w:noHBand="0" w:noVBand="1" w:val="04A0"/>
        <w:tblInd w:w="120" w:type="dxa"/>
        <w:tblBorders>
          <w:top w:val="single" w:sz="4" w:space="0" w:color="B9C4D0"/>
          <w:left w:val="single" w:sz="4" w:space="0" w:color="B9C4D0"/>
          <w:bottom w:val="single" w:sz="4" w:space="0" w:color="B9C4D0"/>
          <w:right w:val="single" w:sz="4" w:space="0" w:color="B9C4D0"/>
          <w:insideH w:val="single" w:sz="4" w:space="0" w:color="B9C4D0"/>
          <w:insideV w:val="single" w:sz="4" w:space="0" w:color="B9C4D0"/>
        </w:tblBorders>
      </w:tblPr>
      <w:tblGrid>
        <w:gridCol w:w="1100"/>
        <w:gridCol w:w="5000"/>
        <w:gridCol w:w="2160"/>
        <w:gridCol w:w="1100"/>
      </w:tblGrid>
      <w:tr>
        <w:trPr>
          <w:tblHeader w:val="true"/>
          <w:cantSplit/>
        </w:trPr>
        <w:tc>
          <w:tcPr>
            <w:tcW w:type="dxa" w:w="110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Area</w:t>
            </w:r>
          </w:p>
        </w:tc>
        <w:tc>
          <w:tcPr>
            <w:tcW w:type="dxa" w:w="500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Acceptance criterion</w:t>
            </w:r>
          </w:p>
        </w:tc>
        <w:tc>
          <w:tcPr>
            <w:tcW w:type="dxa" w:w="216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Evidence</w:t>
            </w:r>
          </w:p>
        </w:tc>
        <w:tc>
          <w:tcPr>
            <w:tcW w:type="dxa" w:w="110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Blocking</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eastAsia="Calibri"/>
                <w:color w:val="202124"/>
                <w:sz w:val="17"/>
              </w:rPr>
              <w:t>Sample ICC data</w:t>
            </w:r>
          </w:p>
        </w:tc>
        <w:tc>
          <w:tcPr>
            <w:tcW w:type="dxa" w:w="5000"/>
            <w:tcMar>
              <w:top w:w="80" w:type="dxa"/>
              <w:start w:w="120" w:type="dxa"/>
              <w:bottom w:w="80" w:type="dxa"/>
              <w:end w:w="120" w:type="dxa"/>
            </w:tcMar>
            <w:vAlign w:val="center"/>
          </w:tcPr>
          <w:p>
            <w:pPr>
              <w:spacing w:after="0" w:line="252" w:lineRule="auto"/>
            </w:pPr>
            <w:r>
              <w:rPr>
                <w:rFonts w:ascii="Calibri" w:hAnsi="Calibri" w:eastAsia="Calibri"/>
                <w:color w:val="202124"/>
                <w:sz w:val="17"/>
              </w:rPr>
              <w:t>Coffee Meet &amp; Greet reproduces roster, action list, schedule, document index, audience totals, and approved narrative</w:t>
            </w:r>
          </w:p>
        </w:tc>
        <w:tc>
          <w:tcPr>
            <w:tcW w:type="dxa" w:w="2160"/>
            <w:tcMar>
              <w:top w:w="80" w:type="dxa"/>
              <w:start w:w="120" w:type="dxa"/>
              <w:bottom w:w="80" w:type="dxa"/>
              <w:end w:w="120" w:type="dxa"/>
            </w:tcMar>
            <w:vAlign w:val="center"/>
          </w:tcPr>
          <w:p>
            <w:pPr>
              <w:spacing w:after="0" w:line="252" w:lineRule="auto"/>
            </w:pPr>
            <w:r>
              <w:rPr>
                <w:rFonts w:ascii="Calibri" w:hAnsi="Calibri" w:eastAsia="Calibri"/>
                <w:color w:val="202124"/>
                <w:sz w:val="17"/>
              </w:rPr>
              <w:t>Reconciliation + report snapshot</w:t>
            </w:r>
          </w:p>
        </w:tc>
        <w:tc>
          <w:tcPr>
            <w:tcW w:type="dxa" w:w="11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7"/>
              </w:rPr>
              <w:t>Yes</w:t>
            </w:r>
          </w:p>
        </w:tc>
      </w:tr>
      <w:tr>
        <w:trPr>
          <w:cantSplit/>
        </w:trPr>
        <w:tc>
          <w:tcPr>
            <w:tcW w:type="dxa" w:w="11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7"/>
              </w:rPr>
              <w:t>Sample IGP data</w:t>
            </w:r>
          </w:p>
        </w:tc>
        <w:tc>
          <w:tcPr>
            <w:tcW w:type="dxa" w:w="50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7"/>
              </w:rPr>
              <w:t>Summer School reproduces every checklist requirement and approval history</w:t>
            </w:r>
          </w:p>
        </w:tc>
        <w:tc>
          <w:tcPr>
            <w:tcW w:type="dxa" w:w="21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7"/>
              </w:rPr>
              <w:t>Checklist report + source mapping</w:t>
            </w:r>
          </w:p>
        </w:tc>
        <w:tc>
          <w:tcPr>
            <w:tcW w:type="dxa" w:w="1100"/>
            <w:shd w:fill="F8FAFC"/>
            <w:tcMar>
              <w:top w:w="80" w:type="dxa"/>
              <w:start w:w="120" w:type="dxa"/>
              <w:bottom w:w="80" w:type="dxa"/>
              <w:end w:w="120" w:type="dxa"/>
            </w:tcMar>
            <w:vAlign w:val="center"/>
          </w:tcPr>
          <w:p>
            <w:pPr>
              <w:spacing w:after="0" w:line="252" w:lineRule="auto"/>
              <w:jc w:val="center"/>
            </w:pPr>
            <w:r>
              <w:rPr>
                <w:rFonts w:ascii="Calibri" w:hAnsi="Calibri" w:eastAsia="Calibri"/>
                <w:color w:val="202124"/>
                <w:sz w:val="17"/>
              </w:rPr>
              <w:t>Yes</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eastAsia="Calibri"/>
                <w:color w:val="202124"/>
                <w:sz w:val="17"/>
              </w:rPr>
              <w:t>Data hygiene</w:t>
            </w:r>
          </w:p>
        </w:tc>
        <w:tc>
          <w:tcPr>
            <w:tcW w:type="dxa" w:w="5000"/>
            <w:tcMar>
              <w:top w:w="80" w:type="dxa"/>
              <w:start w:w="120" w:type="dxa"/>
              <w:bottom w:w="80" w:type="dxa"/>
              <w:end w:w="120" w:type="dxa"/>
            </w:tcMar>
            <w:vAlign w:val="center"/>
          </w:tcPr>
          <w:p>
            <w:pPr>
              <w:spacing w:after="0" w:line="252" w:lineRule="auto"/>
            </w:pPr>
            <w:r>
              <w:rPr>
                <w:rFonts w:ascii="Calibri" w:hAnsi="Calibri" w:eastAsia="Calibri"/>
                <w:color w:val="202124"/>
                <w:sz w:val="17"/>
              </w:rPr>
              <w:t>No synthetic data or default credentials exist in production</w:t>
            </w:r>
          </w:p>
        </w:tc>
        <w:tc>
          <w:tcPr>
            <w:tcW w:type="dxa" w:w="2160"/>
            <w:tcMar>
              <w:top w:w="80" w:type="dxa"/>
              <w:start w:w="120" w:type="dxa"/>
              <w:bottom w:w="80" w:type="dxa"/>
              <w:end w:w="120" w:type="dxa"/>
            </w:tcMar>
            <w:vAlign w:val="center"/>
          </w:tcPr>
          <w:p>
            <w:pPr>
              <w:spacing w:after="0" w:line="252" w:lineRule="auto"/>
            </w:pPr>
            <w:r>
              <w:rPr>
                <w:rFonts w:ascii="Calibri" w:hAnsi="Calibri" w:eastAsia="Calibri"/>
                <w:color w:val="202124"/>
                <w:sz w:val="17"/>
              </w:rPr>
              <w:t>Environment/database audit</w:t>
            </w:r>
          </w:p>
        </w:tc>
        <w:tc>
          <w:tcPr>
            <w:tcW w:type="dxa" w:w="11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7"/>
              </w:rPr>
              <w:t>Yes</w:t>
            </w:r>
          </w:p>
        </w:tc>
      </w:tr>
      <w:tr>
        <w:trPr>
          <w:cantSplit/>
        </w:trPr>
        <w:tc>
          <w:tcPr>
            <w:tcW w:type="dxa" w:w="11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7"/>
              </w:rPr>
              <w:t>Authorization</w:t>
            </w:r>
          </w:p>
        </w:tc>
        <w:tc>
          <w:tcPr>
            <w:tcW w:type="dxa" w:w="50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7"/>
              </w:rPr>
              <w:t>Role/scope matrix passes stakeholder review and automated decisions</w:t>
            </w:r>
          </w:p>
        </w:tc>
        <w:tc>
          <w:tcPr>
            <w:tcW w:type="dxa" w:w="21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7"/>
              </w:rPr>
              <w:t>Signed matrix + test report</w:t>
            </w:r>
          </w:p>
        </w:tc>
        <w:tc>
          <w:tcPr>
            <w:tcW w:type="dxa" w:w="1100"/>
            <w:shd w:fill="F8FAFC"/>
            <w:tcMar>
              <w:top w:w="80" w:type="dxa"/>
              <w:start w:w="120" w:type="dxa"/>
              <w:bottom w:w="80" w:type="dxa"/>
              <w:end w:w="120" w:type="dxa"/>
            </w:tcMar>
            <w:vAlign w:val="center"/>
          </w:tcPr>
          <w:p>
            <w:pPr>
              <w:spacing w:after="0" w:line="252" w:lineRule="auto"/>
              <w:jc w:val="center"/>
            </w:pPr>
            <w:r>
              <w:rPr>
                <w:rFonts w:ascii="Calibri" w:hAnsi="Calibri" w:eastAsia="Calibri"/>
                <w:color w:val="202124"/>
                <w:sz w:val="17"/>
              </w:rPr>
              <w:t>Yes</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eastAsia="Calibri"/>
                <w:color w:val="202124"/>
                <w:sz w:val="17"/>
              </w:rPr>
              <w:t>Deployment</w:t>
            </w:r>
          </w:p>
        </w:tc>
        <w:tc>
          <w:tcPr>
            <w:tcW w:type="dxa" w:w="5000"/>
            <w:tcMar>
              <w:top w:w="80" w:type="dxa"/>
              <w:start w:w="120" w:type="dxa"/>
              <w:bottom w:w="80" w:type="dxa"/>
              <w:end w:w="120" w:type="dxa"/>
            </w:tcMar>
            <w:vAlign w:val="center"/>
          </w:tcPr>
          <w:p>
            <w:pPr>
              <w:spacing w:after="0" w:line="252" w:lineRule="auto"/>
            </w:pPr>
            <w:r>
              <w:rPr>
                <w:rFonts w:ascii="Calibri" w:hAnsi="Calibri" w:eastAsia="Calibri"/>
                <w:color w:val="202124"/>
                <w:sz w:val="17"/>
              </w:rPr>
              <w:t>Staging-to-production deployment and rollback succeed</w:t>
            </w:r>
          </w:p>
        </w:tc>
        <w:tc>
          <w:tcPr>
            <w:tcW w:type="dxa" w:w="2160"/>
            <w:tcMar>
              <w:top w:w="80" w:type="dxa"/>
              <w:start w:w="120" w:type="dxa"/>
              <w:bottom w:w="80" w:type="dxa"/>
              <w:end w:w="120" w:type="dxa"/>
            </w:tcMar>
            <w:vAlign w:val="center"/>
          </w:tcPr>
          <w:p>
            <w:pPr>
              <w:spacing w:after="0" w:line="252" w:lineRule="auto"/>
            </w:pPr>
            <w:r>
              <w:rPr>
                <w:rFonts w:ascii="Calibri" w:hAnsi="Calibri" w:eastAsia="Calibri"/>
                <w:color w:val="202124"/>
                <w:sz w:val="17"/>
              </w:rPr>
              <w:t>Deployment record</w:t>
            </w:r>
          </w:p>
        </w:tc>
        <w:tc>
          <w:tcPr>
            <w:tcW w:type="dxa" w:w="11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7"/>
              </w:rPr>
              <w:t>Yes</w:t>
            </w:r>
          </w:p>
        </w:tc>
      </w:tr>
      <w:tr>
        <w:trPr>
          <w:cantSplit/>
        </w:trPr>
        <w:tc>
          <w:tcPr>
            <w:tcW w:type="dxa" w:w="11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7"/>
              </w:rPr>
              <w:t>Recovery</w:t>
            </w:r>
          </w:p>
        </w:tc>
        <w:tc>
          <w:tcPr>
            <w:tcW w:type="dxa" w:w="50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7"/>
              </w:rPr>
              <w:t>Backup restoration meets RPO/RTO targets</w:t>
            </w:r>
          </w:p>
        </w:tc>
        <w:tc>
          <w:tcPr>
            <w:tcW w:type="dxa" w:w="21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7"/>
              </w:rPr>
              <w:t>Restore drill report</w:t>
            </w:r>
          </w:p>
        </w:tc>
        <w:tc>
          <w:tcPr>
            <w:tcW w:type="dxa" w:w="1100"/>
            <w:shd w:fill="F8FAFC"/>
            <w:tcMar>
              <w:top w:w="80" w:type="dxa"/>
              <w:start w:w="120" w:type="dxa"/>
              <w:bottom w:w="80" w:type="dxa"/>
              <w:end w:w="120" w:type="dxa"/>
            </w:tcMar>
            <w:vAlign w:val="center"/>
          </w:tcPr>
          <w:p>
            <w:pPr>
              <w:spacing w:after="0" w:line="252" w:lineRule="auto"/>
              <w:jc w:val="center"/>
            </w:pPr>
            <w:r>
              <w:rPr>
                <w:rFonts w:ascii="Calibri" w:hAnsi="Calibri" w:eastAsia="Calibri"/>
                <w:color w:val="202124"/>
                <w:sz w:val="17"/>
              </w:rPr>
              <w:t>Yes</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eastAsia="Calibri"/>
                <w:color w:val="202124"/>
                <w:sz w:val="17"/>
              </w:rPr>
              <w:t>Security</w:t>
            </w:r>
          </w:p>
        </w:tc>
        <w:tc>
          <w:tcPr>
            <w:tcW w:type="dxa" w:w="5000"/>
            <w:tcMar>
              <w:top w:w="80" w:type="dxa"/>
              <w:start w:w="120" w:type="dxa"/>
              <w:bottom w:w="80" w:type="dxa"/>
              <w:end w:w="120" w:type="dxa"/>
            </w:tcMar>
            <w:vAlign w:val="center"/>
          </w:tcPr>
          <w:p>
            <w:pPr>
              <w:spacing w:after="0" w:line="252" w:lineRule="auto"/>
            </w:pPr>
            <w:r>
              <w:rPr>
                <w:rFonts w:ascii="Calibri" w:hAnsi="Calibri" w:eastAsia="Calibri"/>
                <w:color w:val="202124"/>
                <w:sz w:val="17"/>
              </w:rPr>
              <w:t>No unresolved critical or high findings</w:t>
            </w:r>
          </w:p>
        </w:tc>
        <w:tc>
          <w:tcPr>
            <w:tcW w:type="dxa" w:w="2160"/>
            <w:tcMar>
              <w:top w:w="80" w:type="dxa"/>
              <w:start w:w="120" w:type="dxa"/>
              <w:bottom w:w="80" w:type="dxa"/>
              <w:end w:w="120" w:type="dxa"/>
            </w:tcMar>
            <w:vAlign w:val="center"/>
          </w:tcPr>
          <w:p>
            <w:pPr>
              <w:spacing w:after="0" w:line="252" w:lineRule="auto"/>
            </w:pPr>
            <w:r>
              <w:rPr>
                <w:rFonts w:ascii="Calibri" w:hAnsi="Calibri" w:eastAsia="Calibri"/>
                <w:color w:val="202124"/>
                <w:sz w:val="17"/>
              </w:rPr>
              <w:t>Security report</w:t>
            </w:r>
          </w:p>
        </w:tc>
        <w:tc>
          <w:tcPr>
            <w:tcW w:type="dxa" w:w="11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7"/>
              </w:rPr>
              <w:t>Yes</w:t>
            </w:r>
          </w:p>
        </w:tc>
      </w:tr>
      <w:tr>
        <w:trPr>
          <w:cantSplit/>
        </w:trPr>
        <w:tc>
          <w:tcPr>
            <w:tcW w:type="dxa" w:w="11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7"/>
              </w:rPr>
              <w:t>Accessibility</w:t>
            </w:r>
          </w:p>
        </w:tc>
        <w:tc>
          <w:tcPr>
            <w:tcW w:type="dxa" w:w="50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7"/>
              </w:rPr>
              <w:t>No blocking WCAG defects</w:t>
            </w:r>
          </w:p>
        </w:tc>
        <w:tc>
          <w:tcPr>
            <w:tcW w:type="dxa" w:w="21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7"/>
              </w:rPr>
              <w:t>Accessibility report</w:t>
            </w:r>
          </w:p>
        </w:tc>
        <w:tc>
          <w:tcPr>
            <w:tcW w:type="dxa" w:w="1100"/>
            <w:shd w:fill="F8FAFC"/>
            <w:tcMar>
              <w:top w:w="80" w:type="dxa"/>
              <w:start w:w="120" w:type="dxa"/>
              <w:bottom w:w="80" w:type="dxa"/>
              <w:end w:w="120" w:type="dxa"/>
            </w:tcMar>
            <w:vAlign w:val="center"/>
          </w:tcPr>
          <w:p>
            <w:pPr>
              <w:spacing w:after="0" w:line="252" w:lineRule="auto"/>
              <w:jc w:val="center"/>
            </w:pPr>
            <w:r>
              <w:rPr>
                <w:rFonts w:ascii="Calibri" w:hAnsi="Calibri" w:eastAsia="Calibri"/>
                <w:color w:val="202124"/>
                <w:sz w:val="17"/>
              </w:rPr>
              <w:t>Yes</w:t>
            </w:r>
          </w:p>
        </w:tc>
      </w:tr>
      <w:tr>
        <w:trPr>
          <w:cantSplit/>
        </w:trPr>
        <w:tc>
          <w:tcPr>
            <w:tcW w:type="dxa" w:w="1100"/>
            <w:tcMar>
              <w:top w:w="80" w:type="dxa"/>
              <w:start w:w="120" w:type="dxa"/>
              <w:bottom w:w="80" w:type="dxa"/>
              <w:end w:w="120" w:type="dxa"/>
            </w:tcMar>
            <w:vAlign w:val="center"/>
          </w:tcPr>
          <w:p>
            <w:pPr>
              <w:spacing w:after="0" w:line="252" w:lineRule="auto"/>
            </w:pPr>
            <w:r>
              <w:rPr>
                <w:rFonts w:ascii="Calibri" w:hAnsi="Calibri" w:eastAsia="Calibri"/>
                <w:color w:val="202124"/>
                <w:sz w:val="17"/>
              </w:rPr>
              <w:t>Migration</w:t>
            </w:r>
          </w:p>
        </w:tc>
        <w:tc>
          <w:tcPr>
            <w:tcW w:type="dxa" w:w="5000"/>
            <w:tcMar>
              <w:top w:w="80" w:type="dxa"/>
              <w:start w:w="120" w:type="dxa"/>
              <w:bottom w:w="80" w:type="dxa"/>
              <w:end w:w="120" w:type="dxa"/>
            </w:tcMar>
            <w:vAlign w:val="center"/>
          </w:tcPr>
          <w:p>
            <w:pPr>
              <w:spacing w:after="0" w:line="252" w:lineRule="auto"/>
            </w:pPr>
            <w:r>
              <w:rPr>
                <w:rFonts w:ascii="Calibri" w:hAnsi="Calibri" w:eastAsia="Calibri"/>
                <w:color w:val="202124"/>
                <w:sz w:val="17"/>
              </w:rPr>
              <w:t>Reconciliation differences are approved or zero</w:t>
            </w:r>
          </w:p>
        </w:tc>
        <w:tc>
          <w:tcPr>
            <w:tcW w:type="dxa" w:w="2160"/>
            <w:tcMar>
              <w:top w:w="80" w:type="dxa"/>
              <w:start w:w="120" w:type="dxa"/>
              <w:bottom w:w="80" w:type="dxa"/>
              <w:end w:w="120" w:type="dxa"/>
            </w:tcMar>
            <w:vAlign w:val="center"/>
          </w:tcPr>
          <w:p>
            <w:pPr>
              <w:spacing w:after="0" w:line="252" w:lineRule="auto"/>
            </w:pPr>
            <w:r>
              <w:rPr>
                <w:rFonts w:ascii="Calibri" w:hAnsi="Calibri" w:eastAsia="Calibri"/>
                <w:color w:val="202124"/>
                <w:sz w:val="17"/>
              </w:rPr>
              <w:t>Signed reconciliation</w:t>
            </w:r>
          </w:p>
        </w:tc>
        <w:tc>
          <w:tcPr>
            <w:tcW w:type="dxa" w:w="11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7"/>
              </w:rPr>
              <w:t>Yes</w:t>
            </w:r>
          </w:p>
        </w:tc>
      </w:tr>
      <w:tr>
        <w:trPr>
          <w:cantSplit/>
        </w:trPr>
        <w:tc>
          <w:tcPr>
            <w:tcW w:type="dxa" w:w="11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7"/>
              </w:rPr>
              <w:t>Governance</w:t>
            </w:r>
          </w:p>
        </w:tc>
        <w:tc>
          <w:tcPr>
            <w:tcW w:type="dxa" w:w="50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7"/>
              </w:rPr>
              <w:t>Four release approvers sign production acceptance</w:t>
            </w:r>
          </w:p>
        </w:tc>
        <w:tc>
          <w:tcPr>
            <w:tcW w:type="dxa" w:w="21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7"/>
              </w:rPr>
              <w:t>Acceptance record</w:t>
            </w:r>
          </w:p>
        </w:tc>
        <w:tc>
          <w:tcPr>
            <w:tcW w:type="dxa" w:w="1100"/>
            <w:shd w:fill="F8FAFC"/>
            <w:tcMar>
              <w:top w:w="80" w:type="dxa"/>
              <w:start w:w="120" w:type="dxa"/>
              <w:bottom w:w="80" w:type="dxa"/>
              <w:end w:w="120" w:type="dxa"/>
            </w:tcMar>
            <w:vAlign w:val="center"/>
          </w:tcPr>
          <w:p>
            <w:pPr>
              <w:spacing w:after="0" w:line="252" w:lineRule="auto"/>
              <w:jc w:val="center"/>
            </w:pPr>
            <w:r>
              <w:rPr>
                <w:rFonts w:ascii="Calibri" w:hAnsi="Calibri" w:eastAsia="Calibri"/>
                <w:color w:val="202124"/>
                <w:sz w:val="17"/>
              </w:rPr>
              <w:t>Yes</w:t>
            </w:r>
          </w:p>
        </w:tc>
      </w:tr>
    </w:tbl>
    <w:p>
      <w:pPr>
        <w:spacing w:after="20"/>
      </w:pPr>
    </w:p>
    <w:p>
      <w:pPr>
        <w:pStyle w:val="Heading1"/>
      </w:pPr>
      <w:r>
        <w:rPr>
          <w:rFonts w:ascii="Calibri" w:hAnsi="Calibri" w:eastAsia="Calibri"/>
          <w:color w:val="202124"/>
        </w:rPr>
        <w:t>13. V1 capability inventory and disposition</w:t>
      </w:r>
    </w:p>
    <w:tbl>
      <w:tblPr>
        <w:tblW w:type="dxa" w:w="9360"/>
        <w:jc w:val="left"/>
        <w:tblLayout w:type="fixed"/>
        <w:tblLook w:firstColumn="1" w:firstRow="1" w:lastColumn="0" w:lastRow="0" w:noHBand="0" w:noVBand="1" w:val="04A0"/>
        <w:tblInd w:w="120" w:type="dxa"/>
        <w:tblBorders>
          <w:top w:val="single" w:sz="4" w:space="0" w:color="B9C4D0"/>
          <w:left w:val="single" w:sz="4" w:space="0" w:color="B9C4D0"/>
          <w:bottom w:val="single" w:sz="4" w:space="0" w:color="B9C4D0"/>
          <w:right w:val="single" w:sz="4" w:space="0" w:color="B9C4D0"/>
          <w:insideH w:val="single" w:sz="4" w:space="0" w:color="B9C4D0"/>
          <w:insideV w:val="single" w:sz="4" w:space="0" w:color="B9C4D0"/>
        </w:tblBorders>
      </w:tblPr>
      <w:tblGrid>
        <w:gridCol w:w="2300"/>
        <w:gridCol w:w="1800"/>
        <w:gridCol w:w="5260"/>
      </w:tblGrid>
      <w:tr>
        <w:trPr>
          <w:tblHeader w:val="true"/>
          <w:cantSplit/>
        </w:trPr>
        <w:tc>
          <w:tcPr>
            <w:tcW w:type="dxa" w:w="230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V1 capability</w:t>
            </w:r>
          </w:p>
        </w:tc>
        <w:tc>
          <w:tcPr>
            <w:tcW w:type="dxa" w:w="180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V2 baseline</w:t>
            </w:r>
          </w:p>
        </w:tc>
        <w:tc>
          <w:tcPr>
            <w:tcW w:type="dxa" w:w="526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Decision</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eastAsia="Calibri"/>
                <w:color w:val="202124"/>
                <w:sz w:val="18"/>
              </w:rPr>
              <w:t>Project CRUD and project components</w:t>
            </w:r>
          </w:p>
        </w:tc>
        <w:tc>
          <w:tcPr>
            <w:tcW w:type="dxa" w:w="1800"/>
            <w:tcMar>
              <w:top w:w="80" w:type="dxa"/>
              <w:start w:w="120" w:type="dxa"/>
              <w:bottom w:w="80" w:type="dxa"/>
              <w:end w:w="120" w:type="dxa"/>
            </w:tcMar>
            <w:vAlign w:val="center"/>
          </w:tcPr>
          <w:p>
            <w:pPr>
              <w:spacing w:after="0" w:line="252" w:lineRule="auto"/>
            </w:pPr>
            <w:r>
              <w:rPr>
                <w:rFonts w:ascii="Calibri" w:hAnsi="Calibri" w:eastAsia="Calibri"/>
                <w:color w:val="202124"/>
                <w:sz w:val="18"/>
              </w:rPr>
              <w:t>Partially absent</w:t>
            </w:r>
          </w:p>
        </w:tc>
        <w:tc>
          <w:tcPr>
            <w:tcW w:type="dxa" w:w="5260"/>
            <w:tcMar>
              <w:top w:w="80" w:type="dxa"/>
              <w:start w:w="120" w:type="dxa"/>
              <w:bottom w:w="80" w:type="dxa"/>
              <w:end w:w="120" w:type="dxa"/>
            </w:tcMar>
            <w:vAlign w:val="center"/>
          </w:tcPr>
          <w:p>
            <w:pPr>
              <w:spacing w:after="0" w:line="252" w:lineRule="auto"/>
            </w:pPr>
            <w:r>
              <w:rPr>
                <w:rFonts w:ascii="Calibri" w:hAnsi="Calibri" w:eastAsia="Calibri"/>
                <w:color w:val="202124"/>
                <w:sz w:val="18"/>
              </w:rPr>
              <w:t>Carry forward into core project domain.</w:t>
            </w:r>
          </w:p>
        </w:tc>
      </w:tr>
      <w:tr>
        <w:trPr>
          <w:cantSplit/>
        </w:trPr>
        <w:tc>
          <w:tcPr>
            <w:tcW w:type="dxa" w:w="23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Explicit permission-rule concepts</w:t>
            </w:r>
          </w:p>
        </w:tc>
        <w:tc>
          <w:tcPr>
            <w:tcW w:type="dxa" w:w="18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Simplified role checks</w:t>
            </w:r>
          </w:p>
        </w:tc>
        <w:tc>
          <w:tcPr>
            <w:tcW w:type="dxa" w:w="52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Replace with scoped, effective-dated role assignments and named sensitive permissions.</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eastAsia="Calibri"/>
                <w:color w:val="202124"/>
                <w:sz w:val="18"/>
              </w:rPr>
              <w:t>Public feedback</w:t>
            </w:r>
          </w:p>
        </w:tc>
        <w:tc>
          <w:tcPr>
            <w:tcW w:type="dxa" w:w="1800"/>
            <w:tcMar>
              <w:top w:w="80" w:type="dxa"/>
              <w:start w:w="120" w:type="dxa"/>
              <w:bottom w:w="80" w:type="dxa"/>
              <w:end w:w="120" w:type="dxa"/>
            </w:tcMar>
            <w:vAlign w:val="center"/>
          </w:tcPr>
          <w:p>
            <w:pPr>
              <w:spacing w:after="0" w:line="252" w:lineRule="auto"/>
            </w:pPr>
            <w:r>
              <w:rPr>
                <w:rFonts w:ascii="Calibri" w:hAnsi="Calibri" w:eastAsia="Calibri"/>
                <w:color w:val="202124"/>
                <w:sz w:val="18"/>
              </w:rPr>
              <w:t>Absent/incomplete</w:t>
            </w:r>
          </w:p>
        </w:tc>
        <w:tc>
          <w:tcPr>
            <w:tcW w:type="dxa" w:w="5260"/>
            <w:tcMar>
              <w:top w:w="80" w:type="dxa"/>
              <w:start w:w="120" w:type="dxa"/>
              <w:bottom w:w="80" w:type="dxa"/>
              <w:end w:w="120" w:type="dxa"/>
            </w:tcMar>
            <w:vAlign w:val="center"/>
          </w:tcPr>
          <w:p>
            <w:pPr>
              <w:spacing w:after="0" w:line="252" w:lineRule="auto"/>
            </w:pPr>
            <w:r>
              <w:rPr>
                <w:rFonts w:ascii="Calibri" w:hAnsi="Calibri" w:eastAsia="Calibri"/>
                <w:color w:val="202124"/>
                <w:sz w:val="18"/>
              </w:rPr>
              <w:t>Carry forward as token-based configurable feedback.</w:t>
            </w:r>
          </w:p>
        </w:tc>
      </w:tr>
      <w:tr>
        <w:trPr>
          <w:cantSplit/>
        </w:trPr>
        <w:tc>
          <w:tcPr>
            <w:tcW w:type="dxa" w:w="23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PWA/offline shell</w:t>
            </w:r>
          </w:p>
        </w:tc>
        <w:tc>
          <w:tcPr>
            <w:tcW w:type="dxa" w:w="18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Absent/incomplete</w:t>
            </w:r>
          </w:p>
        </w:tc>
        <w:tc>
          <w:tcPr>
            <w:tcW w:type="dxa" w:w="52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Carry forward with nonsensitive read-only cache rules.</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eastAsia="Calibri"/>
                <w:color w:val="202124"/>
                <w:sz w:val="18"/>
              </w:rPr>
              <w:t>Student journey/history</w:t>
            </w:r>
          </w:p>
        </w:tc>
        <w:tc>
          <w:tcPr>
            <w:tcW w:type="dxa" w:w="1800"/>
            <w:tcMar>
              <w:top w:w="80" w:type="dxa"/>
              <w:start w:w="120" w:type="dxa"/>
              <w:bottom w:w="80" w:type="dxa"/>
              <w:end w:w="120" w:type="dxa"/>
            </w:tcMar>
            <w:vAlign w:val="center"/>
          </w:tcPr>
          <w:p>
            <w:pPr>
              <w:spacing w:after="0" w:line="252" w:lineRule="auto"/>
            </w:pPr>
            <w:r>
              <w:rPr>
                <w:rFonts w:ascii="Calibri" w:hAnsi="Calibri" w:eastAsia="Calibri"/>
                <w:color w:val="202124"/>
                <w:sz w:val="18"/>
              </w:rPr>
              <w:t>Partially represented</w:t>
            </w:r>
          </w:p>
        </w:tc>
        <w:tc>
          <w:tcPr>
            <w:tcW w:type="dxa" w:w="5260"/>
            <w:tcMar>
              <w:top w:w="80" w:type="dxa"/>
              <w:start w:w="120" w:type="dxa"/>
              <w:bottom w:w="80" w:type="dxa"/>
              <w:end w:w="120" w:type="dxa"/>
            </w:tcMar>
            <w:vAlign w:val="center"/>
          </w:tcPr>
          <w:p>
            <w:pPr>
              <w:spacing w:after="0" w:line="252" w:lineRule="auto"/>
            </w:pPr>
            <w:r>
              <w:rPr>
                <w:rFonts w:ascii="Calibri" w:hAnsi="Calibri" w:eastAsia="Calibri"/>
                <w:color w:val="202124"/>
                <w:sz w:val="18"/>
              </w:rPr>
              <w:t>Defer a dedicated journey timeline; preserve source events through person participation history.</w:t>
            </w:r>
          </w:p>
        </w:tc>
      </w:tr>
      <w:tr>
        <w:trPr>
          <w:cantSplit/>
        </w:trPr>
        <w:tc>
          <w:tcPr>
            <w:tcW w:type="dxa" w:w="23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Magazine generation</w:t>
            </w:r>
          </w:p>
        </w:tc>
        <w:tc>
          <w:tcPr>
            <w:tcW w:type="dxa" w:w="18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Absent</w:t>
            </w:r>
          </w:p>
        </w:tc>
        <w:tc>
          <w:tcPr>
            <w:tcW w:type="dxa" w:w="52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Defer outside initial production boundary.</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eastAsia="Calibri"/>
                <w:color w:val="202124"/>
                <w:sz w:val="18"/>
              </w:rPr>
              <w:t>Engagement score/leaderboard</w:t>
            </w:r>
          </w:p>
        </w:tc>
        <w:tc>
          <w:tcPr>
            <w:tcW w:type="dxa" w:w="1800"/>
            <w:tcMar>
              <w:top w:w="80" w:type="dxa"/>
              <w:start w:w="120" w:type="dxa"/>
              <w:bottom w:w="80" w:type="dxa"/>
              <w:end w:w="120" w:type="dxa"/>
            </w:tcMar>
            <w:vAlign w:val="center"/>
          </w:tcPr>
          <w:p>
            <w:pPr>
              <w:spacing w:after="0" w:line="252" w:lineRule="auto"/>
            </w:pPr>
            <w:r>
              <w:rPr>
                <w:rFonts w:ascii="Calibri" w:hAnsi="Calibri" w:eastAsia="Calibri"/>
                <w:color w:val="202124"/>
                <w:sz w:val="18"/>
              </w:rPr>
              <w:t>Simplified contribution metrics</w:t>
            </w:r>
          </w:p>
        </w:tc>
        <w:tc>
          <w:tcPr>
            <w:tcW w:type="dxa" w:w="5260"/>
            <w:tcMar>
              <w:top w:w="80" w:type="dxa"/>
              <w:start w:w="120" w:type="dxa"/>
              <w:bottom w:w="80" w:type="dxa"/>
              <w:end w:w="120" w:type="dxa"/>
            </w:tcMar>
            <w:vAlign w:val="center"/>
          </w:tcPr>
          <w:p>
            <w:pPr>
              <w:spacing w:after="0" w:line="252" w:lineRule="auto"/>
            </w:pPr>
            <w:r>
              <w:rPr>
                <w:rFonts w:ascii="Calibri" w:hAnsi="Calibri" w:eastAsia="Calibri"/>
                <w:color w:val="202124"/>
                <w:sz w:val="18"/>
              </w:rPr>
              <w:t>Do not carry universal scoring into production; defer any future recognition model.</w:t>
            </w:r>
          </w:p>
        </w:tc>
      </w:tr>
    </w:tbl>
    <w:p>
      <w:pPr>
        <w:spacing w:after="20"/>
      </w:pPr>
    </w:p>
    <w:p>
      <w:pPr>
        <w:pStyle w:val="Heading1"/>
      </w:pPr>
      <w:r>
        <w:rPr>
          <w:rFonts w:ascii="Calibri" w:hAnsi="Calibri" w:eastAsia="Calibri"/>
          <w:color w:val="202124"/>
        </w:rPr>
        <w:t>14. Risks and mitigations</w:t>
      </w:r>
    </w:p>
    <w:tbl>
      <w:tblPr>
        <w:tblW w:type="dxa" w:w="9360"/>
        <w:jc w:val="left"/>
        <w:tblLayout w:type="fixed"/>
        <w:tblLook w:firstColumn="1" w:firstRow="1" w:lastColumn="0" w:lastRow="0" w:noHBand="0" w:noVBand="1" w:val="04A0"/>
        <w:tblInd w:w="120" w:type="dxa"/>
        <w:tblBorders>
          <w:top w:val="single" w:sz="4" w:space="0" w:color="B9C4D0"/>
          <w:left w:val="single" w:sz="4" w:space="0" w:color="B9C4D0"/>
          <w:bottom w:val="single" w:sz="4" w:space="0" w:color="B9C4D0"/>
          <w:right w:val="single" w:sz="4" w:space="0" w:color="B9C4D0"/>
          <w:insideH w:val="single" w:sz="4" w:space="0" w:color="B9C4D0"/>
          <w:insideV w:val="single" w:sz="4" w:space="0" w:color="B9C4D0"/>
        </w:tblBorders>
      </w:tblPr>
      <w:tblGrid>
        <w:gridCol w:w="2500"/>
        <w:gridCol w:w="1900"/>
        <w:gridCol w:w="4960"/>
      </w:tblGrid>
      <w:tr>
        <w:trPr>
          <w:tblHeader w:val="true"/>
          <w:cantSplit/>
        </w:trPr>
        <w:tc>
          <w:tcPr>
            <w:tcW w:type="dxa" w:w="250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Risk</w:t>
            </w:r>
          </w:p>
        </w:tc>
        <w:tc>
          <w:tcPr>
            <w:tcW w:type="dxa" w:w="190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Impact</w:t>
            </w:r>
          </w:p>
        </w:tc>
        <w:tc>
          <w:tcPr>
            <w:tcW w:type="dxa" w:w="496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Mitigation</w:t>
            </w:r>
          </w:p>
        </w:tc>
      </w:tr>
      <w:tr>
        <w:trPr>
          <w:cantSplit/>
        </w:trPr>
        <w:tc>
          <w:tcPr>
            <w:tcW w:type="dxa" w:w="2500"/>
            <w:tcMar>
              <w:top w:w="80" w:type="dxa"/>
              <w:start w:w="120" w:type="dxa"/>
              <w:bottom w:w="80" w:type="dxa"/>
              <w:end w:w="120" w:type="dxa"/>
            </w:tcMar>
            <w:vAlign w:val="center"/>
          </w:tcPr>
          <w:p>
            <w:pPr>
              <w:spacing w:after="0" w:line="252" w:lineRule="auto"/>
            </w:pPr>
            <w:r>
              <w:rPr>
                <w:rFonts w:ascii="Calibri" w:hAnsi="Calibri" w:eastAsia="Calibri"/>
                <w:color w:val="202124"/>
                <w:sz w:val="18"/>
              </w:rPr>
              <w:t>ERP scope expands into admissions, academics, immigration, or accounting</w:t>
            </w:r>
          </w:p>
        </w:tc>
        <w:tc>
          <w:tcPr>
            <w:tcW w:type="dxa" w:w="1900"/>
            <w:tcMar>
              <w:top w:w="80" w:type="dxa"/>
              <w:start w:w="120" w:type="dxa"/>
              <w:bottom w:w="80" w:type="dxa"/>
              <w:end w:w="120" w:type="dxa"/>
            </w:tcMar>
            <w:vAlign w:val="center"/>
          </w:tcPr>
          <w:p>
            <w:pPr>
              <w:spacing w:after="0" w:line="252" w:lineRule="auto"/>
            </w:pPr>
            <w:r>
              <w:rPr>
                <w:rFonts w:ascii="Calibri" w:hAnsi="Calibri" w:eastAsia="Calibri"/>
                <w:color w:val="202124"/>
                <w:sz w:val="18"/>
              </w:rPr>
              <w:t>Delivery failure and unclear authority</w:t>
            </w:r>
          </w:p>
        </w:tc>
        <w:tc>
          <w:tcPr>
            <w:tcW w:type="dxa" w:w="4960"/>
            <w:tcMar>
              <w:top w:w="80" w:type="dxa"/>
              <w:start w:w="120" w:type="dxa"/>
              <w:bottom w:w="80" w:type="dxa"/>
              <w:end w:w="120" w:type="dxa"/>
            </w:tcMar>
            <w:vAlign w:val="center"/>
          </w:tcPr>
          <w:p>
            <w:pPr>
              <w:spacing w:after="0" w:line="252" w:lineRule="auto"/>
            </w:pPr>
            <w:r>
              <w:rPr>
                <w:rFonts w:ascii="Calibri" w:hAnsi="Calibri" w:eastAsia="Calibri"/>
                <w:color w:val="202124"/>
                <w:sz w:val="18"/>
              </w:rPr>
              <w:t>Enforce the product boundary and require change control for adjacent domains.</w:t>
            </w:r>
          </w:p>
        </w:tc>
      </w:tr>
      <w:tr>
        <w:trPr>
          <w:cantSplit/>
        </w:trPr>
        <w:tc>
          <w:tcPr>
            <w:tcW w:type="dxa" w:w="25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Historic data is inconsistent or duplicated</w:t>
            </w:r>
          </w:p>
        </w:tc>
        <w:tc>
          <w:tcPr>
            <w:tcW w:type="dxa" w:w="19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Unreliable reports and adoption loss</w:t>
            </w:r>
          </w:p>
        </w:tc>
        <w:tc>
          <w:tcPr>
            <w:tcW w:type="dxa" w:w="49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Stage, normalize, preview, reconcile, and obtain explicit import approval.</w:t>
            </w:r>
          </w:p>
        </w:tc>
      </w:tr>
      <w:tr>
        <w:trPr>
          <w:cantSplit/>
        </w:trPr>
        <w:tc>
          <w:tcPr>
            <w:tcW w:type="dxa" w:w="2500"/>
            <w:tcMar>
              <w:top w:w="80" w:type="dxa"/>
              <w:start w:w="120" w:type="dxa"/>
              <w:bottom w:w="80" w:type="dxa"/>
              <w:end w:w="120" w:type="dxa"/>
            </w:tcMar>
            <w:vAlign w:val="center"/>
          </w:tcPr>
          <w:p>
            <w:pPr>
              <w:spacing w:after="0" w:line="252" w:lineRule="auto"/>
            </w:pPr>
            <w:r>
              <w:rPr>
                <w:rFonts w:ascii="Calibri" w:hAnsi="Calibri" w:eastAsia="Calibri"/>
                <w:color w:val="202124"/>
                <w:sz w:val="18"/>
              </w:rPr>
              <w:t>Broad roles expose sensitive IGP references</w:t>
            </w:r>
          </w:p>
        </w:tc>
        <w:tc>
          <w:tcPr>
            <w:tcW w:type="dxa" w:w="1900"/>
            <w:tcMar>
              <w:top w:w="80" w:type="dxa"/>
              <w:start w:w="120" w:type="dxa"/>
              <w:bottom w:w="80" w:type="dxa"/>
              <w:end w:w="120" w:type="dxa"/>
            </w:tcMar>
            <w:vAlign w:val="center"/>
          </w:tcPr>
          <w:p>
            <w:pPr>
              <w:spacing w:after="0" w:line="252" w:lineRule="auto"/>
            </w:pPr>
            <w:r>
              <w:rPr>
                <w:rFonts w:ascii="Calibri" w:hAnsi="Calibri" w:eastAsia="Calibri"/>
                <w:color w:val="202124"/>
                <w:sz w:val="18"/>
              </w:rPr>
              <w:t>Privacy/security incident</w:t>
            </w:r>
          </w:p>
        </w:tc>
        <w:tc>
          <w:tcPr>
            <w:tcW w:type="dxa" w:w="4960"/>
            <w:tcMar>
              <w:top w:w="80" w:type="dxa"/>
              <w:start w:w="120" w:type="dxa"/>
              <w:bottom w:w="80" w:type="dxa"/>
              <w:end w:w="120" w:type="dxa"/>
            </w:tcMar>
            <w:vAlign w:val="center"/>
          </w:tcPr>
          <w:p>
            <w:pPr>
              <w:spacing w:after="0" w:line="252" w:lineRule="auto"/>
            </w:pPr>
            <w:r>
              <w:rPr>
                <w:rFonts w:ascii="Calibri" w:hAnsi="Calibri" w:eastAsia="Calibri"/>
                <w:color w:val="202124"/>
                <w:sz w:val="18"/>
              </w:rPr>
              <w:t>Scope every assignment, add named sensitive permission, and audit access.</w:t>
            </w:r>
          </w:p>
        </w:tc>
      </w:tr>
      <w:tr>
        <w:trPr>
          <w:cantSplit/>
        </w:trPr>
        <w:tc>
          <w:tcPr>
            <w:tcW w:type="dxa" w:w="25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Student leadership turnover breaks continuity</w:t>
            </w:r>
          </w:p>
        </w:tc>
        <w:tc>
          <w:tcPr>
            <w:tcW w:type="dxa" w:w="19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Loss of institutional memory</w:t>
            </w:r>
          </w:p>
        </w:tc>
        <w:tc>
          <w:tcPr>
            <w:tcW w:type="dxa" w:w="49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Effective-dated roles, immutable history, templates, closure requirements, and handover reports.</w:t>
            </w:r>
          </w:p>
        </w:tc>
      </w:tr>
      <w:tr>
        <w:trPr>
          <w:cantSplit/>
        </w:trPr>
        <w:tc>
          <w:tcPr>
            <w:tcW w:type="dxa" w:w="2500"/>
            <w:tcMar>
              <w:top w:w="80" w:type="dxa"/>
              <w:start w:w="120" w:type="dxa"/>
              <w:bottom w:w="80" w:type="dxa"/>
              <w:end w:w="120" w:type="dxa"/>
            </w:tcMar>
            <w:vAlign w:val="center"/>
          </w:tcPr>
          <w:p>
            <w:pPr>
              <w:spacing w:after="0" w:line="252" w:lineRule="auto"/>
            </w:pPr>
            <w:r>
              <w:rPr>
                <w:rFonts w:ascii="Calibri" w:hAnsi="Calibri" w:eastAsia="Calibri"/>
                <w:color w:val="202124"/>
                <w:sz w:val="18"/>
              </w:rPr>
              <w:t>Demonstrator is mistaken for production</w:t>
            </w:r>
          </w:p>
        </w:tc>
        <w:tc>
          <w:tcPr>
            <w:tcW w:type="dxa" w:w="1900"/>
            <w:tcMar>
              <w:top w:w="80" w:type="dxa"/>
              <w:start w:w="120" w:type="dxa"/>
              <w:bottom w:w="80" w:type="dxa"/>
              <w:end w:w="120" w:type="dxa"/>
            </w:tcMar>
            <w:vAlign w:val="center"/>
          </w:tcPr>
          <w:p>
            <w:pPr>
              <w:spacing w:after="0" w:line="252" w:lineRule="auto"/>
            </w:pPr>
            <w:r>
              <w:rPr>
                <w:rFonts w:ascii="Calibri" w:hAnsi="Calibri" w:eastAsia="Calibri"/>
                <w:color w:val="202124"/>
                <w:sz w:val="18"/>
              </w:rPr>
              <w:t>Premature use and data risk</w:t>
            </w:r>
          </w:p>
        </w:tc>
        <w:tc>
          <w:tcPr>
            <w:tcW w:type="dxa" w:w="4960"/>
            <w:tcMar>
              <w:top w:w="80" w:type="dxa"/>
              <w:start w:w="120" w:type="dxa"/>
              <w:bottom w:w="80" w:type="dxa"/>
              <w:end w:w="120" w:type="dxa"/>
            </w:tcMar>
            <w:vAlign w:val="center"/>
          </w:tcPr>
          <w:p>
            <w:pPr>
              <w:spacing w:after="0" w:line="252" w:lineRule="auto"/>
            </w:pPr>
            <w:r>
              <w:rPr>
                <w:rFonts w:ascii="Calibri" w:hAnsi="Calibri" w:eastAsia="Calibri"/>
                <w:color w:val="202124"/>
                <w:sz w:val="18"/>
              </w:rPr>
              <w:t>Persistent environment labels, synthetic/nonproduction database, and no production approval claim.</w:t>
            </w:r>
          </w:p>
        </w:tc>
      </w:tr>
      <w:tr>
        <w:trPr>
          <w:cantSplit/>
        </w:trPr>
        <w:tc>
          <w:tcPr>
            <w:tcW w:type="dxa" w:w="25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Solo delivery creates concentration risk</w:t>
            </w:r>
          </w:p>
        </w:tc>
        <w:tc>
          <w:tcPr>
            <w:tcW w:type="dxa" w:w="19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Maintenance and schedule risk</w:t>
            </w:r>
          </w:p>
        </w:tc>
        <w:tc>
          <w:tcPr>
            <w:tcW w:type="dxa" w:w="49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Modular architecture, tests, runbooks, Terraform, documented decisions, and stakeholder gates.</w:t>
            </w:r>
          </w:p>
        </w:tc>
      </w:tr>
      <w:tr>
        <w:trPr>
          <w:cantSplit/>
        </w:trPr>
        <w:tc>
          <w:tcPr>
            <w:tcW w:type="dxa" w:w="2500"/>
            <w:tcMar>
              <w:top w:w="80" w:type="dxa"/>
              <w:start w:w="120" w:type="dxa"/>
              <w:bottom w:w="80" w:type="dxa"/>
              <w:end w:w="120" w:type="dxa"/>
            </w:tcMar>
            <w:vAlign w:val="center"/>
          </w:tcPr>
          <w:p>
            <w:pPr>
              <w:spacing w:after="0" w:line="252" w:lineRule="auto"/>
            </w:pPr>
            <w:r>
              <w:rPr>
                <w:rFonts w:ascii="Calibri" w:hAnsi="Calibri" w:eastAsia="Calibri"/>
                <w:color w:val="202124"/>
                <w:sz w:val="18"/>
              </w:rPr>
              <w:t>Drive link permissions drift</w:t>
            </w:r>
          </w:p>
        </w:tc>
        <w:tc>
          <w:tcPr>
            <w:tcW w:type="dxa" w:w="1900"/>
            <w:tcMar>
              <w:top w:w="80" w:type="dxa"/>
              <w:start w:w="120" w:type="dxa"/>
              <w:bottom w:w="80" w:type="dxa"/>
              <w:end w:w="120" w:type="dxa"/>
            </w:tcMar>
            <w:vAlign w:val="center"/>
          </w:tcPr>
          <w:p>
            <w:pPr>
              <w:spacing w:after="0" w:line="252" w:lineRule="auto"/>
            </w:pPr>
            <w:r>
              <w:rPr>
                <w:rFonts w:ascii="Calibri" w:hAnsi="Calibri" w:eastAsia="Calibri"/>
                <w:color w:val="202124"/>
                <w:sz w:val="18"/>
              </w:rPr>
              <w:t>Broken evidence or unintended exposure</w:t>
            </w:r>
          </w:p>
        </w:tc>
        <w:tc>
          <w:tcPr>
            <w:tcW w:type="dxa" w:w="4960"/>
            <w:tcMar>
              <w:top w:w="80" w:type="dxa"/>
              <w:start w:w="120" w:type="dxa"/>
              <w:bottom w:w="80" w:type="dxa"/>
              <w:end w:w="120" w:type="dxa"/>
            </w:tcMar>
            <w:vAlign w:val="center"/>
          </w:tcPr>
          <w:p>
            <w:pPr>
              <w:spacing w:after="0" w:line="252" w:lineRule="auto"/>
            </w:pPr>
            <w:r>
              <w:rPr>
                <w:rFonts w:ascii="Calibri" w:hAnsi="Calibri" w:eastAsia="Calibri"/>
                <w:color w:val="202124"/>
                <w:sz w:val="18"/>
              </w:rPr>
              <w:t>Metadata validation, visibility checks, alerts, and never auto-broaden sharing.</w:t>
            </w:r>
          </w:p>
        </w:tc>
      </w:tr>
    </w:tbl>
    <w:p>
      <w:pPr>
        <w:spacing w:after="20"/>
      </w:pPr>
    </w:p>
    <w:p>
      <w:pPr>
        <w:pStyle w:val="Heading1"/>
      </w:pPr>
      <w:r>
        <w:rPr>
          <w:rFonts w:ascii="Calibri" w:hAnsi="Calibri" w:eastAsia="Calibri"/>
          <w:color w:val="202124"/>
        </w:rPr>
        <w:t>15. Decision log</w:t>
      </w:r>
    </w:p>
    <w:tbl>
      <w:tblPr>
        <w:tblW w:type="dxa" w:w="9360"/>
        <w:jc w:val="left"/>
        <w:tblLayout w:type="fixed"/>
        <w:tblLook w:firstColumn="1" w:firstRow="1" w:lastColumn="0" w:lastRow="0" w:noHBand="0" w:noVBand="1" w:val="04A0"/>
        <w:tblInd w:w="120" w:type="dxa"/>
        <w:tblBorders>
          <w:top w:val="single" w:sz="4" w:space="0" w:color="B9C4D0"/>
          <w:left w:val="single" w:sz="4" w:space="0" w:color="B9C4D0"/>
          <w:bottom w:val="single" w:sz="4" w:space="0" w:color="B9C4D0"/>
          <w:right w:val="single" w:sz="4" w:space="0" w:color="B9C4D0"/>
          <w:insideH w:val="single" w:sz="4" w:space="0" w:color="B9C4D0"/>
          <w:insideV w:val="single" w:sz="4" w:space="0" w:color="B9C4D0"/>
        </w:tblBorders>
      </w:tblPr>
      <w:tblGrid>
        <w:gridCol w:w="800"/>
        <w:gridCol w:w="1000"/>
        <w:gridCol w:w="2100"/>
        <w:gridCol w:w="4360"/>
        <w:gridCol w:w="1100"/>
      </w:tblGrid>
      <w:tr>
        <w:trPr>
          <w:tblHeader w:val="true"/>
          <w:cantSplit/>
        </w:trPr>
        <w:tc>
          <w:tcPr>
            <w:tcW w:type="dxa" w:w="80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ID</w:t>
            </w:r>
          </w:p>
        </w:tc>
        <w:tc>
          <w:tcPr>
            <w:tcW w:type="dxa" w:w="100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Date</w:t>
            </w:r>
          </w:p>
        </w:tc>
        <w:tc>
          <w:tcPr>
            <w:tcW w:type="dxa" w:w="210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Decision</w:t>
            </w:r>
          </w:p>
        </w:tc>
        <w:tc>
          <w:tcPr>
            <w:tcW w:type="dxa" w:w="436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Rationale</w:t>
            </w:r>
          </w:p>
        </w:tc>
        <w:tc>
          <w:tcPr>
            <w:tcW w:type="dxa" w:w="110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Status</w:t>
            </w:r>
          </w:p>
        </w:tc>
      </w:tr>
      <w:tr>
        <w:trPr>
          <w:cantSplit/>
        </w:trPr>
        <w:tc>
          <w:tcPr>
            <w:tcW w:type="dxa" w:w="800"/>
            <w:tcMar>
              <w:top w:w="80" w:type="dxa"/>
              <w:start w:w="120" w:type="dxa"/>
              <w:bottom w:w="80" w:type="dxa"/>
              <w:end w:w="120" w:type="dxa"/>
            </w:tcMar>
            <w:vAlign w:val="center"/>
          </w:tcPr>
          <w:p>
            <w:pPr>
              <w:spacing w:after="0" w:line="252" w:lineRule="auto"/>
            </w:pPr>
            <w:r>
              <w:rPr>
                <w:rFonts w:ascii="Calibri" w:hAnsi="Calibri" w:eastAsia="Calibri"/>
                <w:color w:val="202124"/>
                <w:sz w:val="16"/>
              </w:rPr>
              <w:t>D-001</w:t>
            </w:r>
          </w:p>
        </w:tc>
        <w:tc>
          <w:tcPr>
            <w:tcW w:type="dxa" w:w="1000"/>
            <w:tcMar>
              <w:top w:w="80" w:type="dxa"/>
              <w:start w:w="120" w:type="dxa"/>
              <w:bottom w:w="80" w:type="dxa"/>
              <w:end w:w="120" w:type="dxa"/>
            </w:tcMar>
            <w:vAlign w:val="center"/>
          </w:tcPr>
          <w:p>
            <w:pPr>
              <w:spacing w:after="0" w:line="252" w:lineRule="auto"/>
            </w:pPr>
            <w:r>
              <w:rPr>
                <w:rFonts w:ascii="Calibri" w:hAnsi="Calibri" w:eastAsia="Calibri"/>
                <w:color w:val="202124"/>
                <w:sz w:val="16"/>
              </w:rPr>
              <w:t>2026-07-16</w:t>
            </w:r>
          </w:p>
        </w:tc>
        <w:tc>
          <w:tcPr>
            <w:tcW w:type="dxa" w:w="2100"/>
            <w:tcMar>
              <w:top w:w="80" w:type="dxa"/>
              <w:start w:w="120" w:type="dxa"/>
              <w:bottom w:w="80" w:type="dxa"/>
              <w:end w:w="120" w:type="dxa"/>
            </w:tcMar>
            <w:vAlign w:val="center"/>
          </w:tcPr>
          <w:p>
            <w:pPr>
              <w:spacing w:after="0" w:line="252" w:lineRule="auto"/>
            </w:pPr>
            <w:r>
              <w:rPr>
                <w:rFonts w:ascii="Calibri" w:hAnsi="Calibri" w:eastAsia="Calibri"/>
                <w:color w:val="202124"/>
                <w:sz w:val="16"/>
              </w:rPr>
              <w:t>Upgrade v2; do not restart as v3</w:t>
            </w:r>
          </w:p>
        </w:tc>
        <w:tc>
          <w:tcPr>
            <w:tcW w:type="dxa" w:w="4360"/>
            <w:tcMar>
              <w:top w:w="80" w:type="dxa"/>
              <w:start w:w="120" w:type="dxa"/>
              <w:bottom w:w="80" w:type="dxa"/>
              <w:end w:w="120" w:type="dxa"/>
            </w:tcMar>
            <w:vAlign w:val="center"/>
          </w:tcPr>
          <w:p>
            <w:pPr>
              <w:spacing w:after="0" w:line="252" w:lineRule="auto"/>
            </w:pPr>
            <w:r>
              <w:rPr>
                <w:rFonts w:ascii="Calibri" w:hAnsi="Calibri" w:eastAsia="Calibri"/>
                <w:color w:val="202124"/>
                <w:sz w:val="16"/>
              </w:rPr>
              <w:t>v2 has the strongest UI and interaction foundation; gaps are domain and production-hardening gaps.</w:t>
            </w:r>
          </w:p>
        </w:tc>
        <w:tc>
          <w:tcPr>
            <w:tcW w:type="dxa" w:w="11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6"/>
              </w:rPr>
              <w:t>Locked</w:t>
            </w:r>
          </w:p>
        </w:tc>
      </w:tr>
      <w:tr>
        <w:trPr>
          <w:cantSplit/>
        </w:trPr>
        <w:tc>
          <w:tcPr>
            <w:tcW w:type="dxa" w:w="8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D-002</w:t>
            </w:r>
          </w:p>
        </w:tc>
        <w:tc>
          <w:tcPr>
            <w:tcW w:type="dxa" w:w="10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2026-07-16</w:t>
            </w:r>
          </w:p>
        </w:tc>
        <w:tc>
          <w:tcPr>
            <w:tcW w:type="dxa" w:w="21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Use modular monolith</w:t>
            </w:r>
          </w:p>
        </w:tc>
        <w:tc>
          <w:tcPr>
            <w:tcW w:type="dxa" w:w="43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Appropriate for a solo/AI-assisted team and current scale; preserves clear domain boundaries without distributed-system overhead.</w:t>
            </w:r>
          </w:p>
        </w:tc>
        <w:tc>
          <w:tcPr>
            <w:tcW w:type="dxa" w:w="1100"/>
            <w:shd w:fill="F8FAFC"/>
            <w:tcMar>
              <w:top w:w="80" w:type="dxa"/>
              <w:start w:w="120" w:type="dxa"/>
              <w:bottom w:w="80" w:type="dxa"/>
              <w:end w:w="120" w:type="dxa"/>
            </w:tcMar>
            <w:vAlign w:val="center"/>
          </w:tcPr>
          <w:p>
            <w:pPr>
              <w:spacing w:after="0" w:line="252" w:lineRule="auto"/>
              <w:jc w:val="center"/>
            </w:pPr>
            <w:r>
              <w:rPr>
                <w:rFonts w:ascii="Calibri" w:hAnsi="Calibri" w:eastAsia="Calibri"/>
                <w:color w:val="202124"/>
                <w:sz w:val="16"/>
              </w:rPr>
              <w:t>Locked</w:t>
            </w:r>
          </w:p>
        </w:tc>
      </w:tr>
      <w:tr>
        <w:trPr>
          <w:cantSplit/>
        </w:trPr>
        <w:tc>
          <w:tcPr>
            <w:tcW w:type="dxa" w:w="800"/>
            <w:tcMar>
              <w:top w:w="80" w:type="dxa"/>
              <w:start w:w="120" w:type="dxa"/>
              <w:bottom w:w="80" w:type="dxa"/>
              <w:end w:w="120" w:type="dxa"/>
            </w:tcMar>
            <w:vAlign w:val="center"/>
          </w:tcPr>
          <w:p>
            <w:pPr>
              <w:spacing w:after="0" w:line="252" w:lineRule="auto"/>
            </w:pPr>
            <w:r>
              <w:rPr>
                <w:rFonts w:ascii="Calibri" w:hAnsi="Calibri" w:eastAsia="Calibri"/>
                <w:color w:val="202124"/>
                <w:sz w:val="16"/>
              </w:rPr>
              <w:t>D-003</w:t>
            </w:r>
          </w:p>
        </w:tc>
        <w:tc>
          <w:tcPr>
            <w:tcW w:type="dxa" w:w="1000"/>
            <w:tcMar>
              <w:top w:w="80" w:type="dxa"/>
              <w:start w:w="120" w:type="dxa"/>
              <w:bottom w:w="80" w:type="dxa"/>
              <w:end w:w="120" w:type="dxa"/>
            </w:tcMar>
            <w:vAlign w:val="center"/>
          </w:tcPr>
          <w:p>
            <w:pPr>
              <w:spacing w:after="0" w:line="252" w:lineRule="auto"/>
            </w:pPr>
            <w:r>
              <w:rPr>
                <w:rFonts w:ascii="Calibri" w:hAnsi="Calibri" w:eastAsia="Calibri"/>
                <w:color w:val="202124"/>
                <w:sz w:val="16"/>
              </w:rPr>
              <w:t>2026-07-16</w:t>
            </w:r>
          </w:p>
        </w:tc>
        <w:tc>
          <w:tcPr>
            <w:tcW w:type="dxa" w:w="2100"/>
            <w:tcMar>
              <w:top w:w="80" w:type="dxa"/>
              <w:start w:w="120" w:type="dxa"/>
              <w:bottom w:w="80" w:type="dxa"/>
              <w:end w:w="120" w:type="dxa"/>
            </w:tcMar>
            <w:vAlign w:val="center"/>
          </w:tcPr>
          <w:p>
            <w:pPr>
              <w:spacing w:after="0" w:line="252" w:lineRule="auto"/>
            </w:pPr>
            <w:r>
              <w:rPr>
                <w:rFonts w:ascii="Calibri" w:hAnsi="Calibri" w:eastAsia="Calibri"/>
                <w:color w:val="202124"/>
                <w:sz w:val="16"/>
              </w:rPr>
              <w:t>GCP deployment</w:t>
            </w:r>
          </w:p>
        </w:tc>
        <w:tc>
          <w:tcPr>
            <w:tcW w:type="dxa" w:w="4360"/>
            <w:tcMar>
              <w:top w:w="80" w:type="dxa"/>
              <w:start w:w="120" w:type="dxa"/>
              <w:bottom w:w="80" w:type="dxa"/>
              <w:end w:w="120" w:type="dxa"/>
            </w:tcMar>
            <w:vAlign w:val="center"/>
          </w:tcPr>
          <w:p>
            <w:pPr>
              <w:spacing w:after="0" w:line="252" w:lineRule="auto"/>
            </w:pPr>
            <w:r>
              <w:rPr>
                <w:rFonts w:ascii="Calibri" w:hAnsi="Calibri" w:eastAsia="Calibri"/>
                <w:color w:val="202124"/>
                <w:sz w:val="16"/>
              </w:rPr>
              <w:t>Best alignment with Google Drive, managed container hosting, managed PostgreSQL, secrets, and scheduled/background services.</w:t>
            </w:r>
          </w:p>
        </w:tc>
        <w:tc>
          <w:tcPr>
            <w:tcW w:type="dxa" w:w="11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6"/>
              </w:rPr>
              <w:t>Locked</w:t>
            </w:r>
          </w:p>
        </w:tc>
      </w:tr>
      <w:tr>
        <w:trPr>
          <w:cantSplit/>
        </w:trPr>
        <w:tc>
          <w:tcPr>
            <w:tcW w:type="dxa" w:w="8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D-004</w:t>
            </w:r>
          </w:p>
        </w:tc>
        <w:tc>
          <w:tcPr>
            <w:tcW w:type="dxa" w:w="10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2026-07-16</w:t>
            </w:r>
          </w:p>
        </w:tc>
        <w:tc>
          <w:tcPr>
            <w:tcW w:type="dxa" w:w="21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Platform accounts first, identity adapter later</w:t>
            </w:r>
          </w:p>
        </w:tc>
        <w:tc>
          <w:tcPr>
            <w:tcW w:type="dxa" w:w="43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Enables delivery without coupling operational records to an unavailable institutional directory.</w:t>
            </w:r>
          </w:p>
        </w:tc>
        <w:tc>
          <w:tcPr>
            <w:tcW w:type="dxa" w:w="1100"/>
            <w:shd w:fill="F8FAFC"/>
            <w:tcMar>
              <w:top w:w="80" w:type="dxa"/>
              <w:start w:w="120" w:type="dxa"/>
              <w:bottom w:w="80" w:type="dxa"/>
              <w:end w:w="120" w:type="dxa"/>
            </w:tcMar>
            <w:vAlign w:val="center"/>
          </w:tcPr>
          <w:p>
            <w:pPr>
              <w:spacing w:after="0" w:line="252" w:lineRule="auto"/>
              <w:jc w:val="center"/>
            </w:pPr>
            <w:r>
              <w:rPr>
                <w:rFonts w:ascii="Calibri" w:hAnsi="Calibri" w:eastAsia="Calibri"/>
                <w:color w:val="202124"/>
                <w:sz w:val="16"/>
              </w:rPr>
              <w:t>Locked</w:t>
            </w:r>
          </w:p>
        </w:tc>
      </w:tr>
      <w:tr>
        <w:trPr>
          <w:cantSplit/>
        </w:trPr>
        <w:tc>
          <w:tcPr>
            <w:tcW w:type="dxa" w:w="800"/>
            <w:tcMar>
              <w:top w:w="80" w:type="dxa"/>
              <w:start w:w="120" w:type="dxa"/>
              <w:bottom w:w="80" w:type="dxa"/>
              <w:end w:w="120" w:type="dxa"/>
            </w:tcMar>
            <w:vAlign w:val="center"/>
          </w:tcPr>
          <w:p>
            <w:pPr>
              <w:spacing w:after="0" w:line="252" w:lineRule="auto"/>
            </w:pPr>
            <w:r>
              <w:rPr>
                <w:rFonts w:ascii="Calibri" w:hAnsi="Calibri" w:eastAsia="Calibri"/>
                <w:color w:val="202124"/>
                <w:sz w:val="16"/>
              </w:rPr>
              <w:t>D-005</w:t>
            </w:r>
          </w:p>
        </w:tc>
        <w:tc>
          <w:tcPr>
            <w:tcW w:type="dxa" w:w="1000"/>
            <w:tcMar>
              <w:top w:w="80" w:type="dxa"/>
              <w:start w:w="120" w:type="dxa"/>
              <w:bottom w:w="80" w:type="dxa"/>
              <w:end w:w="120" w:type="dxa"/>
            </w:tcMar>
            <w:vAlign w:val="center"/>
          </w:tcPr>
          <w:p>
            <w:pPr>
              <w:spacing w:after="0" w:line="252" w:lineRule="auto"/>
            </w:pPr>
            <w:r>
              <w:rPr>
                <w:rFonts w:ascii="Calibri" w:hAnsi="Calibri" w:eastAsia="Calibri"/>
                <w:color w:val="202124"/>
                <w:sz w:val="16"/>
              </w:rPr>
              <w:t>2026-07-16</w:t>
            </w:r>
          </w:p>
        </w:tc>
        <w:tc>
          <w:tcPr>
            <w:tcW w:type="dxa" w:w="2100"/>
            <w:tcMar>
              <w:top w:w="80" w:type="dxa"/>
              <w:start w:w="120" w:type="dxa"/>
              <w:bottom w:w="80" w:type="dxa"/>
              <w:end w:w="120" w:type="dxa"/>
            </w:tcMar>
            <w:vAlign w:val="center"/>
          </w:tcPr>
          <w:p>
            <w:pPr>
              <w:spacing w:after="0" w:line="252" w:lineRule="auto"/>
            </w:pPr>
            <w:r>
              <w:rPr>
                <w:rFonts w:ascii="Calibri" w:hAnsi="Calibri" w:eastAsia="Calibri"/>
                <w:color w:val="202124"/>
                <w:sz w:val="16"/>
              </w:rPr>
              <w:t>Sensitive files remain in restricted Drive</w:t>
            </w:r>
          </w:p>
        </w:tc>
        <w:tc>
          <w:tcPr>
            <w:tcW w:type="dxa" w:w="4360"/>
            <w:tcMar>
              <w:top w:w="80" w:type="dxa"/>
              <w:start w:w="120" w:type="dxa"/>
              <w:bottom w:w="80" w:type="dxa"/>
              <w:end w:w="120" w:type="dxa"/>
            </w:tcMar>
            <w:vAlign w:val="center"/>
          </w:tcPr>
          <w:p>
            <w:pPr>
              <w:spacing w:after="0" w:line="252" w:lineRule="auto"/>
            </w:pPr>
            <w:r>
              <w:rPr>
                <w:rFonts w:ascii="Calibri" w:hAnsi="Calibri" w:eastAsia="Calibri"/>
                <w:color w:val="202124"/>
                <w:sz w:val="16"/>
              </w:rPr>
              <w:t>Minimizes privacy exposure and avoids duplicating authoritative restricted files.</w:t>
            </w:r>
          </w:p>
        </w:tc>
        <w:tc>
          <w:tcPr>
            <w:tcW w:type="dxa" w:w="11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6"/>
              </w:rPr>
              <w:t>Locked</w:t>
            </w:r>
          </w:p>
        </w:tc>
      </w:tr>
      <w:tr>
        <w:trPr>
          <w:cantSplit/>
        </w:trPr>
        <w:tc>
          <w:tcPr>
            <w:tcW w:type="dxa" w:w="8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D-006</w:t>
            </w:r>
          </w:p>
        </w:tc>
        <w:tc>
          <w:tcPr>
            <w:tcW w:type="dxa" w:w="10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2026-07-16</w:t>
            </w:r>
          </w:p>
        </w:tc>
        <w:tc>
          <w:tcPr>
            <w:tcW w:type="dxa" w:w="21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Fresh production database</w:t>
            </w:r>
          </w:p>
        </w:tc>
        <w:tc>
          <w:tcPr>
            <w:tcW w:type="dxa" w:w="43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Existing v2 data is synthetic and not migration-worthy as production truth.</w:t>
            </w:r>
          </w:p>
        </w:tc>
        <w:tc>
          <w:tcPr>
            <w:tcW w:type="dxa" w:w="1100"/>
            <w:shd w:fill="F8FAFC"/>
            <w:tcMar>
              <w:top w:w="80" w:type="dxa"/>
              <w:start w:w="120" w:type="dxa"/>
              <w:bottom w:w="80" w:type="dxa"/>
              <w:end w:w="120" w:type="dxa"/>
            </w:tcMar>
            <w:vAlign w:val="center"/>
          </w:tcPr>
          <w:p>
            <w:pPr>
              <w:spacing w:after="0" w:line="252" w:lineRule="auto"/>
              <w:jc w:val="center"/>
            </w:pPr>
            <w:r>
              <w:rPr>
                <w:rFonts w:ascii="Calibri" w:hAnsi="Calibri" w:eastAsia="Calibri"/>
                <w:color w:val="202124"/>
                <w:sz w:val="16"/>
              </w:rPr>
              <w:t>Locked</w:t>
            </w:r>
          </w:p>
        </w:tc>
      </w:tr>
      <w:tr>
        <w:trPr>
          <w:cantSplit/>
        </w:trPr>
        <w:tc>
          <w:tcPr>
            <w:tcW w:type="dxa" w:w="800"/>
            <w:tcMar>
              <w:top w:w="80" w:type="dxa"/>
              <w:start w:w="120" w:type="dxa"/>
              <w:bottom w:w="80" w:type="dxa"/>
              <w:end w:w="120" w:type="dxa"/>
            </w:tcMar>
            <w:vAlign w:val="center"/>
          </w:tcPr>
          <w:p>
            <w:pPr>
              <w:spacing w:after="0" w:line="252" w:lineRule="auto"/>
            </w:pPr>
            <w:r>
              <w:rPr>
                <w:rFonts w:ascii="Calibri" w:hAnsi="Calibri" w:eastAsia="Calibri"/>
                <w:color w:val="202124"/>
                <w:sz w:val="16"/>
              </w:rPr>
              <w:t>D-007</w:t>
            </w:r>
          </w:p>
        </w:tc>
        <w:tc>
          <w:tcPr>
            <w:tcW w:type="dxa" w:w="1000"/>
            <w:tcMar>
              <w:top w:w="80" w:type="dxa"/>
              <w:start w:w="120" w:type="dxa"/>
              <w:bottom w:w="80" w:type="dxa"/>
              <w:end w:w="120" w:type="dxa"/>
            </w:tcMar>
            <w:vAlign w:val="center"/>
          </w:tcPr>
          <w:p>
            <w:pPr>
              <w:spacing w:after="0" w:line="252" w:lineRule="auto"/>
            </w:pPr>
            <w:r>
              <w:rPr>
                <w:rFonts w:ascii="Calibri" w:hAnsi="Calibri" w:eastAsia="Calibri"/>
                <w:color w:val="202124"/>
                <w:sz w:val="16"/>
              </w:rPr>
              <w:t>2026-07-16</w:t>
            </w:r>
          </w:p>
        </w:tc>
        <w:tc>
          <w:tcPr>
            <w:tcW w:type="dxa" w:w="2100"/>
            <w:tcMar>
              <w:top w:w="80" w:type="dxa"/>
              <w:start w:w="120" w:type="dxa"/>
              <w:bottom w:w="80" w:type="dxa"/>
              <w:end w:w="120" w:type="dxa"/>
            </w:tcMar>
            <w:vAlign w:val="center"/>
          </w:tcPr>
          <w:p>
            <w:pPr>
              <w:spacing w:after="0" w:line="252" w:lineRule="auto"/>
            </w:pPr>
            <w:r>
              <w:rPr>
                <w:rFonts w:ascii="Calibri" w:hAnsi="Calibri" w:eastAsia="Calibri"/>
                <w:color w:val="202124"/>
                <w:sz w:val="16"/>
              </w:rPr>
              <w:t>Demonstrator precedes production</w:t>
            </w:r>
          </w:p>
        </w:tc>
        <w:tc>
          <w:tcPr>
            <w:tcW w:type="dxa" w:w="4360"/>
            <w:tcMar>
              <w:top w:w="80" w:type="dxa"/>
              <w:start w:w="120" w:type="dxa"/>
              <w:bottom w:w="80" w:type="dxa"/>
              <w:end w:w="120" w:type="dxa"/>
            </w:tcMar>
            <w:vAlign w:val="center"/>
          </w:tcPr>
          <w:p>
            <w:pPr>
              <w:spacing w:after="0" w:line="252" w:lineRule="auto"/>
            </w:pPr>
            <w:r>
              <w:rPr>
                <w:rFonts w:ascii="Calibri" w:hAnsi="Calibri" w:eastAsia="Calibri"/>
                <w:color w:val="202124"/>
                <w:sz w:val="16"/>
              </w:rPr>
              <w:t>Three days can validate workflows and architecture but cannot satisfy production security, migration, pilot, and recovery gates.</w:t>
            </w:r>
          </w:p>
        </w:tc>
        <w:tc>
          <w:tcPr>
            <w:tcW w:type="dxa" w:w="11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6"/>
              </w:rPr>
              <w:t>Locked</w:t>
            </w:r>
          </w:p>
        </w:tc>
      </w:tr>
      <w:tr>
        <w:trPr>
          <w:cantSplit/>
        </w:trPr>
        <w:tc>
          <w:tcPr>
            <w:tcW w:type="dxa" w:w="8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D-008</w:t>
            </w:r>
          </w:p>
        </w:tc>
        <w:tc>
          <w:tcPr>
            <w:tcW w:type="dxa" w:w="10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2026-07-16</w:t>
            </w:r>
          </w:p>
        </w:tc>
        <w:tc>
          <w:tcPr>
            <w:tcW w:type="dxa" w:w="21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Do not delete v1 until archive gates pass</w:t>
            </w:r>
          </w:p>
        </w:tc>
        <w:tc>
          <w:tcPr>
            <w:tcW w:type="dxa" w:w="43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6"/>
              </w:rPr>
              <w:t>V1 contains uncommitted work and unique design concepts needed for traceability.</w:t>
            </w:r>
          </w:p>
        </w:tc>
        <w:tc>
          <w:tcPr>
            <w:tcW w:type="dxa" w:w="1100"/>
            <w:shd w:fill="F8FAFC"/>
            <w:tcMar>
              <w:top w:w="80" w:type="dxa"/>
              <w:start w:w="120" w:type="dxa"/>
              <w:bottom w:w="80" w:type="dxa"/>
              <w:end w:w="120" w:type="dxa"/>
            </w:tcMar>
            <w:vAlign w:val="center"/>
          </w:tcPr>
          <w:p>
            <w:pPr>
              <w:spacing w:after="0" w:line="252" w:lineRule="auto"/>
              <w:jc w:val="center"/>
            </w:pPr>
            <w:r>
              <w:rPr>
                <w:rFonts w:ascii="Calibri" w:hAnsi="Calibri" w:eastAsia="Calibri"/>
                <w:color w:val="202124"/>
                <w:sz w:val="16"/>
              </w:rPr>
              <w:t>Locked</w:t>
            </w:r>
          </w:p>
        </w:tc>
      </w:tr>
    </w:tbl>
    <w:p>
      <w:pPr>
        <w:spacing w:after="20"/>
      </w:pPr>
    </w:p>
    <w:p>
      <w:pPr>
        <w:pStyle w:val="Heading1"/>
      </w:pPr>
      <w:r>
        <w:rPr>
          <w:rFonts w:ascii="Calibri" w:hAnsi="Calibri" w:eastAsia="Calibri"/>
          <w:color w:val="202124"/>
        </w:rPr>
        <w:t>16. Glossary</w:t>
      </w:r>
    </w:p>
    <w:tbl>
      <w:tblPr>
        <w:tblW w:type="dxa" w:w="9360"/>
        <w:jc w:val="left"/>
        <w:tblLayout w:type="fixed"/>
        <w:tblLook w:firstColumn="1" w:firstRow="1" w:lastColumn="0" w:lastRow="0" w:noHBand="0" w:noVBand="1" w:val="04A0"/>
        <w:tblInd w:w="120" w:type="dxa"/>
        <w:tblBorders>
          <w:top w:val="single" w:sz="4" w:space="0" w:color="B9C4D0"/>
          <w:left w:val="single" w:sz="4" w:space="0" w:color="B9C4D0"/>
          <w:bottom w:val="single" w:sz="4" w:space="0" w:color="B9C4D0"/>
          <w:right w:val="single" w:sz="4" w:space="0" w:color="B9C4D0"/>
          <w:insideH w:val="single" w:sz="4" w:space="0" w:color="B9C4D0"/>
          <w:insideV w:val="single" w:sz="4" w:space="0" w:color="B9C4D0"/>
        </w:tblBorders>
      </w:tblPr>
      <w:tblGrid>
        <w:gridCol w:w="2600"/>
        <w:gridCol w:w="6760"/>
      </w:tblGrid>
      <w:tr>
        <w:trPr>
          <w:tblHeader w:val="true"/>
          <w:cantSplit/>
        </w:trPr>
        <w:tc>
          <w:tcPr>
            <w:tcW w:type="dxa" w:w="260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Term</w:t>
            </w:r>
          </w:p>
        </w:tc>
        <w:tc>
          <w:tcPr>
            <w:tcW w:type="dxa" w:w="676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Definition</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eastAsia="Calibri"/>
                <w:color w:val="202124"/>
                <w:sz w:val="18"/>
              </w:rPr>
              <w:t>ICC</w:t>
            </w:r>
          </w:p>
        </w:tc>
        <w:tc>
          <w:tcPr>
            <w:tcW w:type="dxa" w:w="6760"/>
            <w:tcMar>
              <w:top w:w="80" w:type="dxa"/>
              <w:start w:w="120" w:type="dxa"/>
              <w:bottom w:w="80" w:type="dxa"/>
              <w:end w:w="120" w:type="dxa"/>
            </w:tcMar>
            <w:vAlign w:val="center"/>
          </w:tcPr>
          <w:p>
            <w:pPr>
              <w:spacing w:after="0" w:line="252" w:lineRule="auto"/>
            </w:pPr>
            <w:r>
              <w:rPr>
                <w:rFonts w:ascii="Calibri" w:hAnsi="Calibri" w:eastAsia="Calibri"/>
                <w:color w:val="202124"/>
                <w:sz w:val="18"/>
              </w:rPr>
              <w:t>International Christite Community, the student body supporting international and NRI student interaction at CHRIST University.</w:t>
            </w:r>
          </w:p>
        </w:tc>
      </w:tr>
      <w:tr>
        <w:trPr>
          <w:cantSplit/>
        </w:trPr>
        <w:tc>
          <w:tcPr>
            <w:tcW w:type="dxa" w:w="26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IGP</w:t>
            </w:r>
          </w:p>
        </w:tc>
        <w:tc>
          <w:tcPr>
            <w:tcW w:type="dxa" w:w="67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India Gateway Program, the operational wing handling incoming exchange, immersion, summer-school, and related foreign-university programs.</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eastAsia="Calibri"/>
                <w:color w:val="202124"/>
                <w:sz w:val="18"/>
              </w:rPr>
              <w:t>OIA</w:t>
            </w:r>
          </w:p>
        </w:tc>
        <w:tc>
          <w:tcPr>
            <w:tcW w:type="dxa" w:w="6760"/>
            <w:tcMar>
              <w:top w:w="80" w:type="dxa"/>
              <w:start w:w="120" w:type="dxa"/>
              <w:bottom w:w="80" w:type="dxa"/>
              <w:end w:w="120" w:type="dxa"/>
            </w:tcMar>
            <w:vAlign w:val="center"/>
          </w:tcPr>
          <w:p>
            <w:pPr>
              <w:spacing w:after="0" w:line="252" w:lineRule="auto"/>
            </w:pPr>
            <w:r>
              <w:rPr>
                <w:rFonts w:ascii="Calibri" w:hAnsi="Calibri" w:eastAsia="Calibri"/>
                <w:color w:val="202124"/>
                <w:sz w:val="18"/>
              </w:rPr>
              <w:t>Office of International Affairs.</w:t>
            </w:r>
          </w:p>
        </w:tc>
      </w:tr>
      <w:tr>
        <w:trPr>
          <w:cantSplit/>
        </w:trPr>
        <w:tc>
          <w:tcPr>
            <w:tcW w:type="dxa" w:w="26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USC</w:t>
            </w:r>
          </w:p>
        </w:tc>
        <w:tc>
          <w:tcPr>
            <w:tcW w:type="dxa" w:w="67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University Student Council.</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eastAsia="Calibri"/>
                <w:color w:val="202124"/>
                <w:sz w:val="18"/>
              </w:rPr>
              <w:t>Operating unit</w:t>
            </w:r>
          </w:p>
        </w:tc>
        <w:tc>
          <w:tcPr>
            <w:tcW w:type="dxa" w:w="6760"/>
            <w:tcMar>
              <w:top w:w="80" w:type="dxa"/>
              <w:start w:w="120" w:type="dxa"/>
              <w:bottom w:w="80" w:type="dxa"/>
              <w:end w:w="120" w:type="dxa"/>
            </w:tcMar>
            <w:vAlign w:val="center"/>
          </w:tcPr>
          <w:p>
            <w:pPr>
              <w:spacing w:after="0" w:line="252" w:lineRule="auto"/>
            </w:pPr>
            <w:r>
              <w:rPr>
                <w:rFonts w:ascii="Calibri" w:hAnsi="Calibri" w:eastAsia="Calibri"/>
                <w:color w:val="202124"/>
                <w:sz w:val="18"/>
              </w:rPr>
              <w:t>Primary operational boundary: ICC or IGP.</w:t>
            </w:r>
          </w:p>
        </w:tc>
      </w:tr>
      <w:tr>
        <w:trPr>
          <w:cantSplit/>
        </w:trPr>
        <w:tc>
          <w:tcPr>
            <w:tcW w:type="dxa" w:w="26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Wing</w:t>
            </w:r>
          </w:p>
        </w:tc>
        <w:tc>
          <w:tcPr>
            <w:tcW w:type="dxa" w:w="67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A function within ICC, principally Events, Media, or Culturals; IGP is separated operationally despite its organizational relationship.</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eastAsia="Calibri"/>
                <w:color w:val="202124"/>
                <w:sz w:val="18"/>
              </w:rPr>
              <w:t>Project</w:t>
            </w:r>
          </w:p>
        </w:tc>
        <w:tc>
          <w:tcPr>
            <w:tcW w:type="dxa" w:w="6760"/>
            <w:tcMar>
              <w:top w:w="80" w:type="dxa"/>
              <w:start w:w="120" w:type="dxa"/>
              <w:bottom w:w="80" w:type="dxa"/>
              <w:end w:w="120" w:type="dxa"/>
            </w:tcMar>
            <w:vAlign w:val="center"/>
          </w:tcPr>
          <w:p>
            <w:pPr>
              <w:spacing w:after="0" w:line="252" w:lineRule="auto"/>
            </w:pPr>
            <w:r>
              <w:rPr>
                <w:rFonts w:ascii="Calibri" w:hAnsi="Calibri" w:eastAsia="Calibri"/>
                <w:color w:val="202124"/>
                <w:sz w:val="18"/>
              </w:rPr>
              <w:t>Generic delivery record for an ICC event/activity or IGP program/cohort.</w:t>
            </w:r>
          </w:p>
        </w:tc>
      </w:tr>
      <w:tr>
        <w:trPr>
          <w:cantSplit/>
        </w:trPr>
        <w:tc>
          <w:tcPr>
            <w:tcW w:type="dxa" w:w="26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Component</w:t>
            </w:r>
          </w:p>
        </w:tc>
        <w:tc>
          <w:tcPr>
            <w:tcW w:type="dxa" w:w="67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A structural subdivision of a project, such as a day, workstream, or programme segment.</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eastAsia="Calibri"/>
                <w:color w:val="202124"/>
                <w:sz w:val="18"/>
              </w:rPr>
              <w:t>Session</w:t>
            </w:r>
          </w:p>
        </w:tc>
        <w:tc>
          <w:tcPr>
            <w:tcW w:type="dxa" w:w="6760"/>
            <w:tcMar>
              <w:top w:w="80" w:type="dxa"/>
              <w:start w:w="120" w:type="dxa"/>
              <w:bottom w:w="80" w:type="dxa"/>
              <w:end w:w="120" w:type="dxa"/>
            </w:tcMar>
            <w:vAlign w:val="center"/>
          </w:tcPr>
          <w:p>
            <w:pPr>
              <w:spacing w:after="0" w:line="252" w:lineRule="auto"/>
            </w:pPr>
            <w:r>
              <w:rPr>
                <w:rFonts w:ascii="Calibri" w:hAnsi="Calibri" w:eastAsia="Calibri"/>
                <w:color w:val="202124"/>
                <w:sz w:val="18"/>
              </w:rPr>
              <w:t>A scheduled activity with time, venue, owner, participants, and attendance.</w:t>
            </w:r>
          </w:p>
        </w:tc>
      </w:tr>
      <w:tr>
        <w:trPr>
          <w:cantSplit/>
        </w:trPr>
        <w:tc>
          <w:tcPr>
            <w:tcW w:type="dxa" w:w="26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Closure blocker</w:t>
            </w:r>
          </w:p>
        </w:tc>
        <w:tc>
          <w:tcPr>
            <w:tcW w:type="dxa" w:w="67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A mandatory unresolved task, document, checklist requirement, or report field that prevents project completion.</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eastAsia="Calibri"/>
                <w:color w:val="202124"/>
                <w:sz w:val="18"/>
              </w:rPr>
              <w:t>Waiver</w:t>
            </w:r>
          </w:p>
        </w:tc>
        <w:tc>
          <w:tcPr>
            <w:tcW w:type="dxa" w:w="6760"/>
            <w:tcMar>
              <w:top w:w="80" w:type="dxa"/>
              <w:start w:w="120" w:type="dxa"/>
              <w:bottom w:w="80" w:type="dxa"/>
              <w:end w:w="120" w:type="dxa"/>
            </w:tcMar>
            <w:vAlign w:val="center"/>
          </w:tcPr>
          <w:p>
            <w:pPr>
              <w:spacing w:after="0" w:line="252" w:lineRule="auto"/>
            </w:pPr>
            <w:r>
              <w:rPr>
                <w:rFonts w:ascii="Calibri" w:hAnsi="Calibri" w:eastAsia="Calibri"/>
                <w:color w:val="202124"/>
                <w:sz w:val="18"/>
              </w:rPr>
              <w:t>Faculty-approved exception to a mandatory closure requirement, including justification and audit history.</w:t>
            </w:r>
          </w:p>
        </w:tc>
      </w:tr>
      <w:tr>
        <w:trPr>
          <w:cantSplit/>
        </w:trPr>
        <w:tc>
          <w:tcPr>
            <w:tcW w:type="dxa" w:w="26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Person</w:t>
            </w:r>
          </w:p>
        </w:tc>
        <w:tc>
          <w:tcPr>
            <w:tcW w:type="dxa" w:w="67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Operational human record that can exist without a login account.</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eastAsia="Calibri"/>
                <w:color w:val="202124"/>
                <w:sz w:val="18"/>
              </w:rPr>
              <w:t>Role assignment</w:t>
            </w:r>
          </w:p>
        </w:tc>
        <w:tc>
          <w:tcPr>
            <w:tcW w:type="dxa" w:w="6760"/>
            <w:tcMar>
              <w:top w:w="80" w:type="dxa"/>
              <w:start w:w="120" w:type="dxa"/>
              <w:bottom w:w="80" w:type="dxa"/>
              <w:end w:w="120" w:type="dxa"/>
            </w:tcMar>
            <w:vAlign w:val="center"/>
          </w:tcPr>
          <w:p>
            <w:pPr>
              <w:spacing w:after="0" w:line="252" w:lineRule="auto"/>
            </w:pPr>
            <w:r>
              <w:rPr>
                <w:rFonts w:ascii="Calibri" w:hAnsi="Calibri" w:eastAsia="Calibri"/>
                <w:color w:val="202124"/>
                <w:sz w:val="18"/>
              </w:rPr>
              <w:t>Effective-dated permission grant to a person/account with explicit organizational and/or project scope.</w:t>
            </w:r>
          </w:p>
        </w:tc>
      </w:tr>
      <w:tr>
        <w:trPr>
          <w:cantSplit/>
        </w:trPr>
        <w:tc>
          <w:tcPr>
            <w:tcW w:type="dxa" w:w="26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Restricted Drive reference</w:t>
            </w:r>
          </w:p>
        </w:tc>
        <w:tc>
          <w:tcPr>
            <w:tcW w:type="dxa" w:w="67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Identifier or link to a sensitive file whose contents remain outside the ERP and whose visibility requires named permission.</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eastAsia="Calibri"/>
                <w:color w:val="202124"/>
                <w:sz w:val="18"/>
              </w:rPr>
              <w:t>Report snapshot</w:t>
            </w:r>
          </w:p>
        </w:tc>
        <w:tc>
          <w:tcPr>
            <w:tcW w:type="dxa" w:w="6760"/>
            <w:tcMar>
              <w:top w:w="80" w:type="dxa"/>
              <w:start w:w="120" w:type="dxa"/>
              <w:bottom w:w="80" w:type="dxa"/>
              <w:end w:w="120" w:type="dxa"/>
            </w:tcMar>
            <w:vAlign w:val="center"/>
          </w:tcPr>
          <w:p>
            <w:pPr>
              <w:spacing w:after="0" w:line="252" w:lineRule="auto"/>
            </w:pPr>
            <w:r>
              <w:rPr>
                <w:rFonts w:ascii="Calibri" w:hAnsi="Calibri" w:eastAsia="Calibri"/>
                <w:color w:val="202124"/>
                <w:sz w:val="18"/>
              </w:rPr>
              <w:t>Versioned, reproducible report generated from identified source records and requiring approval where narrative content is involved.</w:t>
            </w:r>
          </w:p>
        </w:tc>
      </w:tr>
      <w:tr>
        <w:trPr>
          <w:cantSplit/>
        </w:trPr>
        <w:tc>
          <w:tcPr>
            <w:tcW w:type="dxa" w:w="260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RPO</w:t>
            </w:r>
          </w:p>
        </w:tc>
        <w:tc>
          <w:tcPr>
            <w:tcW w:type="dxa" w:w="6760"/>
            <w:shd w:fill="F8FAFC"/>
            <w:tcMar>
              <w:top w:w="80" w:type="dxa"/>
              <w:start w:w="120" w:type="dxa"/>
              <w:bottom w:w="80" w:type="dxa"/>
              <w:end w:w="120" w:type="dxa"/>
            </w:tcMar>
            <w:vAlign w:val="center"/>
          </w:tcPr>
          <w:p>
            <w:pPr>
              <w:spacing w:after="0" w:line="252" w:lineRule="auto"/>
            </w:pPr>
            <w:r>
              <w:rPr>
                <w:rFonts w:ascii="Calibri" w:hAnsi="Calibri" w:eastAsia="Calibri"/>
                <w:color w:val="202124"/>
                <w:sz w:val="18"/>
              </w:rPr>
              <w:t>Recovery point objective: maximum acceptable data loss measured in time.</w:t>
            </w:r>
          </w:p>
        </w:tc>
      </w:tr>
      <w:tr>
        <w:trPr>
          <w:cantSplit/>
        </w:trPr>
        <w:tc>
          <w:tcPr>
            <w:tcW w:type="dxa" w:w="2600"/>
            <w:tcMar>
              <w:top w:w="80" w:type="dxa"/>
              <w:start w:w="120" w:type="dxa"/>
              <w:bottom w:w="80" w:type="dxa"/>
              <w:end w:w="120" w:type="dxa"/>
            </w:tcMar>
            <w:vAlign w:val="center"/>
          </w:tcPr>
          <w:p>
            <w:pPr>
              <w:spacing w:after="0" w:line="252" w:lineRule="auto"/>
            </w:pPr>
            <w:r>
              <w:rPr>
                <w:rFonts w:ascii="Calibri" w:hAnsi="Calibri" w:eastAsia="Calibri"/>
                <w:color w:val="202124"/>
                <w:sz w:val="18"/>
              </w:rPr>
              <w:t>RTO</w:t>
            </w:r>
          </w:p>
        </w:tc>
        <w:tc>
          <w:tcPr>
            <w:tcW w:type="dxa" w:w="6760"/>
            <w:tcMar>
              <w:top w:w="80" w:type="dxa"/>
              <w:start w:w="120" w:type="dxa"/>
              <w:bottom w:w="80" w:type="dxa"/>
              <w:end w:w="120" w:type="dxa"/>
            </w:tcMar>
            <w:vAlign w:val="center"/>
          </w:tcPr>
          <w:p>
            <w:pPr>
              <w:spacing w:after="0" w:line="252" w:lineRule="auto"/>
            </w:pPr>
            <w:r>
              <w:rPr>
                <w:rFonts w:ascii="Calibri" w:hAnsi="Calibri" w:eastAsia="Calibri"/>
                <w:color w:val="202124"/>
                <w:sz w:val="18"/>
              </w:rPr>
              <w:t>Recovery time objective: maximum target time to restore service.</w:t>
            </w:r>
          </w:p>
        </w:tc>
      </w:tr>
    </w:tbl>
    <w:p>
      <w:pPr>
        <w:spacing w:after="20"/>
      </w:pPr>
    </w:p>
    <w:p>
      <w:pPr>
        <w:pStyle w:val="Heading1"/>
      </w:pPr>
      <w:r>
        <w:rPr>
          <w:rFonts w:ascii="Calibri" w:hAnsi="Calibri" w:eastAsia="Calibri"/>
          <w:color w:val="202124"/>
        </w:rPr>
        <w:t>17. Assumptions and deferred requirements</w:t>
      </w:r>
    </w:p>
    <w:p>
      <w:pPr>
        <w:pStyle w:val="Heading2"/>
      </w:pPr>
      <w:r>
        <w:rPr>
          <w:rFonts w:ascii="Calibri" w:hAnsi="Calibri" w:eastAsia="Calibri"/>
          <w:color w:val="202124"/>
        </w:rPr>
        <w:t>17.1 Assumptions</w:t>
      </w:r>
    </w:p>
    <w:p>
      <w:pPr>
        <w:spacing w:after="80" w:line="300" w:lineRule="auto"/>
        <w:keepNext/>
        <w:numPr>
          <w:ilvl w:val="0"/>
          <w:numId w:val="49"/>
        </w:numPr>
      </w:pPr>
      <w:r>
        <w:rPr>
          <w:rFonts w:ascii="Calibri" w:hAnsi="Calibri" w:eastAsia="Calibri"/>
          <w:color w:val="202124"/>
        </w:rPr>
        <w:t>Markdown is the authoritative PRD; DOCX is the stakeholder distribution copy.</w:t>
      </w:r>
    </w:p>
    <w:p>
      <w:pPr>
        <w:spacing w:after="80" w:line="300" w:lineRule="auto"/>
        <w:keepNext/>
        <w:numPr>
          <w:ilvl w:val="0"/>
          <w:numId w:val="49"/>
        </w:numPr>
      </w:pPr>
      <w:r>
        <w:rPr>
          <w:rFonts w:ascii="Calibri" w:hAnsi="Calibri" w:eastAsia="Calibri"/>
          <w:color w:val="202124"/>
        </w:rPr>
        <w:t>Google Drive remains the authoritative file store.</w:t>
      </w:r>
    </w:p>
    <w:p>
      <w:pPr>
        <w:spacing w:after="80" w:line="300" w:lineRule="auto"/>
        <w:keepNext/>
        <w:numPr>
          <w:ilvl w:val="0"/>
          <w:numId w:val="49"/>
        </w:numPr>
      </w:pPr>
      <w:r>
        <w:rPr>
          <w:rFonts w:ascii="Calibri" w:hAnsi="Calibri" w:eastAsia="Calibri"/>
          <w:color w:val="202124"/>
        </w:rPr>
        <w:t>Platform accounts remain initial authentication; institutional identity is a future adapter.</w:t>
      </w:r>
    </w:p>
    <w:p>
      <w:pPr>
        <w:spacing w:after="80" w:line="300" w:lineRule="auto"/>
        <w:keepNext/>
        <w:numPr>
          <w:ilvl w:val="0"/>
          <w:numId w:val="49"/>
        </w:numPr>
      </w:pPr>
      <w:r>
        <w:rPr>
          <w:rFonts w:ascii="Calibri" w:hAnsi="Calibri" w:eastAsia="Calibri"/>
          <w:color w:val="202124"/>
        </w:rPr>
        <w:t>The three-day deliverable is explicitly a demonstrator.</w:t>
      </w:r>
    </w:p>
    <w:p>
      <w:pPr>
        <w:spacing w:after="80" w:line="300" w:lineRule="auto"/>
        <w:keepNext w:val="0"/>
        <w:numPr>
          <w:ilvl w:val="0"/>
          <w:numId w:val="49"/>
        </w:numPr>
      </w:pPr>
      <w:r>
        <w:rPr>
          <w:rFonts w:ascii="Calibri" w:hAnsi="Calibri" w:eastAsia="Calibri"/>
          <w:color w:val="202124"/>
        </w:rPr>
        <w:t>Production delivery requires approximately fourteen weeks even with intensive AI assistance.</w:t>
      </w:r>
    </w:p>
    <w:p>
      <w:pPr>
        <w:pStyle w:val="Heading2"/>
      </w:pPr>
      <w:r>
        <w:rPr>
          <w:rFonts w:ascii="Calibri" w:hAnsi="Calibri" w:eastAsia="Calibri"/>
          <w:color w:val="202124"/>
        </w:rPr>
        <w:t>17.2 Deferred requirements</w:t>
      </w:r>
    </w:p>
    <w:p>
      <w:pPr>
        <w:spacing w:after="80" w:line="300" w:lineRule="auto"/>
        <w:keepNext/>
        <w:numPr>
          <w:ilvl w:val="0"/>
          <w:numId w:val="50"/>
        </w:numPr>
      </w:pPr>
      <w:r>
        <w:rPr>
          <w:rFonts w:ascii="Calibri" w:hAnsi="Calibri" w:eastAsia="Calibri"/>
          <w:color w:val="202124"/>
        </w:rPr>
        <w:t>Magazine generation.</w:t>
      </w:r>
    </w:p>
    <w:p>
      <w:pPr>
        <w:spacing w:after="80" w:line="300" w:lineRule="auto"/>
        <w:keepNext/>
        <w:numPr>
          <w:ilvl w:val="0"/>
          <w:numId w:val="50"/>
        </w:numPr>
      </w:pPr>
      <w:r>
        <w:rPr>
          <w:rFonts w:ascii="Calibri" w:hAnsi="Calibri" w:eastAsia="Calibri"/>
          <w:color w:val="202124"/>
        </w:rPr>
        <w:t>Gamified engagement scoring and universal leaderboards.</w:t>
      </w:r>
    </w:p>
    <w:p>
      <w:pPr>
        <w:spacing w:after="80" w:line="300" w:lineRule="auto"/>
        <w:keepNext/>
        <w:numPr>
          <w:ilvl w:val="0"/>
          <w:numId w:val="50"/>
        </w:numPr>
      </w:pPr>
      <w:r>
        <w:rPr>
          <w:rFonts w:ascii="Calibri" w:hAnsi="Calibri" w:eastAsia="Calibri"/>
          <w:color w:val="202124"/>
        </w:rPr>
        <w:t>Dedicated student journey timeline beyond participation history.</w:t>
      </w:r>
    </w:p>
    <w:p>
      <w:pPr>
        <w:spacing w:after="80" w:line="300" w:lineRule="auto"/>
        <w:keepNext/>
        <w:numPr>
          <w:ilvl w:val="0"/>
          <w:numId w:val="50"/>
        </w:numPr>
      </w:pPr>
      <w:r>
        <w:rPr>
          <w:rFonts w:ascii="Calibri" w:hAnsi="Calibri" w:eastAsia="Calibri"/>
          <w:color w:val="202124"/>
        </w:rPr>
        <w:t>Native mobile applications.</w:t>
      </w:r>
    </w:p>
    <w:p>
      <w:pPr>
        <w:spacing w:after="80" w:line="300" w:lineRule="auto"/>
        <w:keepNext/>
        <w:numPr>
          <w:ilvl w:val="0"/>
          <w:numId w:val="50"/>
        </w:numPr>
      </w:pPr>
      <w:r>
        <w:rPr>
          <w:rFonts w:ascii="Calibri" w:hAnsi="Calibri" w:eastAsia="Calibri"/>
          <w:color w:val="202124"/>
        </w:rPr>
        <w:t>Official immigration casework.</w:t>
      </w:r>
    </w:p>
    <w:p>
      <w:pPr>
        <w:spacing w:after="80" w:line="300" w:lineRule="auto"/>
        <w:keepNext/>
        <w:numPr>
          <w:ilvl w:val="0"/>
          <w:numId w:val="50"/>
        </w:numPr>
      </w:pPr>
      <w:r>
        <w:rPr>
          <w:rFonts w:ascii="Calibri" w:hAnsi="Calibri" w:eastAsia="Calibri"/>
          <w:color w:val="202124"/>
        </w:rPr>
        <w:t>Admissions and academic administration.</w:t>
      </w:r>
    </w:p>
    <w:p>
      <w:pPr>
        <w:spacing w:after="80" w:line="300" w:lineRule="auto"/>
        <w:keepNext w:val="0"/>
        <w:numPr>
          <w:ilvl w:val="0"/>
          <w:numId w:val="50"/>
        </w:numPr>
      </w:pPr>
      <w:r>
        <w:rPr>
          <w:rFonts w:ascii="Calibri" w:hAnsi="Calibri" w:eastAsia="Calibri"/>
          <w:color w:val="202124"/>
        </w:rPr>
        <w:t>Payment processing and accounting-ledger functions.</w:t>
      </w:r>
    </w:p>
    <w:p>
      <w:pPr>
        <w:pStyle w:val="Heading1"/>
        <w:spacing w:before="160" w:after="100"/>
      </w:pPr>
      <w:r>
        <w:rPr>
          <w:rFonts w:ascii="Calibri" w:hAnsi="Calibri" w:eastAsia="Calibri"/>
          <w:color w:val="202124"/>
        </w:rPr>
        <w:t>18. Revision history</w:t>
      </w:r>
    </w:p>
    <w:tbl>
      <w:tblPr>
        <w:tblW w:type="dxa" w:w="9360"/>
        <w:jc w:val="left"/>
        <w:tblLayout w:type="fixed"/>
        <w:tblLook w:firstColumn="1" w:firstRow="1" w:lastColumn="0" w:lastRow="0" w:noHBand="0" w:noVBand="1" w:val="04A0"/>
        <w:tblInd w:w="120" w:type="dxa"/>
        <w:tblBorders>
          <w:top w:val="single" w:sz="4" w:space="0" w:color="B9C4D0"/>
          <w:left w:val="single" w:sz="4" w:space="0" w:color="B9C4D0"/>
          <w:bottom w:val="single" w:sz="4" w:space="0" w:color="B9C4D0"/>
          <w:right w:val="single" w:sz="4" w:space="0" w:color="B9C4D0"/>
          <w:insideH w:val="single" w:sz="4" w:space="0" w:color="B9C4D0"/>
          <w:insideV w:val="single" w:sz="4" w:space="0" w:color="B9C4D0"/>
        </w:tblBorders>
      </w:tblPr>
      <w:tblGrid>
        <w:gridCol w:w="800"/>
        <w:gridCol w:w="900"/>
        <w:gridCol w:w="1800"/>
        <w:gridCol w:w="4760"/>
        <w:gridCol w:w="1100"/>
      </w:tblGrid>
      <w:tr>
        <w:trPr>
          <w:tblHeader w:val="true"/>
          <w:cantSplit/>
        </w:trPr>
        <w:tc>
          <w:tcPr>
            <w:tcW w:type="dxa" w:w="80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Version</w:t>
            </w:r>
          </w:p>
        </w:tc>
        <w:tc>
          <w:tcPr>
            <w:tcW w:type="dxa" w:w="90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Date</w:t>
            </w:r>
          </w:p>
        </w:tc>
        <w:tc>
          <w:tcPr>
            <w:tcW w:type="dxa" w:w="180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Author</w:t>
            </w:r>
          </w:p>
        </w:tc>
        <w:tc>
          <w:tcPr>
            <w:tcW w:type="dxa" w:w="476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Change</w:t>
            </w:r>
          </w:p>
        </w:tc>
        <w:tc>
          <w:tcPr>
            <w:tcW w:type="dxa" w:w="1100"/>
            <w:shd w:fill="E8EEF5"/>
            <w:tcMar>
              <w:top w:w="80" w:type="dxa"/>
              <w:start w:w="120" w:type="dxa"/>
              <w:bottom w:w="80" w:type="dxa"/>
              <w:end w:w="120" w:type="dxa"/>
            </w:tcMar>
            <w:vAlign w:val="center"/>
          </w:tcPr>
          <w:p>
            <w:pPr>
              <w:spacing w:after="0" w:line="240" w:lineRule="auto"/>
            </w:pPr>
            <w:r>
              <w:rPr>
                <w:rFonts w:ascii="Calibri" w:hAnsi="Calibri" w:eastAsia="Calibri"/>
                <w:b/>
                <w:color w:val="0B2545"/>
                <w:sz w:val="17"/>
              </w:rPr>
              <w:t>Status</w:t>
            </w:r>
          </w:p>
        </w:tc>
      </w:tr>
      <w:tr>
        <w:trPr>
          <w:cantSplit/>
        </w:trPr>
        <w:tc>
          <w:tcPr>
            <w:tcW w:type="dxa" w:w="800"/>
            <w:tcMar>
              <w:top w:w="80" w:type="dxa"/>
              <w:start w:w="120" w:type="dxa"/>
              <w:bottom w:w="80" w:type="dxa"/>
              <w:end w:w="120" w:type="dxa"/>
            </w:tcMar>
            <w:vAlign w:val="center"/>
          </w:tcPr>
          <w:p>
            <w:pPr>
              <w:spacing w:after="0" w:line="252" w:lineRule="auto"/>
            </w:pPr>
            <w:r>
              <w:rPr>
                <w:rFonts w:ascii="Calibri" w:hAnsi="Calibri" w:eastAsia="Calibri"/>
                <w:color w:val="202124"/>
                <w:sz w:val="16"/>
              </w:rPr>
              <w:t>1.0</w:t>
            </w:r>
          </w:p>
        </w:tc>
        <w:tc>
          <w:tcPr>
            <w:tcW w:type="dxa" w:w="900"/>
            <w:tcMar>
              <w:top w:w="80" w:type="dxa"/>
              <w:start w:w="120" w:type="dxa"/>
              <w:bottom w:w="80" w:type="dxa"/>
              <w:end w:w="120" w:type="dxa"/>
            </w:tcMar>
            <w:vAlign w:val="center"/>
          </w:tcPr>
          <w:p>
            <w:pPr>
              <w:spacing w:after="0" w:line="252" w:lineRule="auto"/>
            </w:pPr>
            <w:r>
              <w:rPr>
                <w:rFonts w:ascii="Calibri" w:hAnsi="Calibri" w:eastAsia="Calibri"/>
                <w:color w:val="202124"/>
                <w:sz w:val="16"/>
              </w:rPr>
              <w:t>2026-07-16</w:t>
            </w:r>
          </w:p>
        </w:tc>
        <w:tc>
          <w:tcPr>
            <w:tcW w:type="dxa" w:w="1800"/>
            <w:tcMar>
              <w:top w:w="80" w:type="dxa"/>
              <w:start w:w="120" w:type="dxa"/>
              <w:bottom w:w="80" w:type="dxa"/>
              <w:end w:w="120" w:type="dxa"/>
            </w:tcMar>
            <w:vAlign w:val="center"/>
          </w:tcPr>
          <w:p>
            <w:pPr>
              <w:spacing w:after="0" w:line="252" w:lineRule="auto"/>
            </w:pPr>
            <w:r>
              <w:rPr>
                <w:rFonts w:ascii="Calibri" w:hAnsi="Calibri" w:eastAsia="Calibri"/>
                <w:color w:val="202124"/>
                <w:sz w:val="16"/>
              </w:rPr>
              <w:t>Product implementation team</w:t>
            </w:r>
          </w:p>
        </w:tc>
        <w:tc>
          <w:tcPr>
            <w:tcW w:type="dxa" w:w="4760"/>
            <w:tcMar>
              <w:top w:w="80" w:type="dxa"/>
              <w:start w:w="120" w:type="dxa"/>
              <w:bottom w:w="80" w:type="dxa"/>
              <w:end w:w="120" w:type="dxa"/>
            </w:tcMar>
            <w:vAlign w:val="center"/>
          </w:tcPr>
          <w:p>
            <w:pPr>
              <w:spacing w:after="0" w:line="252" w:lineRule="auto"/>
            </w:pPr>
            <w:r>
              <w:rPr>
                <w:rFonts w:ascii="Calibri" w:hAnsi="Calibri" w:eastAsia="Calibri"/>
                <w:color w:val="202124"/>
                <w:sz w:val="16"/>
              </w:rPr>
              <w:t>Initial approved production-upgradation PRD and implementation baseline.</w:t>
            </w:r>
          </w:p>
        </w:tc>
        <w:tc>
          <w:tcPr>
            <w:tcW w:type="dxa" w:w="1100"/>
            <w:tcMar>
              <w:top w:w="80" w:type="dxa"/>
              <w:start w:w="120" w:type="dxa"/>
              <w:bottom w:w="80" w:type="dxa"/>
              <w:end w:w="120" w:type="dxa"/>
            </w:tcMar>
            <w:vAlign w:val="center"/>
          </w:tcPr>
          <w:p>
            <w:pPr>
              <w:spacing w:after="0" w:line="252" w:lineRule="auto"/>
            </w:pPr>
            <w:r>
              <w:rPr>
                <w:rFonts w:ascii="Calibri" w:hAnsi="Calibri" w:eastAsia="Calibri"/>
                <w:color w:val="202124"/>
                <w:sz w:val="16"/>
              </w:rPr>
              <w:t>Approved baseline</w:t>
            </w:r>
          </w:p>
        </w:tc>
      </w:tr>
    </w:tbl>
    <w:p>
      <w:pPr>
        <w:spacing w:after="20"/>
      </w:pP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lvlJc w:val="left"/>
      <w:pPr>
        <w:tabs>
          <w:tab w:val="num" w:pos="540"/>
        </w:tabs>
        <w:ind w:left="540" w:hanging="270"/>
        <w:spacing w:after="80" w:line="300" w:lineRule="auto"/>
      </w:pPr>
    </w:lvl>
  </w:abstractNum>
  <w:num w:numId="11">
    <w:abstractNumId w:val="10"/>
  </w:num>
  <w:abstractNum w:abstractNumId="11">
    <w:multiLevelType w:val="singleLevel"/>
    <w:lvl w:ilvl="0">
      <w:start w:val="1"/>
      <w:numFmt w:val="bullet"/>
      <w:lvlText w:val="•"/>
      <w:suff w:val="tab"/>
      <w:lvlJc w:val="left"/>
      <w:pPr>
        <w:tabs>
          <w:tab w:val="num" w:pos="540"/>
        </w:tabs>
        <w:ind w:left="540" w:hanging="270"/>
        <w:spacing w:after="80" w:line="300" w:lineRule="auto"/>
      </w:pPr>
    </w:lvl>
  </w:abstractNum>
  <w:num w:numId="12">
    <w:abstractNumId w:val="11"/>
  </w:num>
  <w:abstractNum w:abstractNumId="12">
    <w:multiLevelType w:val="singleLevel"/>
    <w:lvl w:ilvl="0">
      <w:start w:val="1"/>
      <w:numFmt w:val="bullet"/>
      <w:lvlText w:val="•"/>
      <w:suff w:val="tab"/>
      <w:lvlJc w:val="left"/>
      <w:pPr>
        <w:tabs>
          <w:tab w:val="num" w:pos="540"/>
        </w:tabs>
        <w:ind w:left="540" w:hanging="270"/>
        <w:spacing w:after="80" w:line="300" w:lineRule="auto"/>
      </w:pPr>
    </w:lvl>
  </w:abstractNum>
  <w:num w:numId="13">
    <w:abstractNumId w:val="12"/>
  </w:num>
  <w:abstractNum w:abstractNumId="13">
    <w:multiLevelType w:val="singleLevel"/>
    <w:lvl w:ilvl="0">
      <w:start w:val="1"/>
      <w:numFmt w:val="bullet"/>
      <w:lvlText w:val="•"/>
      <w:suff w:val="tab"/>
      <w:lvlJc w:val="left"/>
      <w:pPr>
        <w:tabs>
          <w:tab w:val="num" w:pos="540"/>
        </w:tabs>
        <w:ind w:left="540" w:hanging="270"/>
        <w:spacing w:after="80" w:line="300" w:lineRule="auto"/>
      </w:pPr>
    </w:lvl>
  </w:abstractNum>
  <w:num w:numId="14">
    <w:abstractNumId w:val="13"/>
  </w:num>
  <w:abstractNum w:abstractNumId="14">
    <w:multiLevelType w:val="singleLevel"/>
    <w:lvl w:ilvl="0">
      <w:start w:val="1"/>
      <w:numFmt w:val="bullet"/>
      <w:lvlText w:val="•"/>
      <w:suff w:val="tab"/>
      <w:lvlJc w:val="left"/>
      <w:pPr>
        <w:tabs>
          <w:tab w:val="num" w:pos="540"/>
        </w:tabs>
        <w:ind w:left="540" w:hanging="270"/>
        <w:spacing w:after="80" w:line="300" w:lineRule="auto"/>
      </w:pPr>
    </w:lvl>
  </w:abstractNum>
  <w:num w:numId="15">
    <w:abstractNumId w:val="14"/>
  </w:num>
  <w:abstractNum w:abstractNumId="15">
    <w:multiLevelType w:val="singleLevel"/>
    <w:lvl w:ilvl="0">
      <w:start w:val="1"/>
      <w:numFmt w:val="bullet"/>
      <w:lvlText w:val="•"/>
      <w:suff w:val="tab"/>
      <w:lvlJc w:val="left"/>
      <w:pPr>
        <w:tabs>
          <w:tab w:val="num" w:pos="540"/>
        </w:tabs>
        <w:ind w:left="540" w:hanging="270"/>
        <w:spacing w:after="80" w:line="300" w:lineRule="auto"/>
      </w:pPr>
    </w:lvl>
  </w:abstractNum>
  <w:num w:numId="16">
    <w:abstractNumId w:val="15"/>
  </w:num>
  <w:abstractNum w:abstractNumId="16">
    <w:multiLevelType w:val="singleLevel"/>
    <w:lvl w:ilvl="0">
      <w:start w:val="1"/>
      <w:numFmt w:val="bullet"/>
      <w:lvlText w:val="•"/>
      <w:suff w:val="tab"/>
      <w:lvlJc w:val="left"/>
      <w:pPr>
        <w:tabs>
          <w:tab w:val="num" w:pos="540"/>
        </w:tabs>
        <w:ind w:left="540" w:hanging="270"/>
        <w:spacing w:after="80" w:line="300" w:lineRule="auto"/>
      </w:pPr>
    </w:lvl>
  </w:abstractNum>
  <w:num w:numId="17">
    <w:abstractNumId w:val="16"/>
  </w:num>
  <w:abstractNum w:abstractNumId="17">
    <w:multiLevelType w:val="singleLevel"/>
    <w:lvl w:ilvl="0">
      <w:start w:val="1"/>
      <w:numFmt w:val="bullet"/>
      <w:lvlText w:val="•"/>
      <w:suff w:val="tab"/>
      <w:lvlJc w:val="left"/>
      <w:pPr>
        <w:tabs>
          <w:tab w:val="num" w:pos="540"/>
        </w:tabs>
        <w:ind w:left="540" w:hanging="270"/>
        <w:spacing w:after="80" w:line="300" w:lineRule="auto"/>
      </w:pPr>
    </w:lvl>
  </w:abstractNum>
  <w:num w:numId="18">
    <w:abstractNumId w:val="17"/>
  </w:num>
  <w:abstractNum w:abstractNumId="18">
    <w:multiLevelType w:val="singleLevel"/>
    <w:lvl w:ilvl="0">
      <w:start w:val="1"/>
      <w:numFmt w:val="bullet"/>
      <w:lvlText w:val="•"/>
      <w:suff w:val="tab"/>
      <w:lvlJc w:val="left"/>
      <w:pPr>
        <w:tabs>
          <w:tab w:val="num" w:pos="540"/>
        </w:tabs>
        <w:ind w:left="540" w:hanging="270"/>
        <w:spacing w:after="80" w:line="300" w:lineRule="auto"/>
      </w:pPr>
    </w:lvl>
  </w:abstractNum>
  <w:num w:numId="19">
    <w:abstractNumId w:val="18"/>
  </w:num>
  <w:abstractNum w:abstractNumId="19">
    <w:multiLevelType w:val="singleLevel"/>
    <w:lvl w:ilvl="0">
      <w:start w:val="1"/>
      <w:numFmt w:val="bullet"/>
      <w:lvlText w:val="•"/>
      <w:suff w:val="tab"/>
      <w:lvlJc w:val="left"/>
      <w:pPr>
        <w:tabs>
          <w:tab w:val="num" w:pos="540"/>
        </w:tabs>
        <w:ind w:left="540" w:hanging="270"/>
        <w:spacing w:after="80" w:line="300" w:lineRule="auto"/>
      </w:pPr>
    </w:lvl>
  </w:abstractNum>
  <w:num w:numId="20">
    <w:abstractNumId w:val="19"/>
  </w:num>
  <w:abstractNum w:abstractNumId="20">
    <w:multiLevelType w:val="singleLevel"/>
    <w:lvl w:ilvl="0">
      <w:start w:val="1"/>
      <w:numFmt w:val="bullet"/>
      <w:lvlText w:val="•"/>
      <w:suff w:val="tab"/>
      <w:lvlJc w:val="left"/>
      <w:pPr>
        <w:tabs>
          <w:tab w:val="num" w:pos="540"/>
        </w:tabs>
        <w:ind w:left="540" w:hanging="270"/>
        <w:spacing w:after="80" w:line="300" w:lineRule="auto"/>
      </w:pPr>
    </w:lvl>
  </w:abstractNum>
  <w:num w:numId="21">
    <w:abstractNumId w:val="20"/>
  </w:num>
  <w:abstractNum w:abstractNumId="21">
    <w:multiLevelType w:val="singleLevel"/>
    <w:lvl w:ilvl="0">
      <w:start w:val="1"/>
      <w:numFmt w:val="bullet"/>
      <w:lvlText w:val="•"/>
      <w:suff w:val="tab"/>
      <w:lvlJc w:val="left"/>
      <w:pPr>
        <w:tabs>
          <w:tab w:val="num" w:pos="540"/>
        </w:tabs>
        <w:ind w:left="540" w:hanging="270"/>
        <w:spacing w:after="80" w:line="300" w:lineRule="auto"/>
      </w:pPr>
    </w:lvl>
  </w:abstractNum>
  <w:num w:numId="22">
    <w:abstractNumId w:val="21"/>
  </w:num>
  <w:abstractNum w:abstractNumId="22">
    <w:multiLevelType w:val="singleLevel"/>
    <w:lvl w:ilvl="0">
      <w:start w:val="1"/>
      <w:numFmt w:val="bullet"/>
      <w:lvlText w:val="•"/>
      <w:suff w:val="tab"/>
      <w:lvlJc w:val="left"/>
      <w:pPr>
        <w:tabs>
          <w:tab w:val="num" w:pos="540"/>
        </w:tabs>
        <w:ind w:left="540" w:hanging="270"/>
        <w:spacing w:after="80" w:line="300" w:lineRule="auto"/>
      </w:pPr>
    </w:lvl>
  </w:abstractNum>
  <w:num w:numId="23">
    <w:abstractNumId w:val="22"/>
  </w:num>
  <w:abstractNum w:abstractNumId="23">
    <w:multiLevelType w:val="singleLevel"/>
    <w:lvl w:ilvl="0">
      <w:start w:val="1"/>
      <w:numFmt w:val="bullet"/>
      <w:lvlText w:val="•"/>
      <w:suff w:val="tab"/>
      <w:lvlJc w:val="left"/>
      <w:pPr>
        <w:tabs>
          <w:tab w:val="num" w:pos="540"/>
        </w:tabs>
        <w:ind w:left="540" w:hanging="270"/>
        <w:spacing w:after="80" w:line="300" w:lineRule="auto"/>
      </w:pPr>
    </w:lvl>
  </w:abstractNum>
  <w:num w:numId="24">
    <w:abstractNumId w:val="23"/>
  </w:num>
  <w:abstractNum w:abstractNumId="24">
    <w:multiLevelType w:val="singleLevel"/>
    <w:lvl w:ilvl="0">
      <w:start w:val="1"/>
      <w:numFmt w:val="bullet"/>
      <w:lvlText w:val="•"/>
      <w:suff w:val="tab"/>
      <w:lvlJc w:val="left"/>
      <w:pPr>
        <w:tabs>
          <w:tab w:val="num" w:pos="540"/>
        </w:tabs>
        <w:ind w:left="540" w:hanging="270"/>
        <w:spacing w:after="80" w:line="300" w:lineRule="auto"/>
      </w:pPr>
    </w:lvl>
  </w:abstractNum>
  <w:num w:numId="25">
    <w:abstractNumId w:val="24"/>
  </w:num>
  <w:abstractNum w:abstractNumId="25">
    <w:multiLevelType w:val="singleLevel"/>
    <w:lvl w:ilvl="0">
      <w:start w:val="1"/>
      <w:numFmt w:val="bullet"/>
      <w:lvlText w:val="•"/>
      <w:suff w:val="tab"/>
      <w:lvlJc w:val="left"/>
      <w:pPr>
        <w:tabs>
          <w:tab w:val="num" w:pos="540"/>
        </w:tabs>
        <w:ind w:left="540" w:hanging="270"/>
        <w:spacing w:after="80" w:line="300" w:lineRule="auto"/>
      </w:pPr>
    </w:lvl>
  </w:abstractNum>
  <w:num w:numId="26">
    <w:abstractNumId w:val="25"/>
  </w:num>
  <w:abstractNum w:abstractNumId="26">
    <w:multiLevelType w:val="singleLevel"/>
    <w:lvl w:ilvl="0">
      <w:start w:val="1"/>
      <w:numFmt w:val="bullet"/>
      <w:lvlText w:val="•"/>
      <w:suff w:val="tab"/>
      <w:lvlJc w:val="left"/>
      <w:pPr>
        <w:tabs>
          <w:tab w:val="num" w:pos="540"/>
        </w:tabs>
        <w:ind w:left="540" w:hanging="270"/>
        <w:spacing w:after="80" w:line="300" w:lineRule="auto"/>
      </w:pPr>
    </w:lvl>
  </w:abstractNum>
  <w:num w:numId="27">
    <w:abstractNumId w:val="26"/>
  </w:num>
  <w:abstractNum w:abstractNumId="27">
    <w:multiLevelType w:val="singleLevel"/>
    <w:lvl w:ilvl="0">
      <w:start w:val="1"/>
      <w:numFmt w:val="bullet"/>
      <w:lvlText w:val="•"/>
      <w:suff w:val="tab"/>
      <w:lvlJc w:val="left"/>
      <w:pPr>
        <w:tabs>
          <w:tab w:val="num" w:pos="540"/>
        </w:tabs>
        <w:ind w:left="540" w:hanging="270"/>
        <w:spacing w:after="80" w:line="300" w:lineRule="auto"/>
      </w:pPr>
    </w:lvl>
  </w:abstractNum>
  <w:num w:numId="28">
    <w:abstractNumId w:val="27"/>
  </w:num>
  <w:abstractNum w:abstractNumId="28">
    <w:multiLevelType w:val="singleLevel"/>
    <w:lvl w:ilvl="0">
      <w:start w:val="1"/>
      <w:numFmt w:val="bullet"/>
      <w:lvlText w:val="•"/>
      <w:suff w:val="tab"/>
      <w:lvlJc w:val="left"/>
      <w:pPr>
        <w:tabs>
          <w:tab w:val="num" w:pos="540"/>
        </w:tabs>
        <w:ind w:left="540" w:hanging="270"/>
        <w:spacing w:after="80" w:line="300" w:lineRule="auto"/>
      </w:pPr>
    </w:lvl>
  </w:abstractNum>
  <w:num w:numId="29">
    <w:abstractNumId w:val="28"/>
  </w:num>
  <w:abstractNum w:abstractNumId="29">
    <w:multiLevelType w:val="singleLevel"/>
    <w:lvl w:ilvl="0">
      <w:start w:val="1"/>
      <w:numFmt w:val="bullet"/>
      <w:lvlText w:val="•"/>
      <w:suff w:val="tab"/>
      <w:lvlJc w:val="left"/>
      <w:pPr>
        <w:tabs>
          <w:tab w:val="num" w:pos="540"/>
        </w:tabs>
        <w:ind w:left="540" w:hanging="270"/>
        <w:spacing w:after="80" w:line="300" w:lineRule="auto"/>
      </w:pPr>
    </w:lvl>
  </w:abstractNum>
  <w:num w:numId="30">
    <w:abstractNumId w:val="29"/>
  </w:num>
  <w:abstractNum w:abstractNumId="30">
    <w:multiLevelType w:val="singleLevel"/>
    <w:lvl w:ilvl="0">
      <w:start w:val="1"/>
      <w:numFmt w:val="bullet"/>
      <w:lvlText w:val="•"/>
      <w:suff w:val="tab"/>
      <w:lvlJc w:val="left"/>
      <w:pPr>
        <w:tabs>
          <w:tab w:val="num" w:pos="540"/>
        </w:tabs>
        <w:ind w:left="540" w:hanging="270"/>
        <w:spacing w:after="80" w:line="300" w:lineRule="auto"/>
      </w:pPr>
    </w:lvl>
  </w:abstractNum>
  <w:num w:numId="31">
    <w:abstractNumId w:val="30"/>
  </w:num>
  <w:abstractNum w:abstractNumId="31">
    <w:multiLevelType w:val="singleLevel"/>
    <w:lvl w:ilvl="0">
      <w:start w:val="1"/>
      <w:numFmt w:val="bullet"/>
      <w:lvlText w:val="•"/>
      <w:suff w:val="tab"/>
      <w:lvlJc w:val="left"/>
      <w:pPr>
        <w:tabs>
          <w:tab w:val="num" w:pos="540"/>
        </w:tabs>
        <w:ind w:left="540" w:hanging="270"/>
        <w:spacing w:after="80" w:line="300" w:lineRule="auto"/>
      </w:pPr>
    </w:lvl>
  </w:abstractNum>
  <w:num w:numId="32">
    <w:abstractNumId w:val="31"/>
  </w:num>
  <w:abstractNum w:abstractNumId="32">
    <w:multiLevelType w:val="singleLevel"/>
    <w:lvl w:ilvl="0">
      <w:start w:val="1"/>
      <w:numFmt w:val="bullet"/>
      <w:lvlText w:val="•"/>
      <w:suff w:val="tab"/>
      <w:lvlJc w:val="left"/>
      <w:pPr>
        <w:tabs>
          <w:tab w:val="num" w:pos="540"/>
        </w:tabs>
        <w:ind w:left="540" w:hanging="270"/>
        <w:spacing w:after="80" w:line="300" w:lineRule="auto"/>
      </w:pPr>
    </w:lvl>
  </w:abstractNum>
  <w:num w:numId="33">
    <w:abstractNumId w:val="32"/>
  </w:num>
  <w:abstractNum w:abstractNumId="33">
    <w:multiLevelType w:val="singleLevel"/>
    <w:lvl w:ilvl="0">
      <w:start w:val="1"/>
      <w:numFmt w:val="bullet"/>
      <w:lvlText w:val="•"/>
      <w:suff w:val="tab"/>
      <w:lvlJc w:val="left"/>
      <w:pPr>
        <w:tabs>
          <w:tab w:val="num" w:pos="540"/>
        </w:tabs>
        <w:ind w:left="540" w:hanging="270"/>
        <w:spacing w:after="80" w:line="300" w:lineRule="auto"/>
      </w:pPr>
    </w:lvl>
  </w:abstractNum>
  <w:num w:numId="34">
    <w:abstractNumId w:val="33"/>
  </w:num>
  <w:abstractNum w:abstractNumId="34">
    <w:multiLevelType w:val="singleLevel"/>
    <w:lvl w:ilvl="0">
      <w:start w:val="1"/>
      <w:numFmt w:val="bullet"/>
      <w:lvlText w:val="•"/>
      <w:suff w:val="tab"/>
      <w:lvlJc w:val="left"/>
      <w:pPr>
        <w:tabs>
          <w:tab w:val="num" w:pos="540"/>
        </w:tabs>
        <w:ind w:left="540" w:hanging="270"/>
        <w:spacing w:after="80" w:line="300" w:lineRule="auto"/>
      </w:pPr>
    </w:lvl>
  </w:abstractNum>
  <w:num w:numId="35">
    <w:abstractNumId w:val="34"/>
  </w:num>
  <w:abstractNum w:abstractNumId="35">
    <w:multiLevelType w:val="singleLevel"/>
    <w:lvl w:ilvl="0">
      <w:start w:val="1"/>
      <w:numFmt w:val="bullet"/>
      <w:lvlText w:val="•"/>
      <w:suff w:val="tab"/>
      <w:lvlJc w:val="left"/>
      <w:pPr>
        <w:tabs>
          <w:tab w:val="num" w:pos="540"/>
        </w:tabs>
        <w:ind w:left="540" w:hanging="270"/>
        <w:spacing w:after="80" w:line="300" w:lineRule="auto"/>
      </w:pPr>
    </w:lvl>
  </w:abstractNum>
  <w:num w:numId="36">
    <w:abstractNumId w:val="35"/>
  </w:num>
  <w:abstractNum w:abstractNumId="36">
    <w:multiLevelType w:val="singleLevel"/>
    <w:lvl w:ilvl="0">
      <w:start w:val="1"/>
      <w:numFmt w:val="bullet"/>
      <w:lvlText w:val="•"/>
      <w:suff w:val="tab"/>
      <w:lvlJc w:val="left"/>
      <w:pPr>
        <w:tabs>
          <w:tab w:val="num" w:pos="540"/>
        </w:tabs>
        <w:ind w:left="540" w:hanging="270"/>
        <w:spacing w:after="80" w:line="300" w:lineRule="auto"/>
      </w:pPr>
    </w:lvl>
  </w:abstractNum>
  <w:num w:numId="37">
    <w:abstractNumId w:val="36"/>
  </w:num>
  <w:abstractNum w:abstractNumId="37">
    <w:multiLevelType w:val="singleLevel"/>
    <w:lvl w:ilvl="0">
      <w:start w:val="1"/>
      <w:numFmt w:val="bullet"/>
      <w:lvlText w:val="•"/>
      <w:suff w:val="tab"/>
      <w:lvlJc w:val="left"/>
      <w:pPr>
        <w:tabs>
          <w:tab w:val="num" w:pos="540"/>
        </w:tabs>
        <w:ind w:left="540" w:hanging="270"/>
        <w:spacing w:after="80" w:line="300" w:lineRule="auto"/>
      </w:pPr>
    </w:lvl>
  </w:abstractNum>
  <w:num w:numId="38">
    <w:abstractNumId w:val="37"/>
  </w:num>
  <w:abstractNum w:abstractNumId="38">
    <w:multiLevelType w:val="singleLevel"/>
    <w:lvl w:ilvl="0">
      <w:start w:val="1"/>
      <w:numFmt w:val="decimal"/>
      <w:lvlText w:val="%1."/>
      <w:suff w:val="tab"/>
      <w:lvlJc w:val="left"/>
      <w:pPr>
        <w:tabs>
          <w:tab w:val="num" w:pos="540"/>
        </w:tabs>
        <w:ind w:left="540" w:hanging="270"/>
        <w:spacing w:after="80" w:line="300" w:lineRule="auto"/>
      </w:pPr>
    </w:lvl>
  </w:abstractNum>
  <w:num w:numId="39">
    <w:abstractNumId w:val="38"/>
  </w:num>
  <w:abstractNum w:abstractNumId="39">
    <w:multiLevelType w:val="singleLevel"/>
    <w:lvl w:ilvl="0">
      <w:start w:val="1"/>
      <w:numFmt w:val="bullet"/>
      <w:lvlText w:val="•"/>
      <w:suff w:val="tab"/>
      <w:lvlJc w:val="left"/>
      <w:pPr>
        <w:tabs>
          <w:tab w:val="num" w:pos="540"/>
        </w:tabs>
        <w:ind w:left="540" w:hanging="270"/>
        <w:spacing w:after="80" w:line="300" w:lineRule="auto"/>
      </w:pPr>
    </w:lvl>
  </w:abstractNum>
  <w:num w:numId="40">
    <w:abstractNumId w:val="39"/>
  </w:num>
  <w:abstractNum w:abstractNumId="40">
    <w:multiLevelType w:val="singleLevel"/>
    <w:lvl w:ilvl="0">
      <w:start w:val="1"/>
      <w:numFmt w:val="bullet"/>
      <w:lvlText w:val="•"/>
      <w:suff w:val="tab"/>
      <w:lvlJc w:val="left"/>
      <w:pPr>
        <w:tabs>
          <w:tab w:val="num" w:pos="540"/>
        </w:tabs>
        <w:ind w:left="540" w:hanging="270"/>
        <w:spacing w:after="80" w:line="300" w:lineRule="auto"/>
      </w:pPr>
    </w:lvl>
  </w:abstractNum>
  <w:num w:numId="41">
    <w:abstractNumId w:val="40"/>
  </w:num>
  <w:abstractNum w:abstractNumId="41">
    <w:multiLevelType w:val="singleLevel"/>
    <w:lvl w:ilvl="0">
      <w:start w:val="1"/>
      <w:numFmt w:val="bullet"/>
      <w:lvlText w:val="•"/>
      <w:suff w:val="tab"/>
      <w:lvlJc w:val="left"/>
      <w:pPr>
        <w:tabs>
          <w:tab w:val="num" w:pos="540"/>
        </w:tabs>
        <w:ind w:left="540" w:hanging="270"/>
        <w:spacing w:after="80" w:line="300" w:lineRule="auto"/>
      </w:pPr>
    </w:lvl>
  </w:abstractNum>
  <w:num w:numId="42">
    <w:abstractNumId w:val="41"/>
  </w:num>
  <w:abstractNum w:abstractNumId="42">
    <w:multiLevelType w:val="singleLevel"/>
    <w:lvl w:ilvl="0">
      <w:start w:val="1"/>
      <w:numFmt w:val="decimal"/>
      <w:lvlText w:val="%1."/>
      <w:suff w:val="tab"/>
      <w:lvlJc w:val="left"/>
      <w:pPr>
        <w:tabs>
          <w:tab w:val="num" w:pos="540"/>
        </w:tabs>
        <w:ind w:left="540" w:hanging="270"/>
        <w:spacing w:after="80" w:line="300" w:lineRule="auto"/>
      </w:pPr>
    </w:lvl>
  </w:abstractNum>
  <w:num w:numId="43">
    <w:abstractNumId w:val="42"/>
  </w:num>
  <w:abstractNum w:abstractNumId="43">
    <w:multiLevelType w:val="singleLevel"/>
    <w:lvl w:ilvl="0">
      <w:start w:val="1"/>
      <w:numFmt w:val="bullet"/>
      <w:lvlText w:val="•"/>
      <w:suff w:val="tab"/>
      <w:lvlJc w:val="left"/>
      <w:pPr>
        <w:tabs>
          <w:tab w:val="num" w:pos="540"/>
        </w:tabs>
        <w:ind w:left="540" w:hanging="270"/>
        <w:spacing w:after="80" w:line="300" w:lineRule="auto"/>
      </w:pPr>
    </w:lvl>
  </w:abstractNum>
  <w:num w:numId="44">
    <w:abstractNumId w:val="43"/>
  </w:num>
  <w:abstractNum w:abstractNumId="44">
    <w:multiLevelType w:val="singleLevel"/>
    <w:lvl w:ilvl="0">
      <w:start w:val="1"/>
      <w:numFmt w:val="bullet"/>
      <w:lvlText w:val="•"/>
      <w:suff w:val="tab"/>
      <w:lvlJc w:val="left"/>
      <w:pPr>
        <w:tabs>
          <w:tab w:val="num" w:pos="540"/>
        </w:tabs>
        <w:ind w:left="540" w:hanging="270"/>
        <w:spacing w:after="80" w:line="300" w:lineRule="auto"/>
      </w:pPr>
    </w:lvl>
  </w:abstractNum>
  <w:num w:numId="45">
    <w:abstractNumId w:val="44"/>
  </w:num>
  <w:abstractNum w:abstractNumId="45">
    <w:multiLevelType w:val="singleLevel"/>
    <w:lvl w:ilvl="0">
      <w:start w:val="1"/>
      <w:numFmt w:val="bullet"/>
      <w:lvlText w:val="•"/>
      <w:suff w:val="tab"/>
      <w:lvlJc w:val="left"/>
      <w:pPr>
        <w:tabs>
          <w:tab w:val="num" w:pos="540"/>
        </w:tabs>
        <w:ind w:left="540" w:hanging="270"/>
        <w:spacing w:after="80" w:line="300" w:lineRule="auto"/>
      </w:pPr>
    </w:lvl>
  </w:abstractNum>
  <w:num w:numId="46">
    <w:abstractNumId w:val="45"/>
  </w:num>
  <w:abstractNum w:abstractNumId="46">
    <w:multiLevelType w:val="singleLevel"/>
    <w:lvl w:ilvl="0">
      <w:start w:val="1"/>
      <w:numFmt w:val="bullet"/>
      <w:lvlText w:val="•"/>
      <w:suff w:val="tab"/>
      <w:lvlJc w:val="left"/>
      <w:pPr>
        <w:tabs>
          <w:tab w:val="num" w:pos="540"/>
        </w:tabs>
        <w:ind w:left="540" w:hanging="270"/>
        <w:spacing w:after="80" w:line="300" w:lineRule="auto"/>
      </w:pPr>
    </w:lvl>
  </w:abstractNum>
  <w:num w:numId="47">
    <w:abstractNumId w:val="46"/>
  </w:num>
  <w:abstractNum w:abstractNumId="47">
    <w:multiLevelType w:val="singleLevel"/>
    <w:lvl w:ilvl="0">
      <w:start w:val="1"/>
      <w:numFmt w:val="bullet"/>
      <w:lvlText w:val="•"/>
      <w:suff w:val="tab"/>
      <w:lvlJc w:val="left"/>
      <w:pPr>
        <w:tabs>
          <w:tab w:val="num" w:pos="540"/>
        </w:tabs>
        <w:ind w:left="540" w:hanging="270"/>
        <w:spacing w:after="80" w:line="300" w:lineRule="auto"/>
      </w:pPr>
    </w:lvl>
  </w:abstractNum>
  <w:num w:numId="48">
    <w:abstractNumId w:val="47"/>
  </w:num>
  <w:abstractNum w:abstractNumId="48">
    <w:multiLevelType w:val="singleLevel"/>
    <w:lvl w:ilvl="0">
      <w:start w:val="1"/>
      <w:numFmt w:val="bullet"/>
      <w:lvlText w:val="•"/>
      <w:suff w:val="tab"/>
      <w:lvlJc w:val="left"/>
      <w:pPr>
        <w:tabs>
          <w:tab w:val="num" w:pos="540"/>
        </w:tabs>
        <w:ind w:left="540" w:hanging="270"/>
        <w:spacing w:after="80" w:line="300" w:lineRule="auto"/>
      </w:pPr>
    </w:lvl>
  </w:abstractNum>
  <w:num w:numId="49">
    <w:abstractNumId w:val="48"/>
  </w:num>
  <w:abstractNum w:abstractNumId="49">
    <w:multiLevelType w:val="singleLevel"/>
    <w:lvl w:ilvl="0">
      <w:start w:val="1"/>
      <w:numFmt w:val="bullet"/>
      <w:lvlText w:val="•"/>
      <w:suff w:val="tab"/>
      <w:lvlJc w:val="left"/>
      <w:pPr>
        <w:tabs>
          <w:tab w:val="num" w:pos="540"/>
        </w:tabs>
        <w:ind w:left="540" w:hanging="270"/>
        <w:spacing w:after="80" w:line="300" w:lineRule="auto"/>
      </w:pPr>
    </w:lvl>
  </w:abstractNum>
  <w:num w:numId="5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line="240" w:lineRule="auto"/>
      <w:outlineLvl w:val="3"/>
    </w:pPr>
    <w:rPr>
      <w:rFonts w:asciiTheme="majorHAnsi" w:eastAsiaTheme="majorEastAsia" w:hAnsiTheme="majorHAnsi" w:cstheme="majorBidi" w:ascii="Calibri" w:hAnsi="Calibri"/>
      <w:b/>
      <w:bCs/>
      <w:i/>
      <w:iCs/>
      <w:color w:val="0B2545"/>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docs.cloud.google.com/run/docs/overview/what-is-cloud-run" TargetMode="External"/><Relationship Id="rId14" Type="http://schemas.openxmlformats.org/officeDocument/2006/relationships/hyperlink" Target="https://docs.cloud.google.com/sql/docs/postgres/high-availability" TargetMode="External"/><Relationship Id="rId15" Type="http://schemas.openxmlformats.org/officeDocument/2006/relationships/hyperlink" Target="https://docs.cloud.google.com/secret-manager/docs/creating-and-accessing-secrets" TargetMode="External"/><Relationship Id="rId16" Type="http://schemas.openxmlformats.org/officeDocument/2006/relationships/hyperlink" Target="https://developers.google.com/workspace/drive/api/reference/rest/v3/permis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ICC/OIA ERP Production Upgradation and Implementation Plan</dc:title>
  <dc:subject>Product requirements, implementation, migration, testing, and production acceptance plan</dc:subject>
  <dc:creator>ICC/OIA ERP Product Implementation Team</dc:creator>
  <cp:keywords>ICC, OIA, IGP, ERP, PRD, implementation plan</cp:keywords>
  <dc:description>Generated from the authoritative Markdown PRD.</dc:description>
  <cp:lastModifiedBy/>
  <cp:revision>1</cp:revision>
  <dcterms:created xsi:type="dcterms:W3CDTF">2013-12-23T23:15:00Z</dcterms:created>
  <dcterms:modified xsi:type="dcterms:W3CDTF">2013-12-23T23:15:00Z</dcterms:modified>
  <cp:category/>
</cp:coreProperties>
</file>