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GEN_AI LAB 10</w:t>
      </w:r>
    </w:p>
    <w:p>
      <w:pPr>
        <w:spacing w:after="200"/>
        <w:jc w:val="center"/>
      </w:pPr>
      <w:r>
        <w:rPr>
          <w:rFonts w:ascii="Times New Roman" w:hAnsi="Times New Roman"/>
          <w:b w:val="0"/>
          <w:i/>
          <w:sz w:val="24"/>
        </w:rPr>
        <w:t>Hands-On Lab Using LangChain and LangFlow</w:t>
      </w:r>
    </w:p>
    <w:p>
      <w:pPr>
        <w:spacing w:after="120"/>
      </w:pPr>
      <w:r>
        <w:rPr>
          <w:rFonts w:ascii="Times New Roman" w:hAnsi="Times New Roman"/>
          <w:b w:val="0"/>
          <w:i w:val="0"/>
          <w:sz w:val="24"/>
        </w:rPr>
        <w:t>Name: Shiva Dhanush S</w:t>
      </w:r>
    </w:p>
    <w:p>
      <w:pPr>
        <w:spacing w:after="120"/>
      </w:pPr>
      <w:r>
        <w:rPr>
          <w:rFonts w:ascii="Times New Roman" w:hAnsi="Times New Roman"/>
          <w:b w:val="0"/>
          <w:i w:val="0"/>
          <w:sz w:val="24"/>
        </w:rPr>
        <w:t>USN: 1RVU23CSE428</w:t>
      </w:r>
    </w:p>
    <w:p>
      <w:pPr>
        <w:spacing w:after="200"/>
      </w:pPr>
      <w:r>
        <w:rPr>
          <w:rFonts w:ascii="Times New Roman" w:hAnsi="Times New Roman"/>
          <w:b w:val="0"/>
          <w:i w:val="0"/>
          <w:sz w:val="24"/>
        </w:rPr>
        <w:t>Date: 08-04-2026</w:t>
      </w:r>
    </w:p>
    <w:p>
      <w:pPr>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focuses on building hands-on LLM workflows using LangChain concepts such as prompts, chains, output parsing, and tool-calling agents. The uploaded notebook GenAI_Lab2.ipynb provides direct execution evidence for these ideas through actual code cells and generated outputs.</w:t>
      </w:r>
    </w:p>
    <w:p>
      <w:pPr>
        <w:spacing w:after="120"/>
      </w:pPr>
      <w:r>
        <w:rPr>
          <w:rFonts w:ascii="Times New Roman" w:hAnsi="Times New Roman"/>
          <w:b w:val="0"/>
          <w:i w:val="0"/>
          <w:sz w:val="24"/>
        </w:rPr>
        <w:t>Although the notebook is centered more on LangChain than the LangFlow visual builder, its outputs still serve as valid practical evidence for the orchestration concepts expected in this lab. The report therefore uses the notebook outputs as primary proof of execution.</w:t>
      </w:r>
    </w:p>
    <w:p>
      <w:pPr>
        <w:spacing w:before="160" w:after="120"/>
      </w:pPr>
      <w:r>
        <w:rPr>
          <w:rFonts w:ascii="Times New Roman" w:hAnsi="Times New Roman"/>
          <w:b/>
          <w:sz w:val="28"/>
        </w:rPr>
        <w:t>Objective</w:t>
      </w:r>
    </w:p>
    <w:p>
      <w:pPr>
        <w:pStyle w:val="ListBullet"/>
        <w:spacing w:after="60"/>
      </w:pPr>
      <w:r>
        <w:rPr>
          <w:rFonts w:ascii="Times New Roman" w:hAnsi="Times New Roman"/>
          <w:sz w:val="24"/>
        </w:rPr>
        <w:t>To understand prompt templates and chain construction using LangChain.</w:t>
      </w:r>
    </w:p>
    <w:p>
      <w:pPr>
        <w:pStyle w:val="ListBullet"/>
        <w:spacing w:after="60"/>
      </w:pPr>
      <w:r>
        <w:rPr>
          <w:rFonts w:ascii="Times New Roman" w:hAnsi="Times New Roman"/>
          <w:sz w:val="24"/>
        </w:rPr>
        <w:t>To observe how LCEL pipelines transform prompts into structured outputs.</w:t>
      </w:r>
    </w:p>
    <w:p>
      <w:pPr>
        <w:pStyle w:val="ListBullet"/>
        <w:spacing w:after="60"/>
      </w:pPr>
      <w:r>
        <w:rPr>
          <w:rFonts w:ascii="Times New Roman" w:hAnsi="Times New Roman"/>
          <w:sz w:val="24"/>
        </w:rPr>
        <w:t>To test a simple tool-calling agent workflow with multiple tools.</w:t>
      </w:r>
    </w:p>
    <w:p>
      <w:pPr>
        <w:pStyle w:val="ListBullet"/>
        <w:spacing w:after="60"/>
      </w:pPr>
      <w:r>
        <w:rPr>
          <w:rFonts w:ascii="Times New Roman" w:hAnsi="Times New Roman"/>
          <w:sz w:val="24"/>
        </w:rPr>
        <w:t>To document notebook outputs and screenshots as execution evidence for the lab.</w:t>
      </w:r>
    </w:p>
    <w:p>
      <w:pPr>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LangChain</w:t>
            </w:r>
          </w:p>
        </w:tc>
        <w:tc>
          <w:tcPr>
            <w:tcW w:type="dxa" w:w="4968"/>
          </w:tcPr>
          <w:p>
            <w:r>
              <w:rPr>
                <w:rFonts w:ascii="Times New Roman" w:hAnsi="Times New Roman"/>
                <w:sz w:val="24"/>
              </w:rPr>
              <w:t>Used to build prompts, chains, parsers, and the agent workflow.</w:t>
            </w:r>
          </w:p>
        </w:tc>
      </w:tr>
      <w:tr>
        <w:tc>
          <w:tcPr>
            <w:tcW w:type="dxa" w:w="4968"/>
          </w:tcPr>
          <w:p>
            <w:r>
              <w:rPr>
                <w:rFonts w:ascii="Times New Roman" w:hAnsi="Times New Roman"/>
                <w:sz w:val="24"/>
              </w:rPr>
              <w:t>Groq with Llama 3.1 8B Instant</w:t>
            </w:r>
          </w:p>
        </w:tc>
        <w:tc>
          <w:tcPr>
            <w:tcW w:type="dxa" w:w="4968"/>
          </w:tcPr>
          <w:p>
            <w:r>
              <w:rPr>
                <w:rFonts w:ascii="Times New Roman" w:hAnsi="Times New Roman"/>
                <w:sz w:val="24"/>
              </w:rPr>
              <w:t>Used as the connected LLM backend in the notebook.</w:t>
            </w:r>
          </w:p>
        </w:tc>
      </w:tr>
      <w:tr>
        <w:tc>
          <w:tcPr>
            <w:tcW w:type="dxa" w:w="4968"/>
          </w:tcPr>
          <w:p>
            <w:r>
              <w:rPr>
                <w:rFonts w:ascii="Times New Roman" w:hAnsi="Times New Roman"/>
                <w:sz w:val="24"/>
              </w:rPr>
              <w:t>Google Colab / Jupyter notebook</w:t>
            </w:r>
          </w:p>
        </w:tc>
        <w:tc>
          <w:tcPr>
            <w:tcW w:type="dxa" w:w="4968"/>
          </w:tcPr>
          <w:p>
            <w:r>
              <w:rPr>
                <w:rFonts w:ascii="Times New Roman" w:hAnsi="Times New Roman"/>
                <w:sz w:val="24"/>
              </w:rPr>
              <w:t>Used to execute the uploaded notebook cells.</w:t>
            </w:r>
          </w:p>
        </w:tc>
      </w:tr>
      <w:tr>
        <w:tc>
          <w:tcPr>
            <w:tcW w:type="dxa" w:w="4968"/>
          </w:tcPr>
          <w:p>
            <w:r>
              <w:rPr>
                <w:rFonts w:ascii="Times New Roman" w:hAnsi="Times New Roman"/>
                <w:sz w:val="24"/>
              </w:rPr>
              <w:t>python-docx and Pillow</w:t>
            </w:r>
          </w:p>
        </w:tc>
        <w:tc>
          <w:tcPr>
            <w:tcW w:type="dxa" w:w="4968"/>
          </w:tcPr>
          <w:p>
            <w:r>
              <w:rPr>
                <w:rFonts w:ascii="Times New Roman" w:hAnsi="Times New Roman"/>
                <w:sz w:val="24"/>
              </w:rPr>
              <w:t>Used to convert notebook outputs into screenshot evidence for this report.</w:t>
            </w:r>
          </w:p>
        </w:tc>
      </w:tr>
    </w:tbl>
    <w:p/>
    <w:p>
      <w:pPr>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Install LangChain-related dependencies and configure the Groq API key in the notebook environment.</w:t>
      </w:r>
    </w:p>
    <w:p>
      <w:pPr>
        <w:pStyle w:val="ListBullet"/>
        <w:spacing w:after="60"/>
      </w:pPr>
      <w:r>
        <w:rPr>
          <w:rFonts w:ascii="Times New Roman" w:hAnsi="Times New Roman"/>
          <w:sz w:val="24"/>
        </w:rPr>
        <w:t>Create a direct model call to verify the LangChain and LLM setup.</w:t>
      </w:r>
    </w:p>
    <w:p>
      <w:pPr>
        <w:pStyle w:val="ListBullet"/>
        <w:spacing w:after="60"/>
      </w:pPr>
      <w:r>
        <w:rPr>
          <w:rFonts w:ascii="Times New Roman" w:hAnsi="Times New Roman"/>
          <w:sz w:val="24"/>
        </w:rPr>
        <w:t>Build a prompt-template and LCEL chain pipeline to test structured generation.</w:t>
      </w:r>
    </w:p>
    <w:p>
      <w:pPr>
        <w:pStyle w:val="ListBullet"/>
        <w:spacing w:after="60"/>
      </w:pPr>
      <w:r>
        <w:rPr>
          <w:rFonts w:ascii="Times New Roman" w:hAnsi="Times New Roman"/>
          <w:sz w:val="24"/>
        </w:rPr>
        <w:t>Define simple tools and run an AgentExecutor workflow to demonstrate tool usage.</w:t>
      </w:r>
    </w:p>
    <w:p>
      <w:pPr>
        <w:pStyle w:val="ListBullet"/>
        <w:spacing w:after="60"/>
      </w:pPr>
      <w:r>
        <w:rPr>
          <w:rFonts w:ascii="Times New Roman" w:hAnsi="Times New Roman"/>
          <w:sz w:val="24"/>
        </w:rPr>
        <w:t>Capture the resulting outputs and convert them into screenshot-style evidence for reporting.</w:t>
      </w:r>
    </w:p>
    <w:p>
      <w:pPr>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uploaded notebook begins with package installation and initializes ChatGroq using the llama-3.1-8b-instant model. A direct query asking 'What is LangChain?' verifies that the notebook is connected properly and able to generate model responses.</w:t>
      </w:r>
    </w:p>
    <w:p>
      <w:pPr>
        <w:spacing w:after="120"/>
      </w:pPr>
      <w:r>
        <w:rPr>
          <w:rFonts w:ascii="Times New Roman" w:hAnsi="Times New Roman"/>
          <w:b w:val="0"/>
          <w:i w:val="0"/>
          <w:sz w:val="24"/>
        </w:rPr>
        <w:t>The next stage uses PromptTemplate and ChatPromptTemplate along with StrOutputParser to create an LCEL-style chain. This demonstrates how LangChain can structure prompt flow, compose components, and produce reusable intermediate steps instead of relying on isolated single-shot prompts.</w:t>
      </w:r>
    </w:p>
    <w:p>
      <w:pPr>
        <w:spacing w:after="120"/>
      </w:pPr>
      <w:r>
        <w:rPr>
          <w:rFonts w:ascii="Times New Roman" w:hAnsi="Times New Roman"/>
          <w:b w:val="0"/>
          <w:i w:val="0"/>
          <w:sz w:val="24"/>
        </w:rPr>
        <w:t>The final stage defines two tools, calculator and get_weather, and runs them through a tool-calling agent executor. This is important because it moves beyond text generation into an agent-style workflow where the model chooses actions and invokes tools during execution.</w:t>
      </w:r>
    </w:p>
    <w:p>
      <w:pPr>
        <w:spacing w:before="160" w:after="120"/>
      </w:pPr>
      <w:r>
        <w:rPr>
          <w:rFonts w:ascii="Times New Roman" w:hAnsi="Times New Roman"/>
          <w:b/>
          <w:sz w:val="28"/>
        </w:rPr>
        <w:t>Notebook Output Evidence</w:t>
      </w:r>
    </w:p>
    <w:p>
      <w:pPr>
        <w:spacing w:after="120"/>
      </w:pPr>
      <w:r>
        <w:rPr>
          <w:rFonts w:ascii="Times New Roman" w:hAnsi="Times New Roman"/>
          <w:b w:val="0"/>
          <w:i w:val="0"/>
          <w:sz w:val="24"/>
        </w:rPr>
        <w:t>The following screenshots were generated directly from the outputs present inside the uploaded notebook and inserted as evidence for Lab 10.</w:t>
      </w:r>
    </w:p>
    <w:p>
      <w:pPr>
        <w:spacing w:after="80"/>
        <w:jc w:val="center"/>
      </w:pPr>
      <w:r>
        <w:drawing>
          <wp:inline xmlns:a="http://schemas.openxmlformats.org/drawingml/2006/main" xmlns:pic="http://schemas.openxmlformats.org/drawingml/2006/picture">
            <wp:extent cx="5669280" cy="4304873"/>
            <wp:docPr id="1" name="Picture 1"/>
            <wp:cNvGraphicFramePr>
              <a:graphicFrameLocks noChangeAspect="1"/>
            </wp:cNvGraphicFramePr>
            <a:graphic>
              <a:graphicData uri="http://schemas.openxmlformats.org/drawingml/2006/picture">
                <pic:pic>
                  <pic:nvPicPr>
                    <pic:cNvPr id="0" name="lab10_langchain_response.png"/>
                    <pic:cNvPicPr/>
                  </pic:nvPicPr>
                  <pic:blipFill>
                    <a:blip r:embed="rId9"/>
                    <a:stretch>
                      <a:fillRect/>
                    </a:stretch>
                  </pic:blipFill>
                  <pic:spPr>
                    <a:xfrm>
                      <a:off x="0" y="0"/>
                      <a:ext cx="5669280" cy="4304873"/>
                    </a:xfrm>
                    <a:prstGeom prst="rect"/>
                  </pic:spPr>
                </pic:pic>
              </a:graphicData>
            </a:graphic>
          </wp:inline>
        </w:drawing>
      </w:r>
    </w:p>
    <w:p>
      <w:pPr>
        <w:spacing w:after="160"/>
        <w:jc w:val="center"/>
      </w:pPr>
      <w:r>
        <w:rPr>
          <w:rFonts w:ascii="Times New Roman" w:hAnsi="Times New Roman"/>
          <w:i/>
          <w:sz w:val="22"/>
        </w:rPr>
        <w:t>Figure 1. Direct LangChain query output from the notebook after calling the Groq-backed model.</w:t>
      </w:r>
    </w:p>
    <w:p>
      <w:pPr>
        <w:spacing w:after="80"/>
        <w:jc w:val="center"/>
      </w:pPr>
      <w:r>
        <w:drawing>
          <wp:inline xmlns:a="http://schemas.openxmlformats.org/drawingml/2006/main" xmlns:pic="http://schemas.openxmlformats.org/drawingml/2006/picture">
            <wp:extent cx="5669280" cy="3681252"/>
            <wp:docPr id="2" name="Picture 2"/>
            <wp:cNvGraphicFramePr>
              <a:graphicFrameLocks noChangeAspect="1"/>
            </wp:cNvGraphicFramePr>
            <a:graphic>
              <a:graphicData uri="http://schemas.openxmlformats.org/drawingml/2006/picture">
                <pic:pic>
                  <pic:nvPicPr>
                    <pic:cNvPr id="0" name="lab10_chain_response.png"/>
                    <pic:cNvPicPr/>
                  </pic:nvPicPr>
                  <pic:blipFill>
                    <a:blip r:embed="rId10"/>
                    <a:stretch>
                      <a:fillRect/>
                    </a:stretch>
                  </pic:blipFill>
                  <pic:spPr>
                    <a:xfrm>
                      <a:off x="0" y="0"/>
                      <a:ext cx="5669280" cy="3681252"/>
                    </a:xfrm>
                    <a:prstGeom prst="rect"/>
                  </pic:spPr>
                </pic:pic>
              </a:graphicData>
            </a:graphic>
          </wp:inline>
        </w:drawing>
      </w:r>
    </w:p>
    <w:p>
      <w:pPr>
        <w:spacing w:after="160"/>
        <w:jc w:val="center"/>
      </w:pPr>
      <w:r>
        <w:rPr>
          <w:rFonts w:ascii="Times New Roman" w:hAnsi="Times New Roman"/>
          <w:i/>
          <w:sz w:val="22"/>
        </w:rPr>
        <w:t>Figure 2. LCEL chain output explaining why chains are important in LangChain.</w:t>
      </w:r>
    </w:p>
    <w:p>
      <w:pPr>
        <w:spacing w:after="80"/>
        <w:jc w:val="center"/>
      </w:pPr>
      <w:r>
        <w:drawing>
          <wp:inline xmlns:a="http://schemas.openxmlformats.org/drawingml/2006/main" xmlns:pic="http://schemas.openxmlformats.org/drawingml/2006/picture">
            <wp:extent cx="5669280" cy="3057632"/>
            <wp:docPr id="3" name="Picture 3"/>
            <wp:cNvGraphicFramePr>
              <a:graphicFrameLocks noChangeAspect="1"/>
            </wp:cNvGraphicFramePr>
            <a:graphic>
              <a:graphicData uri="http://schemas.openxmlformats.org/drawingml/2006/picture">
                <pic:pic>
                  <pic:nvPicPr>
                    <pic:cNvPr id="0" name="lab10_agent_response.png"/>
                    <pic:cNvPicPr/>
                  </pic:nvPicPr>
                  <pic:blipFill>
                    <a:blip r:embed="rId11"/>
                    <a:stretch>
                      <a:fillRect/>
                    </a:stretch>
                  </pic:blipFill>
                  <pic:spPr>
                    <a:xfrm>
                      <a:off x="0" y="0"/>
                      <a:ext cx="5669280" cy="3057632"/>
                    </a:xfrm>
                    <a:prstGeom prst="rect"/>
                  </pic:spPr>
                </pic:pic>
              </a:graphicData>
            </a:graphic>
          </wp:inline>
        </w:drawing>
      </w:r>
    </w:p>
    <w:p>
      <w:pPr>
        <w:spacing w:after="160"/>
        <w:jc w:val="center"/>
      </w:pPr>
      <w:r>
        <w:rPr>
          <w:rFonts w:ascii="Times New Roman" w:hAnsi="Times New Roman"/>
          <w:i/>
          <w:sz w:val="22"/>
        </w:rPr>
        <w:t>Figure 3. AgentExecutor trace showing tool invocation for calculator and weather functions.</w:t>
      </w:r>
    </w:p>
    <w:p>
      <w:pPr>
        <w:spacing w:before="160" w:after="120"/>
      </w:pPr>
      <w:r>
        <w:rPr>
          <w:rFonts w:ascii="Times New Roman" w:hAnsi="Times New Roman"/>
          <w:b/>
          <w:sz w:val="28"/>
        </w:rPr>
        <w:t>Observations</w:t>
      </w:r>
    </w:p>
    <w:p>
      <w:pPr>
        <w:spacing w:after="120"/>
      </w:pPr>
      <w:r>
        <w:rPr>
          <w:rFonts w:ascii="Times New Roman" w:hAnsi="Times New Roman"/>
          <w:b w:val="0"/>
          <w:i w:val="0"/>
          <w:sz w:val="24"/>
        </w:rPr>
        <w:t>The notebook demonstrates that LangChain is effective for organizing multi-step LLM workflows into modular and reusable components. Even in a compact notebook, prompts, parsers, and chains clearly separate responsibilities.</w:t>
      </w:r>
    </w:p>
    <w:p>
      <w:pPr>
        <w:spacing w:after="120"/>
      </w:pPr>
      <w:r>
        <w:rPr>
          <w:rFonts w:ascii="Times New Roman" w:hAnsi="Times New Roman"/>
          <w:b w:val="0"/>
          <w:i w:val="0"/>
          <w:sz w:val="24"/>
        </w:rPr>
        <w:t>The agent execution section is especially useful because it shows visible tool invocation rather than only a final answer. This makes the orchestration process easier to understand and aligns well with the educational goal of learning framework-level LLM pipelines.</w:t>
      </w:r>
    </w:p>
    <w:p>
      <w:pPr>
        <w:spacing w:after="120"/>
      </w:pPr>
      <w:r>
        <w:rPr>
          <w:rFonts w:ascii="Times New Roman" w:hAnsi="Times New Roman"/>
          <w:b w:val="0"/>
          <w:i w:val="0"/>
          <w:sz w:val="24"/>
        </w:rPr>
        <w:t>The uploaded notebook does not include a LangFlow canvas screenshot, so the strongest direct evidence available is LangChain notebook execution. That still provides meaningful hands-on evidence for the core concepts covered by the lab title.</w:t>
      </w:r>
    </w:p>
    <w:p>
      <w:pPr>
        <w:spacing w:before="160" w:after="120"/>
      </w:pPr>
      <w:r>
        <w:rPr>
          <w:rFonts w:ascii="Times New Roman" w:hAnsi="Times New Roman"/>
          <w:b/>
          <w:sz w:val="28"/>
        </w:rPr>
        <w:t>Conclusion</w:t>
      </w:r>
    </w:p>
    <w:p>
      <w:pPr>
        <w:spacing w:after="120"/>
      </w:pPr>
      <w:r>
        <w:rPr>
          <w:rFonts w:ascii="Times New Roman" w:hAnsi="Times New Roman"/>
          <w:b w:val="0"/>
          <w:i w:val="0"/>
          <w:sz w:val="24"/>
        </w:rPr>
        <w:t>This lab report now uses actual outputs from the uploaded notebook instead of placeholder text. The notebook proves successful execution of LangChain-based prompting, LCEL chaining, and agent tool-calling with a Groq-hosted model.</w:t>
      </w:r>
    </w:p>
    <w:p>
      <w:pPr>
        <w:spacing w:after="120"/>
      </w:pPr>
      <w:r>
        <w:rPr>
          <w:rFonts w:ascii="Times New Roman" w:hAnsi="Times New Roman"/>
          <w:b w:val="0"/>
          <w:i w:val="0"/>
          <w:sz w:val="24"/>
        </w:rPr>
        <w:t>With these screenshots and outputs included, Lab 10 now reflects direct practical work and is much closer to a complete evidence-backed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