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0"/>
        </w:rPr>
        <w:t>GEN_AI LAB 4</w:t>
      </w:r>
    </w:p>
    <w:p>
      <w:pPr>
        <w:spacing w:after="200"/>
        <w:jc w:val="center"/>
      </w:pPr>
      <w:r>
        <w:rPr>
          <w:rFonts w:ascii="Times New Roman" w:hAnsi="Times New Roman"/>
          <w:b w:val="0"/>
          <w:i/>
          <w:sz w:val="24"/>
        </w:rPr>
        <w:t>Prompt Engineering Practice: Chain of Thought, Tabular, Fill-in-the-Blank, RGC, Zero-Shot, One-Shot, and Few-Shot Prompting</w:t>
      </w:r>
    </w:p>
    <w:p>
      <w:pPr>
        <w:spacing w:after="120"/>
      </w:pPr>
      <w:r>
        <w:rPr>
          <w:rFonts w:ascii="Times New Roman" w:hAnsi="Times New Roman"/>
          <w:b w:val="0"/>
          <w:i w:val="0"/>
          <w:sz w:val="24"/>
        </w:rPr>
        <w:t>Name: Shiva Dhanush S</w:t>
      </w:r>
    </w:p>
    <w:p>
      <w:pPr>
        <w:spacing w:after="120"/>
      </w:pPr>
      <w:r>
        <w:rPr>
          <w:rFonts w:ascii="Times New Roman" w:hAnsi="Times New Roman"/>
          <w:b w:val="0"/>
          <w:i w:val="0"/>
          <w:sz w:val="24"/>
        </w:rPr>
        <w:t>USN: 1RVU23CSE428</w:t>
      </w:r>
    </w:p>
    <w:p>
      <w:pPr>
        <w:spacing w:after="200"/>
      </w:pPr>
      <w:r>
        <w:rPr>
          <w:rFonts w:ascii="Times New Roman" w:hAnsi="Times New Roman"/>
          <w:b w:val="0"/>
          <w:i w:val="0"/>
          <w:sz w:val="24"/>
        </w:rPr>
        <w:t>Date: 08-04-2026</w:t>
      </w:r>
    </w:p>
    <w:p>
      <w:pPr>
        <w:spacing w:before="160" w:after="120"/>
      </w:pPr>
      <w:r>
        <w:rPr>
          <w:rFonts w:ascii="Times New Roman" w:hAnsi="Times New Roman"/>
          <w:b/>
          <w:sz w:val="28"/>
        </w:rPr>
        <w:t>Introduction</w:t>
      </w:r>
    </w:p>
    <w:p>
      <w:pPr>
        <w:spacing w:after="120"/>
      </w:pPr>
      <w:r>
        <w:rPr>
          <w:rFonts w:ascii="Times New Roman" w:hAnsi="Times New Roman"/>
          <w:b w:val="0"/>
          <w:i w:val="0"/>
          <w:sz w:val="24"/>
        </w:rPr>
        <w:t>This experiment focuses on systematic prompt engineering for large language models. The work builds on the prompt patterns already present in the local repository, especially the notebook GENAI_LAB3,4.ipynb and the detailed prompt templates stored inside the Actual Lab 3 folder.</w:t>
      </w:r>
    </w:p>
    <w:p>
      <w:pPr>
        <w:spacing w:after="120"/>
      </w:pPr>
      <w:r>
        <w:rPr>
          <w:rFonts w:ascii="Times New Roman" w:hAnsi="Times New Roman"/>
          <w:b w:val="0"/>
          <w:i w:val="0"/>
          <w:sz w:val="24"/>
        </w:rPr>
        <w:t>The exercise studies how the same model behavior can be guided using different prompt structures such as Chain of Thought reasoning, tabular output constraints, fill-in-the-blank guidance, RGC framing, and example-based prompting. The goal is to compare how prompt form changes clarity, structure, and usefulness of the generated response.</w:t>
      </w:r>
    </w:p>
    <w:p>
      <w:pPr>
        <w:spacing w:before="160" w:after="120"/>
      </w:pPr>
      <w:r>
        <w:rPr>
          <w:rFonts w:ascii="Times New Roman" w:hAnsi="Times New Roman"/>
          <w:b/>
          <w:sz w:val="28"/>
        </w:rPr>
        <w:t>Objective</w:t>
      </w:r>
    </w:p>
    <w:p>
      <w:pPr>
        <w:pStyle w:val="ListBullet"/>
        <w:spacing w:after="60"/>
      </w:pPr>
      <w:r>
        <w:rPr>
          <w:rFonts w:ascii="Times New Roman" w:hAnsi="Times New Roman"/>
          <w:sz w:val="24"/>
        </w:rPr>
        <w:t>To practice multiple prompt engineering strategies in a single lab workflow.</w:t>
      </w:r>
    </w:p>
    <w:p>
      <w:pPr>
        <w:pStyle w:val="ListBullet"/>
        <w:spacing w:after="60"/>
      </w:pPr>
      <w:r>
        <w:rPr>
          <w:rFonts w:ascii="Times New Roman" w:hAnsi="Times New Roman"/>
          <w:sz w:val="24"/>
        </w:rPr>
        <w:t>To understand when zero-shot, one-shot, and few-shot prompting are most effective.</w:t>
      </w:r>
    </w:p>
    <w:p>
      <w:pPr>
        <w:pStyle w:val="ListBullet"/>
        <w:spacing w:after="60"/>
      </w:pPr>
      <w:r>
        <w:rPr>
          <w:rFonts w:ascii="Times New Roman" w:hAnsi="Times New Roman"/>
          <w:sz w:val="24"/>
        </w:rPr>
        <w:t>To observe how structure-oriented prompts improve consistency and readability.</w:t>
      </w:r>
    </w:p>
    <w:p>
      <w:pPr>
        <w:pStyle w:val="ListBullet"/>
        <w:spacing w:after="60"/>
      </w:pPr>
      <w:r>
        <w:rPr>
          <w:rFonts w:ascii="Times New Roman" w:hAnsi="Times New Roman"/>
          <w:sz w:val="24"/>
        </w:rPr>
        <w:t>To document reusable prompt patterns for future generative AI tasks.</w:t>
      </w:r>
    </w:p>
    <w:p>
      <w:pPr>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OpenAI-compatible chat API</w:t>
            </w:r>
          </w:p>
        </w:tc>
        <w:tc>
          <w:tcPr>
            <w:tcW w:type="dxa" w:w="4968"/>
          </w:tcPr>
          <w:p>
            <w:r>
              <w:rPr>
                <w:rFonts w:ascii="Times New Roman" w:hAnsi="Times New Roman"/>
                <w:sz w:val="24"/>
              </w:rPr>
              <w:t>Used in the notebook to send prompts and receive model responses.</w:t>
            </w:r>
          </w:p>
        </w:tc>
      </w:tr>
      <w:tr>
        <w:tc>
          <w:tcPr>
            <w:tcW w:type="dxa" w:w="4968"/>
          </w:tcPr>
          <w:p>
            <w:r>
              <w:rPr>
                <w:rFonts w:ascii="Times New Roman" w:hAnsi="Times New Roman"/>
                <w:sz w:val="24"/>
              </w:rPr>
              <w:t>OpenRouter endpoint</w:t>
            </w:r>
          </w:p>
        </w:tc>
        <w:tc>
          <w:tcPr>
            <w:tcW w:type="dxa" w:w="4968"/>
          </w:tcPr>
          <w:p>
            <w:r>
              <w:rPr>
                <w:rFonts w:ascii="Times New Roman" w:hAnsi="Times New Roman"/>
                <w:sz w:val="24"/>
              </w:rPr>
              <w:t>Configured in the notebook as the model access layer.</w:t>
            </w:r>
          </w:p>
        </w:tc>
      </w:tr>
      <w:tr>
        <w:tc>
          <w:tcPr>
            <w:tcW w:type="dxa" w:w="4968"/>
          </w:tcPr>
          <w:p>
            <w:r>
              <w:rPr>
                <w:rFonts w:ascii="Times New Roman" w:hAnsi="Times New Roman"/>
                <w:sz w:val="24"/>
              </w:rPr>
              <w:t>Python notebook environment</w:t>
            </w:r>
          </w:p>
        </w:tc>
        <w:tc>
          <w:tcPr>
            <w:tcW w:type="dxa" w:w="4968"/>
          </w:tcPr>
          <w:p>
            <w:r>
              <w:rPr>
                <w:rFonts w:ascii="Times New Roman" w:hAnsi="Times New Roman"/>
                <w:sz w:val="24"/>
              </w:rPr>
              <w:t>Used to run each prompting experiment step by step.</w:t>
            </w:r>
          </w:p>
        </w:tc>
      </w:tr>
      <w:tr>
        <w:tc>
          <w:tcPr>
            <w:tcW w:type="dxa" w:w="4968"/>
          </w:tcPr>
          <w:p>
            <w:r>
              <w:rPr>
                <w:rFonts w:ascii="Times New Roman" w:hAnsi="Times New Roman"/>
                <w:sz w:val="24"/>
              </w:rPr>
              <w:t>Markdown prompt templates</w:t>
            </w:r>
          </w:p>
        </w:tc>
        <w:tc>
          <w:tcPr>
            <w:tcW w:type="dxa" w:w="4968"/>
          </w:tcPr>
          <w:p>
            <w:r>
              <w:rPr>
                <w:rFonts w:ascii="Times New Roman" w:hAnsi="Times New Roman"/>
                <w:sz w:val="24"/>
              </w:rPr>
              <w:t>Stored examples helped document advanced prompting patterns.</w:t>
            </w:r>
          </w:p>
        </w:tc>
      </w:tr>
    </w:tbl>
    <w:p/>
    <w:p>
      <w:pPr>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Review the local notebook GENAI_LAB3,4.ipynb and identify the prompting sections already implemented.</w:t>
      </w:r>
    </w:p>
    <w:p>
      <w:pPr>
        <w:pStyle w:val="ListBullet"/>
        <w:spacing w:after="60"/>
      </w:pPr>
      <w:r>
        <w:rPr>
          <w:rFonts w:ascii="Times New Roman" w:hAnsi="Times New Roman"/>
          <w:sz w:val="24"/>
        </w:rPr>
        <w:t>Map each manual requirement to a matching prompt type: Chain of Thought, Tabular format, Fill-in-the-Blank, RGC, Zero-Shot, One-Shot, and Few-Shot.</w:t>
      </w:r>
    </w:p>
    <w:p>
      <w:pPr>
        <w:pStyle w:val="ListBullet"/>
        <w:spacing w:after="60"/>
      </w:pPr>
      <w:r>
        <w:rPr>
          <w:rFonts w:ascii="Times New Roman" w:hAnsi="Times New Roman"/>
          <w:sz w:val="24"/>
        </w:rPr>
        <w:t>Compare the notebook prompts with the richer prompt templates in prompting_examples.md.</w:t>
      </w:r>
    </w:p>
    <w:p>
      <w:pPr>
        <w:pStyle w:val="ListBullet"/>
        <w:spacing w:after="60"/>
      </w:pPr>
      <w:r>
        <w:rPr>
          <w:rFonts w:ascii="Times New Roman" w:hAnsi="Times New Roman"/>
          <w:sz w:val="24"/>
        </w:rPr>
        <w:t>Summarize the behavior, intended output style, and best use case of each prompting pattern.</w:t>
      </w:r>
    </w:p>
    <w:p>
      <w:pPr>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The repository already contains working prompt examples for Personal Prompt, Cognitive Verifier Pattern, Question Refinement Pattern, Provide New Information and Ask Questions, Root Prompt, Chain of Thought prompting, Tabular format prompting, and Fill-in-the-Blank prompting. These examples were used as the main evidence base for this report.</w:t>
      </w:r>
    </w:p>
    <w:p>
      <w:pPr>
        <w:spacing w:after="120"/>
      </w:pPr>
      <w:r>
        <w:rPr>
          <w:rFonts w:ascii="Times New Roman" w:hAnsi="Times New Roman"/>
          <w:b w:val="0"/>
          <w:i w:val="0"/>
          <w:sz w:val="24"/>
        </w:rPr>
        <w:t>The advanced markdown file extends the same ideas further by showing RGC framing, zero-shot analysis, one-shot examples, and few-shot reasoning templates. In particular, the few-shot examples demonstrate how explicit demonstrations and a required reasoning sequence can reduce ambiguity and improve answer format consistency.</w:t>
      </w:r>
    </w:p>
    <w:p>
      <w:pPr>
        <w:spacing w:after="120"/>
      </w:pPr>
      <w:r>
        <w:rPr>
          <w:rFonts w:ascii="Times New Roman" w:hAnsi="Times New Roman"/>
          <w:b w:val="0"/>
          <w:i w:val="0"/>
          <w:sz w:val="24"/>
        </w:rPr>
        <w:t>From a practical standpoint, the lab shows that prompt design is not only about asking a question, but also about defining role, task boundaries, output format, evaluation criteria, and examples. As the amount of structure increases, the output tends to become more predictable and easier to assess.</w:t>
      </w:r>
    </w:p>
    <w:p>
      <w:pPr>
        <w:spacing w:before="160" w:after="120"/>
      </w:pPr>
      <w:r>
        <w:rPr>
          <w:rFonts w:ascii="Times New Roman" w:hAnsi="Times New Roman"/>
          <w:b/>
          <w:sz w:val="28"/>
        </w:rPr>
        <w:t>Representative Snippets</w:t>
      </w:r>
    </w:p>
    <w:p>
      <w:pPr>
        <w:spacing w:after="0"/>
        <w:ind w:left="360"/>
      </w:pPr>
      <w:r>
        <w:rPr>
          <w:rFonts w:ascii="Courier New" w:hAnsi="Courier New"/>
          <w:sz w:val="21"/>
        </w:rPr>
        <w:t>Chain of Thought prompt:</w:t>
      </w:r>
    </w:p>
    <w:p>
      <w:pPr>
        <w:spacing w:after="0"/>
        <w:ind w:left="360"/>
      </w:pPr>
      <w:r>
        <w:rPr>
          <w:rFonts w:ascii="Courier New" w:hAnsi="Courier New"/>
          <w:sz w:val="21"/>
        </w:rPr>
        <w:t>{"role": "user", "content": "Solve step by step: A model has 80% accuracy on 50 samples. How many are correct?"}</w:t>
      </w:r>
    </w:p>
    <w:p>
      <w:pPr>
        <w:spacing w:after="0"/>
        <w:ind w:left="360"/>
      </w:pPr>
      <w:r>
        <w:rPr>
          <w:rFonts w:ascii="Courier New" w:hAnsi="Courier New"/>
          <w:sz w:val="21"/>
        </w:rPr>
      </w:r>
    </w:p>
    <w:p>
      <w:pPr>
        <w:spacing w:after="0"/>
        <w:ind w:left="360"/>
      </w:pPr>
      <w:r>
        <w:rPr>
          <w:rFonts w:ascii="Courier New" w:hAnsi="Courier New"/>
          <w:sz w:val="21"/>
        </w:rPr>
        <w:t>Tabular format prompt:</w:t>
      </w:r>
    </w:p>
    <w:p>
      <w:pPr>
        <w:spacing w:after="0"/>
        <w:ind w:left="360"/>
      </w:pPr>
      <w:r>
        <w:rPr>
          <w:rFonts w:ascii="Courier New" w:hAnsi="Courier New"/>
          <w:sz w:val="21"/>
        </w:rPr>
        <w:t>{"role": "user", "content": "Compare AI, ML, and DL in a table."}</w:t>
      </w:r>
    </w:p>
    <w:p>
      <w:pPr>
        <w:spacing w:after="0"/>
        <w:ind w:left="360"/>
      </w:pPr>
      <w:r>
        <w:rPr>
          <w:rFonts w:ascii="Courier New" w:hAnsi="Courier New"/>
          <w:sz w:val="21"/>
        </w:rPr>
      </w:r>
    </w:p>
    <w:p>
      <w:pPr>
        <w:spacing w:after="0"/>
        <w:ind w:left="360"/>
      </w:pPr>
      <w:r>
        <w:rPr>
          <w:rFonts w:ascii="Courier New" w:hAnsi="Courier New"/>
          <w:sz w:val="21"/>
        </w:rPr>
        <w:t>Fill-in-the-blank prompt:</w:t>
      </w:r>
    </w:p>
    <w:p>
      <w:pPr>
        <w:spacing w:after="0"/>
        <w:ind w:left="360"/>
      </w:pPr>
      <w:r>
        <w:rPr>
          <w:rFonts w:ascii="Courier New" w:hAnsi="Courier New"/>
          <w:sz w:val="21"/>
        </w:rPr>
        <w:t>{"role": "user", "content": "Fill in the blank: Machine Learning is a subset of ____."}</w:t>
      </w:r>
    </w:p>
    <w:p/>
    <w:p>
      <w:pPr>
        <w:spacing w:before="160" w:after="120"/>
      </w:pPr>
      <w:r>
        <w:rPr>
          <w:rFonts w:ascii="Times New Roman" w:hAnsi="Times New Roman"/>
          <w:b/>
          <w:sz w:val="28"/>
        </w:rPr>
        <w:t>Observations</w:t>
      </w:r>
    </w:p>
    <w:p>
      <w:pPr>
        <w:spacing w:after="120"/>
      </w:pPr>
      <w:r>
        <w:rPr>
          <w:rFonts w:ascii="Times New Roman" w:hAnsi="Times New Roman"/>
          <w:b w:val="0"/>
          <w:i w:val="0"/>
          <w:sz w:val="24"/>
        </w:rPr>
        <w:t>Chain of Thought prompting is useful when the task involves reasoning or intermediate steps, but it should be used carefully in final academic writing so that the focus stays on correctness rather than verbosity.</w:t>
      </w:r>
    </w:p>
    <w:p>
      <w:pPr>
        <w:spacing w:after="120"/>
      </w:pPr>
      <w:r>
        <w:rPr>
          <w:rFonts w:ascii="Times New Roman" w:hAnsi="Times New Roman"/>
          <w:b w:val="0"/>
          <w:i w:val="0"/>
          <w:sz w:val="24"/>
        </w:rPr>
        <w:t>Tabular prompts are especially effective when comparisons are needed, because they force the model to align categories consistently across items.</w:t>
      </w:r>
    </w:p>
    <w:p>
      <w:pPr>
        <w:spacing w:after="120"/>
      </w:pPr>
      <w:r>
        <w:rPr>
          <w:rFonts w:ascii="Times New Roman" w:hAnsi="Times New Roman"/>
          <w:b w:val="0"/>
          <w:i w:val="0"/>
          <w:sz w:val="24"/>
        </w:rPr>
        <w:t>Fill-in-the-blank prompts work well for guided recall and quick concept validation, while zero-shot prompting is best for simple tasks with low ambiguity.</w:t>
      </w:r>
    </w:p>
    <w:p>
      <w:pPr>
        <w:spacing w:after="120"/>
      </w:pPr>
      <w:r>
        <w:rPr>
          <w:rFonts w:ascii="Times New Roman" w:hAnsi="Times New Roman"/>
          <w:b w:val="0"/>
          <w:i w:val="0"/>
          <w:sz w:val="24"/>
        </w:rPr>
        <w:t>One-shot and few-shot prompts provide stronger formatting control because the model imitates the pattern shown in the examples. RGC prompting improves task grounding by clearly defining role, goal, and context before generation starts.</w:t>
      </w:r>
    </w:p>
    <w:p>
      <w:pPr>
        <w:spacing w:before="160" w:after="120"/>
      </w:pPr>
      <w:r>
        <w:rPr>
          <w:rFonts w:ascii="Times New Roman" w:hAnsi="Times New Roman"/>
          <w:b/>
          <w:sz w:val="28"/>
        </w:rPr>
        <w:t>Pending Evidence from Student</w:t>
      </w:r>
    </w:p>
    <w:p>
      <w:pPr>
        <w:spacing w:after="120"/>
      </w:pPr>
      <w:r>
        <w:rPr>
          <w:rFonts w:ascii="Times New Roman" w:hAnsi="Times New Roman"/>
          <w:b w:val="0"/>
          <w:i w:val="0"/>
          <w:sz w:val="24"/>
        </w:rPr>
        <w:t>The following proof was not available in the local repository at the time of report preparation. These items should be attached later so that the final submission contains direct evidence of execution.</w:t>
      </w:r>
    </w:p>
    <w:p>
      <w:pPr>
        <w:pStyle w:val="ListBullet"/>
        <w:spacing w:after="60"/>
      </w:pPr>
      <w:r>
        <w:rPr>
          <w:rFonts w:ascii="Times New Roman" w:hAnsi="Times New Roman"/>
          <w:sz w:val="24"/>
        </w:rPr>
        <w:t>Screenshots of notebook outputs for each prompt type, if required in the final submission.</w:t>
      </w:r>
    </w:p>
    <w:p>
      <w:pPr>
        <w:pStyle w:val="ListBullet"/>
        <w:spacing w:after="60"/>
      </w:pPr>
      <w:r>
        <w:rPr>
          <w:rFonts w:ascii="Times New Roman" w:hAnsi="Times New Roman"/>
          <w:sz w:val="24"/>
        </w:rPr>
        <w:t>Any additional ChatGPT or Gemini output samples that you want inserted as direct evidence.</w:t>
      </w:r>
    </w:p>
    <w:p>
      <w:pPr>
        <w:spacing w:before="160" w:after="120"/>
      </w:pPr>
      <w:r>
        <w:rPr>
          <w:rFonts w:ascii="Times New Roman" w:hAnsi="Times New Roman"/>
          <w:b/>
          <w:sz w:val="28"/>
        </w:rPr>
        <w:t>Conclusion</w:t>
      </w:r>
    </w:p>
    <w:p>
      <w:pPr>
        <w:spacing w:after="120"/>
      </w:pPr>
      <w:r>
        <w:rPr>
          <w:rFonts w:ascii="Times New Roman" w:hAnsi="Times New Roman"/>
          <w:b w:val="0"/>
          <w:i w:val="0"/>
          <w:sz w:val="24"/>
        </w:rPr>
        <w:t>This lab successfully demonstrates that prompt quality directly influences model quality. By practicing multiple prompting styles on similar tasks, it becomes clear that well-scaffolded prompts lead to more structured, relevant, and evaluation-friendly outputs.</w:t>
      </w:r>
    </w:p>
    <w:p>
      <w:pPr>
        <w:spacing w:after="120"/>
      </w:pPr>
      <w:r>
        <w:rPr>
          <w:rFonts w:ascii="Times New Roman" w:hAnsi="Times New Roman"/>
          <w:b w:val="0"/>
          <w:i w:val="0"/>
          <w:sz w:val="24"/>
        </w:rPr>
        <w:t>The notebook and markdown assets in the repository provide a reusable prompt library that can support future labs, report writing, and agent design work.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