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475" w:rsidRDefault="00A4234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ED2475" w:rsidRDefault="00A4234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ED2475" w:rsidRDefault="00ED247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2475">
        <w:trPr>
          <w:jc w:val="center"/>
        </w:trPr>
        <w:tc>
          <w:tcPr>
            <w:tcW w:w="4508" w:type="dxa"/>
          </w:tcPr>
          <w:p w:rsidR="00ED2475" w:rsidRDefault="00A423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ED2475" w:rsidRDefault="00A423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 February 2026</w:t>
            </w:r>
          </w:p>
        </w:tc>
      </w:tr>
      <w:tr w:rsidR="00ED2475">
        <w:trPr>
          <w:jc w:val="center"/>
        </w:trPr>
        <w:tc>
          <w:tcPr>
            <w:tcW w:w="4508" w:type="dxa"/>
          </w:tcPr>
          <w:p w:rsidR="00ED2475" w:rsidRDefault="00A423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D2475" w:rsidRDefault="00A42349">
            <w:pPr>
              <w:rPr>
                <w:rFonts w:ascii="Arial" w:eastAsia="Arial" w:hAnsi="Arial" w:cs="Arial"/>
              </w:rPr>
            </w:pPr>
            <w:r>
              <w:t>TSK841298</w:t>
            </w:r>
          </w:p>
        </w:tc>
      </w:tr>
      <w:tr w:rsidR="00ED2475">
        <w:trPr>
          <w:jc w:val="center"/>
        </w:trPr>
        <w:tc>
          <w:tcPr>
            <w:tcW w:w="4508" w:type="dxa"/>
          </w:tcPr>
          <w:p w:rsidR="00ED2475" w:rsidRDefault="00A423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D2475" w:rsidRDefault="00A42349">
            <w:pPr>
              <w:rPr>
                <w:rFonts w:ascii="Arial" w:eastAsia="Arial" w:hAnsi="Arial" w:cs="Arial"/>
              </w:rPr>
            </w:pPr>
            <w:proofErr w:type="spellStart"/>
            <w:r>
              <w:t>HematoVision</w:t>
            </w:r>
            <w:proofErr w:type="spellEnd"/>
            <w:r>
              <w:t xml:space="preserve"> </w:t>
            </w:r>
            <w:bookmarkStart w:id="0" w:name="_GoBack"/>
            <w:bookmarkEnd w:id="0"/>
            <w:r>
              <w:t>Advanced Blood Cell Classification Using Transfer Learning</w:t>
            </w:r>
          </w:p>
        </w:tc>
      </w:tr>
      <w:tr w:rsidR="00ED2475">
        <w:trPr>
          <w:jc w:val="center"/>
        </w:trPr>
        <w:tc>
          <w:tcPr>
            <w:tcW w:w="4508" w:type="dxa"/>
          </w:tcPr>
          <w:p w:rsidR="00ED2475" w:rsidRDefault="00A423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D2475" w:rsidRDefault="00A4234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ED2475" w:rsidRDefault="00ED2475">
      <w:pPr>
        <w:rPr>
          <w:rFonts w:ascii="Arial" w:eastAsia="Arial" w:hAnsi="Arial" w:cs="Arial"/>
          <w:b/>
        </w:rPr>
      </w:pPr>
    </w:p>
    <w:p w:rsidR="00ED2475" w:rsidRDefault="00A4234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ED2475" w:rsidRDefault="00A4234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ED2475" w:rsidRDefault="00A42349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D2475" w:rsidRDefault="00A4234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D2475" w:rsidRDefault="00A4234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66A4" w:rsidRDefault="00A423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293870" cy="2663190"/>
                                  <wp:effectExtent l="0" t="0" r="0" b="3810"/>
                                  <wp:docPr id="4" name="Picture 4" descr="Diagram  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  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/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2B913D5A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RANqfwBAADpAwAADgAAAAAAAAAAAAAAAAAuAgAA&#10;ZHJzL2Uyb0RvYy54bWxQSwECLQAUAAYACAAAACEATKDpLNgAAAADAQAADwAAAAAAAAAAAAAAAABW&#10;BAAAZHJzL2Rvd25yZXYueG1sUEsFBgAAAAAEAAQA8wAAAFs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D2475" w:rsidRDefault="00A4234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  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D2475" w:rsidRDefault="00ED2475">
      <w:pPr>
        <w:rPr>
          <w:rFonts w:ascii="Arial" w:eastAsia="Arial" w:hAnsi="Arial" w:cs="Arial"/>
          <w:b/>
        </w:rPr>
      </w:pPr>
    </w:p>
    <w:p w:rsidR="00ED2475" w:rsidRDefault="00A4234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ED2475" w:rsidRDefault="00A4234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ED2475">
        <w:trPr>
          <w:trHeight w:val="275"/>
          <w:tblHeader/>
        </w:trPr>
        <w:tc>
          <w:tcPr>
            <w:tcW w:w="1667" w:type="dxa"/>
          </w:tcPr>
          <w:p w:rsidR="00ED2475" w:rsidRDefault="00A4234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ED2475" w:rsidRDefault="00A4234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ED2475">
        <w:trPr>
          <w:trHeight w:val="404"/>
        </w:trPr>
        <w:tc>
          <w:tcPr>
            <w:tcW w:w="1667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Clinician</w:t>
            </w:r>
          </w:p>
        </w:tc>
        <w:tc>
          <w:tcPr>
            <w:tcW w:w="1850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Image Upload</w:t>
            </w: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As a clinician, I can upload a blood smear </w:t>
            </w:r>
            <w:r>
              <w:t xml:space="preserve">image (JPG/PNG) to the </w:t>
            </w:r>
            <w:proofErr w:type="spellStart"/>
            <w:r>
              <w:t>HematoVision</w:t>
            </w:r>
            <w:proofErr w:type="spellEnd"/>
            <w:r>
              <w:t xml:space="preserve"> system for classification.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Image is accepted and queued for processing; confirmation message displayed.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ED2475">
        <w:trPr>
          <w:trHeight w:val="404"/>
        </w:trPr>
        <w:tc>
          <w:tcPr>
            <w:tcW w:w="1667" w:type="dxa"/>
          </w:tcPr>
          <w:p w:rsidR="00ED2475" w:rsidRDefault="00ED24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D2475" w:rsidRDefault="00ED24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clinician, I can view the classification result (cell type and confidence score) after t</w:t>
            </w:r>
            <w:r>
              <w:t>he image is processed.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Classification result is shown within 5 seconds with accuracy ≥ 90%.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ED2475">
        <w:trPr>
          <w:trHeight w:val="404"/>
        </w:trPr>
        <w:tc>
          <w:tcPr>
            <w:tcW w:w="1667" w:type="dxa"/>
          </w:tcPr>
          <w:p w:rsidR="00ED2475" w:rsidRDefault="00ED24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D2475" w:rsidRDefault="00ED24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USN-3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clinician, I can download a diagnostic report in PDF/CSV format for the classified blood cell image.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Report is generated with cell type,</w:t>
            </w:r>
            <w:r>
              <w:t xml:space="preserve"> confidence, and timestamp; downloadable.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ED2475">
        <w:trPr>
          <w:trHeight w:val="404"/>
        </w:trPr>
        <w:tc>
          <w:tcPr>
            <w:tcW w:w="1667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Pathologist</w:t>
            </w:r>
          </w:p>
        </w:tc>
        <w:tc>
          <w:tcPr>
            <w:tcW w:w="1850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Classification</w:t>
            </w: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USN-4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pathologist, I can review AI-classified blood cells and override incorrect predictions with my own label.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System records both AI prediction and manual override</w:t>
            </w:r>
            <w:r>
              <w:t>; accuracy improves over time.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ED2475">
        <w:trPr>
          <w:trHeight w:val="404"/>
        </w:trPr>
        <w:tc>
          <w:tcPr>
            <w:tcW w:w="1667" w:type="dxa"/>
          </w:tcPr>
          <w:p w:rsidR="00ED2475" w:rsidRDefault="00ED24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Result Review</w:t>
            </w: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USN-5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pathologist, I can filter and search previous classification results by date, cell type, or patient case ID.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Results are retrievable via filters; list loads in under 2 seconds.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ED2475">
        <w:trPr>
          <w:trHeight w:val="404"/>
        </w:trPr>
        <w:tc>
          <w:tcPr>
            <w:tcW w:w="1667" w:type="dxa"/>
          </w:tcPr>
          <w:p w:rsidR="00ED2475" w:rsidRDefault="00ED247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Dashboard</w:t>
            </w: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pathologist, I can view a dashboard summarising classification statistics (e.g., cell type distribution charts).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Dashboard displays charts and summary stats updated in real time.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  <w:tr w:rsidR="00ED2475">
        <w:trPr>
          <w:trHeight w:val="404"/>
        </w:trPr>
        <w:tc>
          <w:tcPr>
            <w:tcW w:w="1667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Lab Manager</w:t>
            </w:r>
          </w:p>
        </w:tc>
        <w:tc>
          <w:tcPr>
            <w:tcW w:w="1850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Report </w:t>
            </w:r>
            <w:r>
              <w:t>Management</w:t>
            </w: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lab manager, I can access all classification reports across the team and export bulk data for audit purposes.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Bulk export as CSV works for up to 10,000 records; role-based access enforced.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ED2475">
        <w:trPr>
          <w:trHeight w:val="404"/>
        </w:trPr>
        <w:tc>
          <w:tcPr>
            <w:tcW w:w="1667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>Lab Manager</w:t>
            </w:r>
          </w:p>
        </w:tc>
        <w:tc>
          <w:tcPr>
            <w:tcW w:w="1850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Quality Control</w:t>
            </w: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</w:t>
            </w:r>
            <w:r>
              <w:t>N-8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lab manager, I can flag low-confidence predictions (&lt; 70%) for mandatory human review before finalising.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Low-confidence cases are highlighted and cannot be finalised without pathologist sign-off.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  <w:tr w:rsidR="00ED2475">
        <w:trPr>
          <w:trHeight w:val="388"/>
        </w:trPr>
        <w:tc>
          <w:tcPr>
            <w:tcW w:w="1667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Administrator</w:t>
            </w:r>
          </w:p>
        </w:tc>
        <w:tc>
          <w:tcPr>
            <w:tcW w:w="1850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Model Management</w:t>
            </w: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can upload and activate a new transfer learning model version to replace the current deployed model.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New model is deployed with zero downtime; rollback option available.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  <w:tr w:rsidR="00ED2475">
        <w:trPr>
          <w:trHeight w:val="404"/>
        </w:trPr>
        <w:tc>
          <w:tcPr>
            <w:tcW w:w="1667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Administrator</w:t>
            </w:r>
          </w:p>
        </w:tc>
        <w:tc>
          <w:tcPr>
            <w:tcW w:w="1850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Management</w:t>
            </w: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USN-10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can</w:t>
            </w:r>
            <w:r>
              <w:t xml:space="preserve"> create, edit, and deactivate user accounts and assign roles (Clinician/Pathologist/Lab Manager).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Role changes take effect immediately; audit log updated.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ED2475">
        <w:trPr>
          <w:trHeight w:val="404"/>
        </w:trPr>
        <w:tc>
          <w:tcPr>
            <w:tcW w:w="1667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Administrator</w:t>
            </w:r>
          </w:p>
        </w:tc>
        <w:tc>
          <w:tcPr>
            <w:tcW w:w="1850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System Monitoring</w:t>
            </w: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USN-11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As an admin, I can monitor system performance </w:t>
            </w:r>
            <w:r>
              <w:t>metrics (CPU, inference latency, model accuracy) via an admin panel.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Metrics refresh every 30 seconds; alert triggered if latency &gt; 10s.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  <w:tr w:rsidR="00ED2475">
        <w:trPr>
          <w:trHeight w:val="404"/>
        </w:trPr>
        <w:tc>
          <w:tcPr>
            <w:tcW w:w="1667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Administrator</w:t>
            </w:r>
          </w:p>
        </w:tc>
        <w:tc>
          <w:tcPr>
            <w:tcW w:w="1850" w:type="dxa"/>
          </w:tcPr>
          <w:p w:rsidR="00ED2475" w:rsidRDefault="00A42349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Data Security</w:t>
            </w:r>
          </w:p>
        </w:tc>
        <w:tc>
          <w:tcPr>
            <w:tcW w:w="1309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USN-12</w:t>
            </w:r>
          </w:p>
        </w:tc>
        <w:tc>
          <w:tcPr>
            <w:tcW w:w="4328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can configure data retention policies and ensure all</w:t>
            </w:r>
            <w:r>
              <w:t xml:space="preserve"> blood cell images are encrypted at rest.</w:t>
            </w:r>
          </w:p>
        </w:tc>
        <w:tc>
          <w:tcPr>
            <w:tcW w:w="2596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Images stored with AES-256 encryption; retention policy configurable per institution.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ED2475" w:rsidRDefault="00A423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</w:tbl>
    <w:p w:rsidR="00ED2475" w:rsidRDefault="00ED2475">
      <w:pPr>
        <w:rPr>
          <w:rFonts w:ascii="Arial" w:eastAsia="Arial" w:hAnsi="Arial" w:cs="Arial"/>
        </w:rPr>
      </w:pPr>
    </w:p>
    <w:sectPr w:rsidR="00ED247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475"/>
    <w:rsid w:val="00A42349"/>
    <w:rsid w:val="00ED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FA61"/>
  <w15:docId w15:val="{B5A9CD3D-3B2D-4121-A051-7F0143F6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2</cp:revision>
  <dcterms:created xsi:type="dcterms:W3CDTF">2022-09-18T16:51:00Z</dcterms:created>
  <dcterms:modified xsi:type="dcterms:W3CDTF">2026-02-27T13:32:00Z</dcterms:modified>
</cp:coreProperties>
</file>