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4"/>
          <w:szCs w:val="24"/>
        </w:rPr>
      </w:pPr>
      <w:r>
        <w:rPr>
          <w:b w:val="1"/>
          <w:sz w:val="24"/>
          <w:szCs w:val="24"/>
          <w:rtl w:val="0"/>
        </w:rPr>
        <w:t xml:space="preserve">Project Design Phase-II</w:t>
      </w:r>
    </w:p>
    <w:p w:rsidR="00000000" w:rsidDel="00000000" w:rsidP="00000000" w:rsidRDefault="00000000" w:rsidRPr="00000000" w14:paraId="00000002">
      <w:pPr>
        <w:spacing w:after="0" w:lineRule="auto"/>
        <w:jc w:val="center"/>
        <w:rPr>
          <w:b w:val="1"/>
          <w:sz w:val="24"/>
          <w:szCs w:val="24"/>
        </w:rPr>
      </w:pPr>
      <w:r>
        <w:rPr>
          <w:b w:val="1"/>
          <w:sz w:val="24"/>
          <w:szCs w:val="24"/>
          <w:rtl w:val="0"/>
        </w:rPr>
        <w:t xml:space="preserve">Solution Requirements (Functional &amp; Non-functional)</w:t>
      </w:r>
    </w:p>
    <w:p w:rsidR="00000000" w:rsidDel="00000000" w:rsidP="00000000" w:rsidRDefault="00000000" w:rsidRPr="00000000" w14:paraId="00000003">
      <w:pPr>
        <w:spacing w:after="0" w:lineRule="auto"/>
        <w:jc w:val="center"/>
        <w:rPr>
          <w:b w:val="1"/>
        </w:rPr>
      </w:pPr>
      <w:r>
        <w:rPr>
          <w:rtl w:val="0"/>
        </w:rPr>
      </w:r>
    </w:p>
    <w:tbl>
      <w:tblPr>
        <w:tblStyle w:val="Table1"/>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pPr>
            <w:r>
              <w:rPr>
                <w:rtl w:val="0"/>
              </w:rPr>
              <w:t xml:space="preserve">Date</w:t>
            </w:r>
          </w:p>
        </w:tc>
        <w:tc>
          <w:tcPr/>
          <w:p w:rsidR="00000000" w:rsidDel="00000000" w:rsidP="00000000" w:rsidRDefault="00000000" w:rsidRPr="00000000" w14:paraId="00000005">
            <w:pPr>
              <w:rPr/>
            </w:pPr>
            <w:r>
              <w:rPr>
                <w:rtl w:val="0"/>
              </w:rPr>
              <w:t>27 February 2026</w:t>
            </w:r>
          </w:p>
        </w:tc>
      </w:tr>
      <w:tr>
        <w:trPr>
          <w:cantSplit w:val="0"/>
          <w:tblHeader w:val="0"/>
        </w:trPr>
        <w:tc>
          <w:tcPr/>
          <w:p w:rsidR="00000000" w:rsidDel="00000000" w:rsidP="00000000" w:rsidRDefault="00000000" w:rsidRPr="00000000" w14:paraId="00000006">
            <w:pPr>
              <w:rPr/>
            </w:pPr>
            <w:r>
              <w:rPr>
                <w:rtl w:val="0"/>
              </w:rPr>
              <w:t xml:space="preserve">Team ID</w:t>
            </w:r>
          </w:p>
        </w:tc>
        <w:tc>
          <w:tcPr/>
          <w:p w:rsidR="00000000" w:rsidDel="00000000" w:rsidP="00000000" w:rsidRDefault="00000000" w:rsidRPr="00000000" w14:paraId="00000007">
            <w:pPr>
              <w:rPr/>
            </w:pPr>
            <w:r>
              <w:t>TSK841298</w:t>
            </w:r>
          </w:p>
        </w:tc>
      </w:tr>
      <w:tr>
        <w:trPr>
          <w:cantSplit w:val="0"/>
          <w:tblHeader w:val="0"/>
        </w:trPr>
        <w:tc>
          <w:tcPr/>
          <w:p w:rsidR="00000000" w:rsidDel="00000000" w:rsidP="00000000" w:rsidRDefault="00000000" w:rsidRPr="00000000" w14:paraId="00000008">
            <w:pPr>
              <w:rPr/>
            </w:pPr>
            <w:r>
              <w:rPr>
                <w:rtl w:val="0"/>
              </w:rPr>
              <w:t xml:space="preserve">Project Name</w:t>
            </w:r>
          </w:p>
        </w:tc>
        <w:tc>
          <w:tcPr/>
          <w:p w:rsidR="00000000" w:rsidDel="00000000" w:rsidP="00000000" w:rsidRDefault="00000000" w:rsidRPr="00000000" w14:paraId="00000009">
            <w:pPr>
              <w:rPr/>
            </w:pPr>
            <w:r>
              <w:t>HematoVision: Advanced Blood Cell Classification Using Transfer Learning</w:t>
            </w:r>
          </w:p>
        </w:tc>
      </w:tr>
      <w:tr>
        <w:trPr>
          <w:cantSplit w:val="0"/>
          <w:tblHeader w:val="0"/>
        </w:trPr>
        <w:tc>
          <w:tcPr/>
          <w:p w:rsidR="00000000" w:rsidDel="00000000" w:rsidP="00000000" w:rsidRDefault="00000000" w:rsidRPr="00000000" w14:paraId="0000000A">
            <w:pPr>
              <w:rPr/>
            </w:pPr>
            <w:r>
              <w:rPr>
                <w:rtl w:val="0"/>
              </w:rPr>
              <w:t xml:space="preserve">Maximum Marks</w:t>
            </w:r>
          </w:p>
        </w:tc>
        <w:tc>
          <w:tcPr/>
          <w:p w:rsidR="00000000" w:rsidDel="00000000" w:rsidP="00000000" w:rsidRDefault="00000000" w:rsidRPr="00000000" w14:paraId="0000000B">
            <w:pPr>
              <w:rPr/>
            </w:pPr>
            <w:r>
              <w:rPr>
                <w:rtl w:val="0"/>
              </w:rPr>
              <w:t xml:space="preserve">4 Marks</w:t>
            </w:r>
          </w:p>
        </w:tc>
      </w:tr>
    </w:tbl>
    <w:p w:rsidR="00000000" w:rsidDel="00000000" w:rsidP="00000000" w:rsidRDefault="00000000" w:rsidRPr="00000000" w14:paraId="0000000C">
      <w:pPr>
        <w:rPr>
          <w:b w:val="1"/>
        </w:rPr>
      </w:pPr>
      <w:r>
        <w:rPr>
          <w:rtl w:val="0"/>
        </w:rPr>
      </w:r>
    </w:p>
    <w:p w:rsidR="00000000" w:rsidDel="00000000" w:rsidP="00000000" w:rsidRDefault="00000000" w:rsidRPr="00000000" w14:paraId="0000000D">
      <w:pPr>
        <w:rPr>
          <w:b w:val="1"/>
        </w:rPr>
      </w:pPr>
      <w:r>
        <w:rPr>
          <w:b w:val="1"/>
          <w:rtl w:val="0"/>
        </w:rPr>
        <w:t xml:space="preserve">Functional Requirements:</w:t>
      </w:r>
    </w:p>
    <w:p w:rsidR="00000000" w:rsidDel="00000000" w:rsidP="00000000" w:rsidRDefault="00000000" w:rsidRPr="00000000" w14:paraId="0000000E">
      <w:pPr>
        <w:rPr/>
      </w:pPr>
      <w:r>
        <w:rPr>
          <w:rtl w:val="0"/>
        </w:rPr>
        <w:t xml:space="preserve">Following are the functional requirements of the proposed solution.</w:t>
      </w:r>
    </w:p>
    <w:tbl>
      <w:tblPr>
        <w:tblStyle w:val="Table2"/>
        <w:tblW w:w="93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6"/>
        <w:gridCol w:w="3150"/>
        <w:gridCol w:w="5248"/>
        <w:tblGridChange w:id="0">
          <w:tblGrid>
            <w:gridCol w:w="926"/>
            <w:gridCol w:w="3150"/>
            <w:gridCol w:w="5248"/>
          </w:tblGrid>
        </w:tblGridChange>
      </w:tblGrid>
      <w:tr>
        <w:trPr>
          <w:cantSplit w:val="0"/>
          <w:trHeight w:val="333" w:hRule="atLeast"/>
          <w:tblHeader w:val="0"/>
        </w:trPr>
        <w:tc>
          <w:tcPr/>
          <w:p w:rsidR="00000000" w:rsidDel="00000000" w:rsidP="00000000" w:rsidRDefault="00000000" w:rsidRPr="00000000" w14:paraId="0000000F">
            <w:pPr>
              <w:rPr>
                <w:b w:val="1"/>
              </w:rPr>
            </w:pPr>
            <w:r>
              <w:rPr>
                <w:b w:val="1"/>
                <w:rtl w:val="0"/>
              </w:rPr>
              <w:t xml:space="preserve">FR No.</w:t>
            </w:r>
          </w:p>
        </w:tc>
        <w:tc>
          <w:tcPr/>
          <w:p w:rsidR="00000000" w:rsidDel="00000000" w:rsidP="00000000" w:rsidRDefault="00000000" w:rsidRPr="00000000" w14:paraId="00000010">
            <w:pPr>
              <w:rPr>
                <w:b w:val="1"/>
              </w:rPr>
            </w:pPr>
            <w:r>
              <w:rPr>
                <w:b w:val="1"/>
                <w:rtl w:val="0"/>
              </w:rPr>
              <w:t xml:space="preserve">Functional Requirement (Epic)</w:t>
            </w:r>
          </w:p>
        </w:tc>
        <w:tc>
          <w:tcPr/>
          <w:p w:rsidR="00000000" w:rsidDel="00000000" w:rsidP="00000000" w:rsidRDefault="00000000" w:rsidRPr="00000000" w14:paraId="00000011">
            <w:pPr>
              <w:rPr>
                <w:b w:val="1"/>
              </w:rPr>
            </w:pPr>
            <w:r>
              <w:rPr>
                <w:b w:val="1"/>
                <w:rtl w:val="0"/>
              </w:rPr>
              <w:t xml:space="preserve">Sub Requirement (Story / Sub-Task)</w:t>
            </w:r>
          </w:p>
        </w:tc>
      </w:tr>
      <w:tr>
        <w:trPr>
          <w:cantSplit w:val="0"/>
          <w:trHeight w:val="489" w:hRule="atLeast"/>
          <w:tblHeader w:val="0"/>
        </w:trPr>
        <w:tc>
          <w:tcPr/>
          <w:p w:rsidR="00000000" w:rsidDel="00000000" w:rsidP="00000000" w:rsidRDefault="00000000" w:rsidRPr="00000000" w14:paraId="00000012">
            <w:pPr>
              <w:rPr/>
            </w:pPr>
            <w:r>
              <w:rPr>
                <w:rtl w:val="0"/>
              </w:rPr>
              <w:t xml:space="preserve">FR-1</w:t>
            </w:r>
          </w:p>
        </w:tc>
        <w:tc>
          <w:tcPr/>
          <w:p w:rsidR="00000000" w:rsidDel="00000000" w:rsidP="00000000" w:rsidRDefault="00000000" w:rsidRPr="00000000" w14:paraId="00000013">
            <w:pPr>
              <w:rPr/>
            </w:pPr>
            <w:r>
              <w:rPr>
                <w:rtl w:val="0"/>
              </w:rPr>
              <w:t xml:space="preserve">User Registration</w:t>
            </w:r>
          </w:p>
        </w:tc>
        <w:tc>
          <w:tcPr/>
          <w:p w:rsidR="00000000" w:rsidDel="00000000" w:rsidP="00000000" w:rsidRDefault="00000000" w:rsidRPr="00000000" w14:paraId="00000014">
            <w:pPr>
              <w:rPr/>
            </w:pPr>
            <w:r>
              <w:rPr>
                <w:rtl w:val="0"/>
              </w:rPr>
              <w:t xml:space="preserve">Registration through Form</w:t>
            </w:r>
          </w:p>
          <w:p w:rsidR="00000000" w:rsidDel="00000000" w:rsidP="00000000" w:rsidRDefault="00000000" w:rsidRPr="00000000" w14:paraId="00000015">
            <w:pPr>
              <w:rPr/>
            </w:pPr>
            <w:r>
              <w:rPr>
                <w:rtl w:val="0"/>
              </w:rPr>
              <w:t xml:space="preserve">Registration through Gmail</w:t>
            </w:r>
          </w:p>
          <w:p w:rsidR="00000000" w:rsidDel="00000000" w:rsidP="00000000" w:rsidRDefault="00000000" w:rsidRPr="00000000" w14:paraId="00000016">
            <w:pPr>
              <w:rPr/>
            </w:pPr>
            <w:r>
              <w:rPr>
                <w:rtl w:val="0"/>
              </w:rPr>
              <w:t xml:space="preserve">Registration through LinkedIN</w:t>
            </w:r>
          </w:p>
        </w:tc>
      </w:tr>
      <w:tr>
        <w:trPr>
          <w:cantSplit w:val="0"/>
          <w:trHeight w:val="489" w:hRule="atLeast"/>
          <w:tblHeader w:val="0"/>
        </w:trPr>
        <w:tc>
          <w:tcPr/>
          <w:p w:rsidR="00000000" w:rsidDel="00000000" w:rsidP="00000000" w:rsidRDefault="00000000" w:rsidRPr="00000000" w14:paraId="00000017">
            <w:pPr>
              <w:rPr/>
            </w:pPr>
            <w:r>
              <w:rPr>
                <w:rtl w:val="0"/>
              </w:rPr>
              <w:t xml:space="preserve">FR-2</w:t>
            </w:r>
          </w:p>
        </w:tc>
        <w:tc>
          <w:tcPr/>
          <w:p w:rsidR="00000000" w:rsidDel="00000000" w:rsidP="00000000" w:rsidRDefault="00000000" w:rsidRPr="00000000" w14:paraId="00000018">
            <w:pPr>
              <w:rPr/>
            </w:pPr>
            <w:r>
              <w:rPr>
                <w:rtl w:val="0"/>
              </w:rPr>
              <w:t xml:space="preserve">User Confirmation</w:t>
            </w:r>
          </w:p>
        </w:tc>
        <w:tc>
          <w:tcPr/>
          <w:p w:rsidR="00000000" w:rsidDel="00000000" w:rsidP="00000000" w:rsidRDefault="00000000" w:rsidRPr="00000000" w14:paraId="00000019">
            <w:pPr>
              <w:rPr/>
            </w:pPr>
            <w:r>
              <w:rPr>
                <w:rtl w:val="0"/>
              </w:rPr>
              <w:t xml:space="preserve">Confirmation via Email</w:t>
            </w:r>
          </w:p>
          <w:p w:rsidR="00000000" w:rsidDel="00000000" w:rsidP="00000000" w:rsidRDefault="00000000" w:rsidRPr="00000000" w14:paraId="0000001A">
            <w:pPr>
              <w:rPr/>
            </w:pPr>
            <w:r>
              <w:rPr>
                <w:rtl w:val="0"/>
              </w:rPr>
              <w:t xml:space="preserve">Confirmation via OTP</w:t>
            </w:r>
          </w:p>
        </w:tc>
      </w:tr>
      <w:tr>
        <w:trPr>
          <w:cantSplit w:val="0"/>
          <w:trHeight w:val="470" w:hRule="atLeast"/>
          <w:tblHeader w:val="0"/>
        </w:trPr>
        <w:tc>
          <w:tcPr/>
          <w:p w:rsidR="00000000" w:rsidDel="00000000" w:rsidP="00000000" w:rsidRDefault="00000000" w:rsidRPr="00000000" w14:paraId="0000001B">
            <w:pPr>
              <w:rPr/>
            </w:pPr>
            <w:r>
              <w:rPr>
                <w:rtl w:val="0"/>
              </w:rPr>
              <w:t xml:space="preserve">FR-3</w:t>
            </w:r>
          </w:p>
        </w:tc>
        <w:tc>
          <w:tcPr/>
          <w:p w:rsidR="00000000" w:rsidDel="00000000" w:rsidP="00000000" w:rsidRDefault="00000000" w:rsidRPr="00000000" w14:paraId="0000001C">
            <w:pPr>
              <w:rPr/>
            </w:pPr>
            <w:r>
              <w:t>Image Upload &amp; Processing</w:t>
            </w:r>
          </w:p>
        </w:tc>
        <w:tc>
          <w:tcPr/>
          <w:p w:rsidR="00000000" w:rsidDel="00000000" w:rsidP="00000000" w:rsidRDefault="00000000" w:rsidRPr="00000000" w14:paraId="0000001D">
            <w:pPr>
              <w:rPr/>
            </w:pPr>
            <w:r>
              <w:t>Upload blood smear image (JPG/PNG/TIFF)</w:t>
            </w:r>
          </w:p>
          <w:p>
            <w:r>
              <w:t>Validate image format, size (&lt;10 MB) and resolution</w:t>
            </w:r>
          </w:p>
          <w:p>
            <w:r>
              <w:t>Support batch upload of up to 50 images</w:t>
            </w:r>
          </w:p>
          <w:p>
            <w:r>
              <w:t>Display upload progress indicator</w:t>
            </w:r>
          </w:p>
        </w:tc>
      </w:tr>
      <w:tr>
        <w:trPr>
          <w:cantSplit w:val="0"/>
          <w:trHeight w:val="489" w:hRule="atLeast"/>
          <w:tblHeader w:val="0"/>
        </w:trPr>
        <w:tc>
          <w:tcPr/>
          <w:p w:rsidR="00000000" w:rsidDel="00000000" w:rsidP="00000000" w:rsidRDefault="00000000" w:rsidRPr="00000000" w14:paraId="0000001E">
            <w:pPr>
              <w:rPr/>
            </w:pPr>
            <w:r>
              <w:rPr>
                <w:rtl w:val="0"/>
              </w:rPr>
              <w:t xml:space="preserve">FR-4</w:t>
            </w:r>
          </w:p>
        </w:tc>
        <w:tc>
          <w:tcPr/>
          <w:p w:rsidR="00000000" w:rsidDel="00000000" w:rsidP="00000000" w:rsidRDefault="00000000" w:rsidRPr="00000000" w14:paraId="0000001F">
            <w:pPr>
              <w:rPr/>
            </w:pPr>
            <w:r>
              <w:t>Blood Cell Classification</w:t>
            </w:r>
          </w:p>
        </w:tc>
        <w:tc>
          <w:tcPr/>
          <w:p w:rsidR="00000000" w:rsidDel="00000000" w:rsidP="00000000" w:rsidRDefault="00000000" w:rsidRPr="00000000" w14:paraId="00000020">
            <w:pPr>
              <w:rPr/>
            </w:pPr>
            <w:r>
              <w:t>Classify uploaded image using CNN transfer learning model</w:t>
            </w:r>
          </w:p>
          <w:p>
            <w:r>
              <w:t>Display predicted cell type (RBC, WBC, Platelet, Blast)</w:t>
            </w:r>
          </w:p>
          <w:p>
            <w:r>
              <w:t>Show confidence score (%) for each prediction</w:t>
            </w:r>
          </w:p>
          <w:p>
            <w:r>
              <w:t>Highlight classification region using Grad-CAM heatmap</w:t>
            </w:r>
          </w:p>
          <w:p>
            <w:r>
              <w:t>Allow pathologist to override AI prediction with manual label</w:t>
            </w:r>
          </w:p>
        </w:tc>
      </w:tr>
      <w:tr>
        <w:trPr>
          <w:cantSplit w:val="0"/>
          <w:trHeight w:val="489" w:hRule="atLeast"/>
          <w:tblHeader w:val="0"/>
        </w:trPr>
        <w:tc>
          <w:tcPr/>
          <w:p w:rsidR="00000000" w:rsidDel="00000000" w:rsidP="00000000" w:rsidRDefault="00000000" w:rsidRPr="00000000" w14:paraId="00000021">
            <w:pPr>
              <w:rPr/>
            </w:pPr>
            <w:r>
              <w:t>FR-5</w:t>
            </w:r>
          </w:p>
        </w:tc>
        <w:tc>
          <w:tcPr/>
          <w:p w:rsidR="00000000" w:rsidDel="00000000" w:rsidP="00000000" w:rsidRDefault="00000000" w:rsidRPr="00000000" w14:paraId="00000022">
            <w:pPr>
              <w:rPr/>
            </w:pPr>
            <w:r>
              <w:t>Result Storage &amp; Report Generation</w:t>
            </w:r>
          </w:p>
        </w:tc>
        <w:tc>
          <w:tcPr/>
          <w:p w:rsidR="00000000" w:rsidDel="00000000" w:rsidP="00000000" w:rsidRDefault="00000000" w:rsidRPr="00000000" w14:paraId="00000023">
            <w:pPr>
              <w:rPr/>
            </w:pPr>
            <w:r>
              <w:t>Store classification results in PostgreSQL database</w:t>
            </w:r>
          </w:p>
          <w:p>
            <w:r>
              <w:t>Generate downloadable diagnostic report in PDF and CSV format</w:t>
            </w:r>
          </w:p>
          <w:p>
            <w:r>
              <w:t>Report to include cell type, confidence score, timestamp and image</w:t>
            </w:r>
          </w:p>
          <w:p>
            <w:r>
              <w:t>Send email notification to clinician upon report completion</w:t>
            </w:r>
          </w:p>
        </w:tc>
      </w:tr>
      <w:tr>
        <w:trPr>
          <w:cantSplit w:val="0"/>
          <w:trHeight w:val="489" w:hRule="atLeast"/>
          <w:tblHeader w:val="0"/>
        </w:trPr>
        <w:tc>
          <w:tcPr/>
          <w:p w:rsidR="00000000" w:rsidDel="00000000" w:rsidP="00000000" w:rsidRDefault="00000000" w:rsidRPr="00000000" w14:paraId="00000024">
            <w:pPr>
              <w:rPr/>
            </w:pPr>
            <w:r>
              <w:t>FR-6</w:t>
            </w:r>
          </w:p>
        </w:tc>
        <w:tc>
          <w:tcPr/>
          <w:p w:rsidR="00000000" w:rsidDel="00000000" w:rsidP="00000000" w:rsidRDefault="00000000" w:rsidRPr="00000000" w14:paraId="00000025">
            <w:pPr>
              <w:rPr>
                <w:color w:val="222222"/>
              </w:rPr>
            </w:pPr>
            <w:r>
              <w:t>Dashboard &amp; Administration</w:t>
            </w:r>
          </w:p>
        </w:tc>
        <w:tc>
          <w:tcPr/>
          <w:p w:rsidR="00000000" w:rsidDel="00000000" w:rsidP="00000000" w:rsidRDefault="00000000" w:rsidRPr="00000000" w14:paraId="00000026">
            <w:pPr>
              <w:rPr/>
            </w:pPr>
            <w:r>
              <w:t>Display classification statistics and trend charts on dashboard</w:t>
            </w:r>
          </w:p>
          <w:p>
            <w:r>
              <w:t>Allow admin to manage user accounts and assign roles</w:t>
            </w:r>
          </w:p>
          <w:p>
            <w:r>
              <w:t>Enable admin to deploy new model versions with zero downtime</w:t>
            </w:r>
          </w:p>
          <w:p>
            <w:r>
              <w:t>Provide audit log of all classifications and user actions</w:t>
            </w:r>
          </w:p>
          <w:p>
            <w:r>
              <w:t>Flag low-confidence predictions (&lt;70%) for mandatory review</w:t>
            </w:r>
          </w:p>
        </w:tc>
      </w:tr>
    </w:tbl>
    <w:p w:rsidR="00000000" w:rsidDel="00000000" w:rsidP="00000000" w:rsidRDefault="00000000" w:rsidRPr="00000000" w14:paraId="00000027">
      <w:pPr>
        <w:rPr/>
      </w:pPr>
      <w:r>
        <w:rPr>
          <w:rtl w:val="0"/>
        </w:rPr>
      </w:r>
    </w:p>
    <w:p w:rsidR="00000000" w:rsidDel="00000000" w:rsidP="00000000" w:rsidRDefault="00000000" w:rsidRPr="00000000" w14:paraId="00000028">
      <w:pPr>
        <w:rPr>
          <w:b w:val="1"/>
        </w:rPr>
      </w:pPr>
      <w:r>
        <w:rPr>
          <w:rtl w:val="0"/>
        </w:rPr>
      </w:r>
    </w:p>
    <w:p w:rsidR="00000000" w:rsidDel="00000000" w:rsidP="00000000" w:rsidRDefault="00000000" w:rsidRPr="00000000" w14:paraId="00000029">
      <w:pPr>
        <w:rPr>
          <w:b w:val="1"/>
        </w:rPr>
      </w:pPr>
      <w:r>
        <w:rPr>
          <w:rtl w:val="0"/>
        </w:rPr>
      </w:r>
    </w:p>
    <w:p w:rsidR="00000000" w:rsidDel="00000000" w:rsidP="00000000" w:rsidRDefault="00000000" w:rsidRPr="00000000" w14:paraId="0000002A">
      <w:pPr>
        <w:rPr>
          <w:b w:val="1"/>
        </w:rPr>
      </w:pPr>
      <w:r>
        <w:rPr>
          <w:b w:val="1"/>
          <w:rtl w:val="0"/>
        </w:rPr>
        <w:t xml:space="preserve">Non-functional Requirements:</w:t>
      </w:r>
    </w:p>
    <w:p w:rsidR="00000000" w:rsidDel="00000000" w:rsidP="00000000" w:rsidRDefault="00000000" w:rsidRPr="00000000" w14:paraId="0000002B">
      <w:pPr>
        <w:rPr/>
      </w:pPr>
      <w:r>
        <w:rPr>
          <w:rtl w:val="0"/>
        </w:rPr>
        <w:t xml:space="preserve">Following are the non-functional requirements of the proposed solution.</w:t>
      </w:r>
    </w:p>
    <w:tbl>
      <w:tblPr>
        <w:tblStyle w:val="Table3"/>
        <w:tblW w:w="93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6"/>
        <w:gridCol w:w="3464"/>
        <w:gridCol w:w="4934"/>
        <w:tblGridChange w:id="0">
          <w:tblGrid>
            <w:gridCol w:w="926"/>
            <w:gridCol w:w="3464"/>
            <w:gridCol w:w="4934"/>
          </w:tblGrid>
        </w:tblGridChange>
      </w:tblGrid>
      <w:tr>
        <w:trPr>
          <w:cantSplit w:val="0"/>
          <w:trHeight w:val="333" w:hRule="atLeast"/>
          <w:tblHeader w:val="0"/>
        </w:trPr>
        <w:tc>
          <w:tcPr/>
          <w:p w:rsidR="00000000" w:rsidDel="00000000" w:rsidP="00000000" w:rsidRDefault="00000000" w:rsidRPr="00000000" w14:paraId="0000002C">
            <w:pPr>
              <w:rPr>
                <w:b w:val="1"/>
              </w:rPr>
            </w:pPr>
            <w:r>
              <w:rPr>
                <w:b w:val="1"/>
                <w:rtl w:val="0"/>
              </w:rPr>
              <w:t xml:space="preserve">FR No.</w:t>
            </w:r>
          </w:p>
        </w:tc>
        <w:tc>
          <w:tcPr/>
          <w:p w:rsidR="00000000" w:rsidDel="00000000" w:rsidP="00000000" w:rsidRDefault="00000000" w:rsidRPr="00000000" w14:paraId="0000002D">
            <w:pPr>
              <w:rPr>
                <w:b w:val="1"/>
              </w:rPr>
            </w:pPr>
            <w:r>
              <w:rPr>
                <w:b w:val="1"/>
                <w:rtl w:val="0"/>
              </w:rPr>
              <w:t xml:space="preserve">Non-Functional Requirement</w:t>
            </w:r>
          </w:p>
        </w:tc>
        <w:tc>
          <w:tcPr/>
          <w:p w:rsidR="00000000" w:rsidDel="00000000" w:rsidP="00000000" w:rsidRDefault="00000000" w:rsidRPr="00000000" w14:paraId="0000002E">
            <w:pPr>
              <w:rPr>
                <w:b w:val="1"/>
              </w:rPr>
            </w:pPr>
            <w:r>
              <w:rPr>
                <w:b w:val="1"/>
                <w:rtl w:val="0"/>
              </w:rPr>
              <w:t xml:space="preserve">Description</w:t>
            </w:r>
          </w:p>
        </w:tc>
      </w:tr>
      <w:tr>
        <w:trPr>
          <w:cantSplit w:val="0"/>
          <w:trHeight w:val="489" w:hRule="atLeast"/>
          <w:tblHeader w:val="0"/>
        </w:trPr>
        <w:tc>
          <w:tcPr/>
          <w:p w:rsidR="00000000" w:rsidDel="00000000" w:rsidP="00000000" w:rsidRDefault="00000000" w:rsidRPr="00000000" w14:paraId="0000002F">
            <w:pPr>
              <w:rPr/>
            </w:pPr>
            <w:r>
              <w:rPr>
                <w:rtl w:val="0"/>
              </w:rPr>
              <w:t xml:space="preserve">NFR-1</w:t>
            </w:r>
          </w:p>
        </w:tc>
        <w:tc>
          <w:tcPr/>
          <w:p w:rsidR="00000000" w:rsidDel="00000000" w:rsidP="00000000" w:rsidRDefault="00000000" w:rsidRPr="00000000" w14:paraId="00000030">
            <w:pPr>
              <w:rPr/>
            </w:pPr>
            <w:r>
              <w:rPr>
                <w:b w:val="1"/>
                <w:rtl w:val="0"/>
              </w:rPr>
              <w:t xml:space="preserve">Usability</w:t>
            </w:r>
            <w:r>
              <w:rPr>
                <w:rtl w:val="0"/>
              </w:rPr>
            </w:r>
          </w:p>
        </w:tc>
        <w:tc>
          <w:tcPr/>
          <w:p w:rsidR="00000000" w:rsidDel="00000000" w:rsidP="00000000" w:rsidRDefault="00000000" w:rsidRPr="00000000" w14:paraId="00000031">
            <w:pPr>
              <w:rPr/>
            </w:pPr>
            <w:r>
              <w:t>The system shall provide an intuitive web interface requiring no more than 30 minutes of onboarding for a new clinician. All classification results shall be visible within 2 clicks from the homepage. The UI shall follow WCAG 2.1 AA accessibility standards.</w:t>
            </w:r>
          </w:p>
        </w:tc>
      </w:tr>
      <w:tr>
        <w:trPr>
          <w:cantSplit w:val="0"/>
          <w:trHeight w:val="489" w:hRule="atLeast"/>
          <w:tblHeader w:val="0"/>
        </w:trPr>
        <w:tc>
          <w:tcPr/>
          <w:p w:rsidR="00000000" w:rsidDel="00000000" w:rsidP="00000000" w:rsidRDefault="00000000" w:rsidRPr="00000000" w14:paraId="00000032">
            <w:pPr>
              <w:rPr/>
            </w:pPr>
            <w:r>
              <w:rPr>
                <w:rtl w:val="0"/>
              </w:rPr>
              <w:t xml:space="preserve">NFR-2</w:t>
            </w:r>
          </w:p>
        </w:tc>
        <w:tc>
          <w:tcPr/>
          <w:p w:rsidR="00000000" w:rsidDel="00000000" w:rsidP="00000000" w:rsidRDefault="00000000" w:rsidRPr="00000000" w14:paraId="00000033">
            <w:pPr>
              <w:rPr/>
            </w:pPr>
            <w:r>
              <w:rPr>
                <w:b w:val="1"/>
                <w:rtl w:val="0"/>
              </w:rPr>
              <w:t xml:space="preserve">Security</w:t>
            </w:r>
            <w:r>
              <w:rPr>
                <w:rtl w:val="0"/>
              </w:rPr>
            </w:r>
          </w:p>
        </w:tc>
        <w:tc>
          <w:tcPr/>
          <w:p w:rsidR="00000000" w:rsidDel="00000000" w:rsidP="00000000" w:rsidRDefault="00000000" w:rsidRPr="00000000" w14:paraId="00000034">
            <w:pPr>
              <w:rPr/>
            </w:pPr>
            <w:r>
              <w:t>All patient blood smear images shall be encrypted at rest using AES-256 and in transit using TLS 1.3. Role-based access control (RBAC) shall restrict data access by user role. The system shall comply with HIPAA and GDPR data protection regulations. Session tokens shall expire after 30 minutes of inactivity.</w:t>
            </w:r>
          </w:p>
        </w:tc>
      </w:tr>
      <w:tr>
        <w:trPr>
          <w:cantSplit w:val="0"/>
          <w:trHeight w:val="470" w:hRule="atLeast"/>
          <w:tblHeader w:val="0"/>
        </w:trPr>
        <w:tc>
          <w:tcPr/>
          <w:p w:rsidR="00000000" w:rsidDel="00000000" w:rsidP="00000000" w:rsidRDefault="00000000" w:rsidRPr="00000000" w14:paraId="00000035">
            <w:pPr>
              <w:rPr/>
            </w:pPr>
            <w:r>
              <w:rPr>
                <w:rtl w:val="0"/>
              </w:rPr>
              <w:t xml:space="preserve">NFR-3</w:t>
            </w:r>
          </w:p>
        </w:tc>
        <w:tc>
          <w:tcPr/>
          <w:p w:rsidR="00000000" w:rsidDel="00000000" w:rsidP="00000000" w:rsidRDefault="00000000" w:rsidRPr="00000000" w14:paraId="00000036">
            <w:pPr>
              <w:rPr/>
            </w:pPr>
            <w:r>
              <w:rPr>
                <w:b w:val="1"/>
                <w:rtl w:val="0"/>
              </w:rPr>
              <w:t xml:space="preserve">Reliability</w:t>
            </w:r>
            <w:r>
              <w:rPr>
                <w:rtl w:val="0"/>
              </w:rPr>
            </w:r>
          </w:p>
        </w:tc>
        <w:tc>
          <w:tcPr/>
          <w:p w:rsidR="00000000" w:rsidDel="00000000" w:rsidP="00000000" w:rsidRDefault="00000000" w:rsidRPr="00000000" w14:paraId="00000037">
            <w:pPr>
              <w:rPr/>
            </w:pPr>
            <w:r>
              <w:t>The system shall achieve a minimum model classification accuracy of 90% on the standard BCCD benchmark dataset. The application shall handle image corruption gracefully, displaying a clear error message without crashing. Failed uploads shall be retried automatically up to 3 times before notifying the user.</w:t>
            </w:r>
          </w:p>
        </w:tc>
      </w:tr>
      <w:tr>
        <w:trPr>
          <w:cantSplit w:val="0"/>
          <w:trHeight w:val="489" w:hRule="atLeast"/>
          <w:tblHeader w:val="0"/>
        </w:trPr>
        <w:tc>
          <w:tcPr/>
          <w:p w:rsidR="00000000" w:rsidDel="00000000" w:rsidP="00000000" w:rsidRDefault="00000000" w:rsidRPr="00000000" w14:paraId="00000038">
            <w:pPr>
              <w:rPr/>
            </w:pPr>
            <w:r>
              <w:rPr>
                <w:rtl w:val="0"/>
              </w:rPr>
              <w:t xml:space="preserve">NFR-4</w:t>
            </w:r>
          </w:p>
        </w:tc>
        <w:tc>
          <w:tcPr/>
          <w:p w:rsidR="00000000" w:rsidDel="00000000" w:rsidP="00000000" w:rsidRDefault="00000000" w:rsidRPr="00000000" w14:paraId="00000039">
            <w:pPr>
              <w:rPr/>
            </w:pPr>
            <w:r>
              <w:rPr>
                <w:b w:val="1"/>
                <w:rtl w:val="0"/>
              </w:rPr>
              <w:t xml:space="preserve">Performance</w:t>
            </w:r>
            <w:r>
              <w:rPr>
                <w:rtl w:val="0"/>
              </w:rPr>
            </w:r>
          </w:p>
        </w:tc>
        <w:tc>
          <w:tcPr/>
          <w:p w:rsidR="00000000" w:rsidDel="00000000" w:rsidP="00000000" w:rsidRDefault="00000000" w:rsidRPr="00000000" w14:paraId="0000003A">
            <w:pPr>
              <w:rPr/>
            </w:pPr>
            <w:r>
              <w:t>The CNN inference pipeline shall return a classification result within 5 seconds for a single blood smear image under normal load. Batch processing of 50 images shall complete within 3 minutes. The web portal shall load within 2 seconds on a standard broadband connection (≥10 Mbps).</w:t>
            </w:r>
          </w:p>
        </w:tc>
      </w:tr>
      <w:tr>
        <w:trPr>
          <w:cantSplit w:val="0"/>
          <w:trHeight w:val="489" w:hRule="atLeast"/>
          <w:tblHeader w:val="0"/>
        </w:trPr>
        <w:tc>
          <w:tcPr/>
          <w:p w:rsidR="00000000" w:rsidDel="00000000" w:rsidP="00000000" w:rsidRDefault="00000000" w:rsidRPr="00000000" w14:paraId="0000003B">
            <w:pPr>
              <w:rPr/>
            </w:pPr>
            <w:r>
              <w:rPr>
                <w:rtl w:val="0"/>
              </w:rPr>
              <w:t xml:space="preserve">NFR-5</w:t>
            </w:r>
          </w:p>
        </w:tc>
        <w:tc>
          <w:tcPr/>
          <w:p w:rsidR="00000000" w:rsidDel="00000000" w:rsidP="00000000" w:rsidRDefault="00000000" w:rsidRPr="00000000" w14:paraId="0000003C">
            <w:pPr>
              <w:rPr/>
            </w:pPr>
            <w:r>
              <w:rPr>
                <w:b w:val="1"/>
                <w:rtl w:val="0"/>
              </w:rPr>
              <w:t xml:space="preserve">Availability</w:t>
            </w:r>
            <w:r>
              <w:rPr>
                <w:rtl w:val="0"/>
              </w:rPr>
            </w:r>
          </w:p>
        </w:tc>
        <w:tc>
          <w:tcPr/>
          <w:p w:rsidR="00000000" w:rsidDel="00000000" w:rsidP="00000000" w:rsidRDefault="00000000" w:rsidRPr="00000000" w14:paraId="0000003D">
            <w:pPr>
              <w:rPr/>
            </w:pPr>
            <w:r>
              <w:t>The HematoVision platform shall maintain 99.5% uptime, with planned maintenance windows limited to off-peak hours (02:00–04:00 local time). In the event of a backend outage, the system shall display a clear maintenance notice and estimated recovery time to users.</w:t>
            </w:r>
          </w:p>
        </w:tc>
      </w:tr>
      <w:tr>
        <w:trPr>
          <w:cantSplit w:val="0"/>
          <w:trHeight w:val="489" w:hRule="atLeast"/>
          <w:tblHeader w:val="0"/>
        </w:trPr>
        <w:tc>
          <w:tcPr/>
          <w:p w:rsidR="00000000" w:rsidDel="00000000" w:rsidP="00000000" w:rsidRDefault="00000000" w:rsidRPr="00000000" w14:paraId="0000003E">
            <w:pPr>
              <w:rPr/>
            </w:pPr>
            <w:r>
              <w:rPr>
                <w:rtl w:val="0"/>
              </w:rPr>
              <w:t xml:space="preserve">NFR-6</w:t>
            </w:r>
          </w:p>
        </w:tc>
        <w:tc>
          <w:tcPr/>
          <w:p w:rsidR="00000000" w:rsidDel="00000000" w:rsidP="00000000" w:rsidRDefault="00000000" w:rsidRPr="00000000" w14:paraId="0000003F">
            <w:pPr>
              <w:rPr>
                <w:color w:val="222222"/>
              </w:rPr>
            </w:pPr>
            <w:r>
              <w:rPr>
                <w:b w:val="1"/>
                <w:color w:val="222222"/>
                <w:rtl w:val="0"/>
              </w:rPr>
              <w:t xml:space="preserve">Scalability</w:t>
            </w:r>
            <w:r>
              <w:rPr>
                <w:rtl w:val="0"/>
              </w:rPr>
            </w:r>
          </w:p>
        </w:tc>
        <w:tc>
          <w:tcPr/>
          <w:p w:rsidR="00000000" w:rsidDel="00000000" w:rsidP="00000000" w:rsidRDefault="00000000" w:rsidRPr="00000000" w14:paraId="00000040">
            <w:pPr>
              <w:rPr/>
            </w:pPr>
            <w:r>
              <w:t>The system shall support horizontal scaling to handle up to 1,000 concurrent users and 10,000 image classifications per day without degradation in performance. The model inference service shall be containerised (Docker/Kubernetes) to enable on-demand scaling. Database storage shall auto-scale to accommodate growing case history.</w:t>
            </w:r>
          </w:p>
        </w:tc>
      </w:tr>
    </w:tbl>
    <w:p w:rsidR="00000000" w:rsidDel="00000000" w:rsidP="00000000" w:rsidRDefault="00000000" w:rsidRPr="00000000" w14:paraId="00000041">
      <w:pPr>
        <w:rPr/>
      </w:pPr>
      <w:r>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JlbC+LoM3M2YVdapWZB9x2MC6w==">CgMxLjA4AHIhMTJZaDVfc05pbTJTYm5CaFBydlFQeXFLOWdOODdMeklH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