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27 February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t>TSK841298</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t>HematoVision: Advanced Blood Cell Classification Using Transfer Learning</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Technical Architecture:</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The Deliverable shall include the architectural diagram as below and the information as per the table1 &amp; table 2</w:t>
      </w:r>
    </w:p>
    <w:p w:rsidR="00000000" w:rsidDel="00000000" w:rsidP="00000000" w:rsidRDefault="00000000" w:rsidRPr="00000000" w14:paraId="0000000F">
      <w:pPr>
        <w:rPr>
          <w:rFonts w:ascii="Arial" w:cs="Arial" w:eastAsia="Arial" w:hAnsi="Arial"/>
          <w:b w:val="1"/>
        </w:rPr>
      </w:pPr>
      <w:r>
        <w:rPr>
          <w:rFonts w:ascii="Arial" w:cs="Arial" w:eastAsia="Arial" w:hAnsi="Arial"/>
          <w:b w:val="1"/>
          <w:rtl w:val="0"/>
        </w:rPr>
        <w:t xml:space="preserve">Example: Order processing during pandemics for offline mode</w: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Reference: </w:t>
      </w:r>
      <w:hyperlink r:id="rId7">
        <w:r>
          <w:rPr>
            <w:rFonts w:ascii="Arial" w:cs="Arial" w:eastAsia="Arial" w:hAnsi="Arial"/>
            <w:b w:val="1"/>
            <w:color w:val="0563c1"/>
            <w:u w:val="single"/>
            <w:rtl w:val="0"/>
          </w:rPr>
          <w:t xml:space="preserve">https://developer.ibm.com/patterns/ai-powered-backend-system-for-order-processing-during-pandemics/</w:t>
        </w:r>
      </w:hyperlink>
      <w:r>
        <w:rPr>
          <w:rtl w:val="0"/>
        </w:rPr>
      </w:r>
    </w:p>
    <w:p w:rsidR="00000000" w:rsidDel="00000000" w:rsidP="00000000" w:rsidRDefault="00000000" w:rsidRPr="00000000" w14:paraId="00000011">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
                <a:graphic>
                  <a:graphicData uri="http://schemas.microsoft.com/office/word/2010/wordprocessingShape">
                    <wps:wsp>
                      <wps:cNvSpPr/>
                      <wps:cNvPr id="2" name="Shape 2"/>
                      <wps:spPr>
                        <a:xfrm>
                          <a:off x="2971100" y="2468725"/>
                          <a:ext cx="4749800" cy="2622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Guidelines:</w:t>
                            </w:r>
                          </w:p>
                          <w:p w:rsidR="00000000" w:rsidDel="00000000" w:rsidP="00000000" w:rsidRDefault="00000000" w:rsidRPr="00000000">
                            <w:pPr>
                              <w:spacing w:after="0" w:before="0" w:line="240"/>
                              <w:ind w:left="360" w:right="0" w:firstLine="360"/>
                              <w:jc w:val="left"/>
                              <w:textDirection w:val="btLr"/>
                            </w:pPr>
                            <w:r>
                              <w:rPr>
                                <w:rFonts w:ascii="Calibri" w:cs="Calibri" w:eastAsia="Calibri" w:hAnsi="Calibri"/>
                                <w:b w:val="0"/>
                                <w:i w:val="0"/>
                                <w:smallCaps w:val="0"/>
                                <w:strike w:val="0"/>
                                <w:color w:val="000000"/>
                                <w:sz w:val="22"/>
                                <w:vertAlign w:val="baseline"/>
                              </w:rPr>
                            </w:r>
                            <w:r>
                              <w:rPr>
                                <w:rFonts w:ascii="Arial" w:cs="Arial" w:eastAsia="Arial" w:hAnsi="Arial"/>
                                <w:b w:val="0"/>
                                <w:i w:val="0"/>
                                <w:smallCaps w:val="0"/>
                                <w:strike w:val="0"/>
                                <w:color w:val="000000"/>
                                <w:sz w:val="28"/>
                                <w:vertAlign w:val="baseline"/>
                              </w:rPr>
                              <w:t xml:space="preserve">Include all the processes (As an application logic / Technology Block)</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Provide infrastructural demarcation (Local / Cloud)</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external interfaces (third party API’s etc.)</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Data Storage components / services</w:t>
                            </w:r>
                          </w:p>
                          <w:p w:rsidR="00000000" w:rsidDel="00000000" w:rsidP="00000000" w:rsidRDefault="00000000" w:rsidRPr="00000000">
                            <w:pPr>
                              <w:spacing w:after="0" w:before="0" w:line="240"/>
                              <w:ind w:left="360" w:right="0" w:firstLine="360"/>
                              <w:jc w:val="left"/>
                              <w:textDirection w:val="btLr"/>
                            </w:pPr>
                            <w:r>
                              <w:rPr>
                                <w:rFonts w:ascii="Arial" w:cs="Arial" w:eastAsia="Arial" w:hAnsi="Arial"/>
                                <w:b w:val="0"/>
                                <w:i w:val="0"/>
                                <w:smallCaps w:val="0"/>
                                <w:strike w:val="0"/>
                                <w:color w:val="000000"/>
                                <w:sz w:val="28"/>
                                <w:vertAlign w:val="baseline"/>
                              </w:rPr>
                              <w:t xml:space="preserve">Indicate interface to machine learning models (if applicable)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190500</wp:posOffset>
                </wp:positionV>
                <wp:extent cx="4768850" cy="26416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768850" cy="2641600"/>
                        </a:xfrm>
                        <a:prstGeom prst="rect"/>
                        <a:ln/>
                      </pic:spPr>
                    </pic:pic>
                  </a:graphicData>
                </a:graphic>
              </wp:anchor>
            </w:drawing>
          </mc:Fallback>
        </mc:AlternateContent>
      </w:r>
    </w:p>
    <w:p w:rsidR="00000000" w:rsidDel="00000000" w:rsidP="00000000" w:rsidRDefault="00000000" w:rsidRPr="00000000" w14:paraId="00000012">
      <w:pPr>
        <w:rPr>
          <w:rFonts w:ascii="Arial" w:cs="Arial" w:eastAsia="Arial" w:hAnsi="Arial"/>
          <w:b w:val="1"/>
        </w:rPr>
      </w:pPr>
      <w:r>
        <w:rPr>
          <w:rtl w:val="0"/>
        </w:rPr>
      </w:r>
      <w:r>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326550" cy="2482850"/>
            <wp:effectExtent b="0" l="0" r="0" t="0"/>
            <wp:wrapSquare wrapText="bothSides" distB="0" distT="0" distL="114300" distR="114300"/>
            <wp:docPr descr="flow" id="14" name="image1.png"/>
            <a:graphic>
              <a:graphicData uri="http://schemas.openxmlformats.org/drawingml/2006/picture">
                <pic:pic>
                  <pic:nvPicPr>
                    <pic:cNvPr descr="flow" id="0" name="image1.png"/>
                    <pic:cNvPicPr preferRelativeResize="0"/>
                  </pic:nvPicPr>
                  <pic:blipFill>
                    <a:blip r:embed="rId9"/>
                    <a:srcRect b="0" l="0" r="0" t="0"/>
                    <a:stretch>
                      <a:fillRect/>
                    </a:stretch>
                  </pic:blipFill>
                  <pic:spPr>
                    <a:xfrm>
                      <a:off x="0" y="0"/>
                      <a:ext cx="4326550" cy="2482850"/>
                    </a:xfrm>
                    <a:prstGeom prst="rect"/>
                    <a:ln/>
                  </pic:spPr>
                </pic:pic>
              </a:graphicData>
            </a:graphic>
          </wp:anchor>
        </w:drawing>
      </w:r>
    </w:p>
    <w:p w:rsidR="00000000" w:rsidDel="00000000" w:rsidP="00000000" w:rsidRDefault="00000000" w:rsidRPr="00000000" w14:paraId="00000013">
      <w:pPr>
        <w:tabs>
          <w:tab w:val="left" w:leader="none" w:pos="2320"/>
        </w:tabs>
        <w:rPr>
          <w:rFonts w:ascii="Arial" w:cs="Arial" w:eastAsia="Arial" w:hAnsi="Arial"/>
          <w:b w:val="1"/>
        </w:rPr>
      </w:pPr>
      <w:r>
        <w:rPr>
          <w:rFonts w:ascii="Arial" w:cs="Arial" w:eastAsia="Arial" w:hAnsi="Arial"/>
          <w:b w:val="1"/>
          <w:rtl w:val="0"/>
        </w:rPr>
        <w:tab/>
        <w:tab/>
        <w:tab/>
        <w:br w:type="textWrapping"/>
      </w:r>
    </w:p>
    <w:p w:rsidR="00000000" w:rsidDel="00000000" w:rsidP="00000000" w:rsidRDefault="00000000" w:rsidRPr="00000000" w14:paraId="00000014">
      <w:pPr>
        <w:tabs>
          <w:tab w:val="left" w:leader="none" w:pos="2320"/>
        </w:tabs>
        <w:rPr>
          <w:rFonts w:ascii="Arial" w:cs="Arial" w:eastAsia="Arial" w:hAnsi="Arial"/>
          <w:b w:val="1"/>
        </w:rPr>
      </w:pPr>
      <w:r>
        <w:rPr>
          <w:rtl w:val="0"/>
        </w:rPr>
      </w:r>
    </w:p>
    <w:p w:rsidR="00000000" w:rsidDel="00000000" w:rsidP="00000000" w:rsidRDefault="00000000" w:rsidRPr="00000000" w14:paraId="00000015">
      <w:pPr>
        <w:tabs>
          <w:tab w:val="left" w:leader="none" w:pos="2320"/>
        </w:tabs>
        <w:rPr>
          <w:rFonts w:ascii="Arial" w:cs="Arial" w:eastAsia="Arial" w:hAnsi="Arial"/>
          <w:b w:val="1"/>
        </w:rPr>
      </w:pPr>
      <w:r>
        <w:rPr>
          <w:rtl w:val="0"/>
        </w:rPr>
      </w:r>
    </w:p>
    <w:p w:rsidR="00000000" w:rsidDel="00000000" w:rsidP="00000000" w:rsidRDefault="00000000" w:rsidRPr="00000000" w14:paraId="00000016">
      <w:pPr>
        <w:tabs>
          <w:tab w:val="left" w:leader="none" w:pos="2320"/>
        </w:tabs>
        <w:rPr>
          <w:rFonts w:ascii="Arial" w:cs="Arial" w:eastAsia="Arial" w:hAnsi="Arial"/>
          <w:b w:val="1"/>
        </w:rPr>
      </w:pPr>
      <w:r>
        <w:rPr>
          <w:rtl w:val="0"/>
        </w:rPr>
      </w:r>
    </w:p>
    <w:p w:rsidR="00000000" w:rsidDel="00000000" w:rsidP="00000000" w:rsidRDefault="00000000" w:rsidRPr="00000000" w14:paraId="00000017">
      <w:pPr>
        <w:tabs>
          <w:tab w:val="left" w:leader="none" w:pos="2320"/>
        </w:tabs>
        <w:rPr>
          <w:rFonts w:ascii="Arial" w:cs="Arial" w:eastAsia="Arial" w:hAnsi="Arial"/>
          <w:b w:val="1"/>
        </w:rPr>
      </w:pPr>
      <w:r>
        <w:rPr>
          <w:rtl w:val="0"/>
        </w:rPr>
      </w:r>
    </w:p>
    <w:p w:rsidR="00000000" w:rsidDel="00000000" w:rsidP="00000000" w:rsidRDefault="00000000" w:rsidRPr="00000000" w14:paraId="00000018">
      <w:pPr>
        <w:tabs>
          <w:tab w:val="left" w:leader="none" w:pos="2320"/>
        </w:tabs>
        <w:rPr>
          <w:rFonts w:ascii="Arial" w:cs="Arial" w:eastAsia="Arial" w:hAnsi="Arial"/>
          <w:b w:val="1"/>
        </w:rPr>
      </w:pPr>
      <w:r>
        <w:rPr>
          <w:rtl w:val="0"/>
        </w:rPr>
      </w:r>
    </w:p>
    <w:p w:rsidR="00000000" w:rsidDel="00000000" w:rsidP="00000000" w:rsidRDefault="00000000" w:rsidRPr="00000000" w14:paraId="00000019">
      <w:pPr>
        <w:tabs>
          <w:tab w:val="left" w:leader="none" w:pos="2320"/>
        </w:tabs>
        <w:rPr>
          <w:rFonts w:ascii="Arial" w:cs="Arial" w:eastAsia="Arial" w:hAnsi="Arial"/>
          <w:b w:val="1"/>
        </w:rPr>
      </w:pPr>
      <w:r>
        <w:rPr>
          <w:rtl w:val="0"/>
        </w:rPr>
      </w:r>
    </w:p>
    <w:p w:rsidR="00000000" w:rsidDel="00000000" w:rsidP="00000000" w:rsidRDefault="00000000" w:rsidRPr="00000000" w14:paraId="0000001A">
      <w:pPr>
        <w:tabs>
          <w:tab w:val="left" w:leader="none" w:pos="2320"/>
        </w:tabs>
        <w:rPr>
          <w:rFonts w:ascii="Arial" w:cs="Arial" w:eastAsia="Arial" w:hAnsi="Arial"/>
          <w:b w:val="1"/>
        </w:rPr>
      </w:pPr>
      <w:r>
        <w:rPr>
          <w:rtl w:val="0"/>
        </w:rPr>
      </w:r>
    </w:p>
    <w:p w:rsidR="00000000" w:rsidDel="00000000" w:rsidP="00000000" w:rsidRDefault="00000000" w:rsidRPr="00000000" w14:paraId="0000001B">
      <w:pPr>
        <w:tabs>
          <w:tab w:val="left" w:leader="none" w:pos="2320"/>
        </w:tabs>
        <w:rPr>
          <w:rFonts w:ascii="Arial" w:cs="Arial" w:eastAsia="Arial" w:hAnsi="Arial"/>
          <w:b w:val="1"/>
        </w:rPr>
      </w:pPr>
      <w:r>
        <w:rPr>
          <w:rtl w:val="0"/>
        </w:rPr>
      </w:r>
    </w:p>
    <w:p w:rsidR="00000000" w:rsidDel="00000000" w:rsidP="00000000" w:rsidRDefault="00000000" w:rsidRPr="00000000" w14:paraId="0000001C">
      <w:pPr>
        <w:tabs>
          <w:tab w:val="left" w:leader="none" w:pos="2320"/>
        </w:tabs>
        <w:rPr>
          <w:rFonts w:ascii="Arial" w:cs="Arial" w:eastAsia="Arial" w:hAnsi="Arial"/>
          <w:b w:val="1"/>
        </w:rPr>
      </w:pPr>
      <w:r>
        <w:rPr>
          <w:rFonts w:ascii="Arial" w:cs="Arial" w:eastAsia="Arial" w:hAnsi="Arial"/>
          <w:b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0"/>
          <w:trHeight w:val="398" w:hRule="atLeast"/>
          <w:tblHeader w:val="0"/>
        </w:trPr>
        <w:tc>
          <w:tcPr/>
          <w:p w:rsidR="00000000" w:rsidDel="00000000" w:rsidP="00000000" w:rsidRDefault="00000000" w:rsidRPr="00000000" w14:paraId="0000001D">
            <w:pPr>
              <w:tabs>
                <w:tab w:val="left" w:leader="none" w:pos="2320"/>
              </w:tabs>
              <w:rPr>
                <w:rFonts w:ascii="Arial" w:cs="Arial" w:eastAsia="Arial" w:hAnsi="Arial"/>
                <w:b w:val="1"/>
              </w:rPr>
            </w:pPr>
            <w:r>
              <w:rPr>
                <w:rFonts w:ascii="Arial" w:cs="Arial" w:eastAsia="Arial" w:hAnsi="Arial"/>
                <w:b w:val="1"/>
                <w:rtl w:val="0"/>
              </w:rPr>
              <w:t xml:space="preserve">S.No</w:t>
            </w:r>
          </w:p>
        </w:tc>
        <w:tc>
          <w:tcPr/>
          <w:p w:rsidR="00000000" w:rsidDel="00000000" w:rsidP="00000000" w:rsidRDefault="00000000" w:rsidRPr="00000000" w14:paraId="0000001E">
            <w:pPr>
              <w:tabs>
                <w:tab w:val="left" w:leader="none" w:pos="2320"/>
              </w:tabs>
              <w:rPr>
                <w:rFonts w:ascii="Arial" w:cs="Arial" w:eastAsia="Arial" w:hAnsi="Arial"/>
                <w:b w:val="1"/>
              </w:rPr>
            </w:pPr>
            <w:r>
              <w:rPr>
                <w:rFonts w:ascii="Arial" w:cs="Arial" w:eastAsia="Arial" w:hAnsi="Arial"/>
                <w:b w:val="1"/>
                <w:rtl w:val="0"/>
              </w:rPr>
              <w:t xml:space="preserve">Component</w:t>
            </w:r>
          </w:p>
        </w:tc>
        <w:tc>
          <w:tcPr/>
          <w:p w:rsidR="00000000" w:rsidDel="00000000" w:rsidP="00000000" w:rsidRDefault="00000000" w:rsidRPr="00000000" w14:paraId="0000001F">
            <w:pPr>
              <w:tabs>
                <w:tab w:val="left" w:leader="none" w:pos="2320"/>
              </w:tabs>
              <w:rPr>
                <w:rFonts w:ascii="Arial" w:cs="Arial" w:eastAsia="Arial" w:hAnsi="Arial"/>
                <w:b w:val="1"/>
              </w:rPr>
            </w:pPr>
            <w:r>
              <w:rPr>
                <w:rFonts w:ascii="Arial" w:cs="Arial" w:eastAsia="Arial" w:hAnsi="Arial"/>
                <w:b w:val="1"/>
                <w:rtl w:val="0"/>
              </w:rPr>
              <w:t xml:space="preserve">Description</w:t>
            </w:r>
          </w:p>
        </w:tc>
        <w:tc>
          <w:tcPr/>
          <w:p w:rsidR="00000000" w:rsidDel="00000000" w:rsidP="00000000" w:rsidRDefault="00000000" w:rsidRPr="00000000" w14:paraId="00000020">
            <w:pPr>
              <w:tabs>
                <w:tab w:val="left" w:leader="none" w:pos="2320"/>
              </w:tabs>
              <w:rPr>
                <w:rFonts w:ascii="Arial" w:cs="Arial" w:eastAsia="Arial" w:hAnsi="Arial"/>
                <w:b w:val="1"/>
              </w:rPr>
            </w:pPr>
            <w:r>
              <w:rPr>
                <w:rFonts w:ascii="Arial" w:cs="Arial" w:eastAsia="Arial" w:hAnsi="Arial"/>
                <w:b w:val="1"/>
                <w:rtl w:val="0"/>
              </w:rPr>
              <w:t xml:space="preserve">Technology</w:t>
            </w:r>
          </w:p>
        </w:tc>
      </w:tr>
      <w:tr>
        <w:trPr>
          <w:cantSplit w:val="0"/>
          <w:trHeight w:val="489" w:hRule="atLeast"/>
          <w:tblHeader w:val="0"/>
        </w:trPr>
        <w:tc>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1</w:t>
            </w:r>
          </w:p>
        </w:tc>
        <w:tc>
          <w:tcPr/>
          <w:p w:rsidR="00000000" w:rsidDel="00000000" w:rsidP="00000000" w:rsidRDefault="00000000" w:rsidRPr="00000000" w14:paraId="00000022">
            <w:pPr>
              <w:tabs>
                <w:tab w:val="left" w:leader="none" w:pos="2320"/>
              </w:tabs>
              <w:rPr>
                <w:rFonts w:ascii="Arial" w:cs="Arial" w:eastAsia="Arial" w:hAnsi="Arial"/>
              </w:rPr>
            </w:pPr>
            <w:r>
              <w:t>User Interface</w:t>
            </w:r>
          </w:p>
        </w:tc>
        <w:tc>
          <w:tcPr/>
          <w:p w:rsidR="00000000" w:rsidDel="00000000" w:rsidP="00000000" w:rsidRDefault="00000000" w:rsidRPr="00000000" w14:paraId="00000023">
            <w:pPr>
              <w:tabs>
                <w:tab w:val="left" w:leader="none" w:pos="2320"/>
              </w:tabs>
              <w:rPr>
                <w:rFonts w:ascii="Arial" w:cs="Arial" w:eastAsia="Arial" w:hAnsi="Arial"/>
              </w:rPr>
            </w:pPr>
            <w:r>
              <w:t>Web-based portal for clinicians and pathologists to upload blood smear images, view classification results with confidence scores, download PDF/CSV diagnostic reports, and access case history dashboard.</w:t>
            </w:r>
          </w:p>
          <w:p w:rsidR="00000000" w:rsidDel="00000000" w:rsidP="00000000" w:rsidRDefault="00000000" w:rsidRPr="00000000" w14:paraId="00000024">
            <w:pPr>
              <w:tabs>
                <w:tab w:val="left" w:leader="none" w:pos="2320"/>
              </w:tabs>
              <w:rPr>
                <w:rFonts w:ascii="Arial" w:cs="Arial" w:eastAsia="Arial" w:hAnsi="Arial"/>
              </w:rPr>
            </w:pPr>
          </w:p>
        </w:tc>
        <w:tc>
          <w:tcPr/>
          <w:p w:rsidR="00000000" w:rsidDel="00000000" w:rsidP="00000000" w:rsidRDefault="00000000" w:rsidRPr="00000000" w14:paraId="00000025">
            <w:pPr>
              <w:tabs>
                <w:tab w:val="left" w:leader="none" w:pos="2320"/>
              </w:tabs>
              <w:rPr>
                <w:rFonts w:ascii="Arial" w:cs="Arial" w:eastAsia="Arial" w:hAnsi="Arial"/>
              </w:rPr>
            </w:pPr>
            <w:r>
              <w:t>React.js, HTML5, CSS3, Axios, Chart.js</w:t>
            </w:r>
          </w:p>
        </w:tc>
      </w:tr>
      <w:tr>
        <w:trPr>
          <w:cantSplit w:val="0"/>
          <w:trHeight w:val="470" w:hRule="atLeast"/>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2</w:t>
            </w:r>
          </w:p>
        </w:tc>
        <w:tc>
          <w:tcPr/>
          <w:p w:rsidR="00000000" w:rsidDel="00000000" w:rsidP="00000000" w:rsidRDefault="00000000" w:rsidRPr="00000000" w14:paraId="00000027">
            <w:pPr>
              <w:tabs>
                <w:tab w:val="left" w:leader="none" w:pos="2320"/>
              </w:tabs>
              <w:rPr>
                <w:rFonts w:ascii="Arial" w:cs="Arial" w:eastAsia="Arial" w:hAnsi="Arial"/>
              </w:rPr>
            </w:pPr>
            <w:r>
              <w:t>Application Logic-1 (Image Upload &amp; Validation)</w:t>
            </w:r>
          </w:p>
        </w:tc>
        <w:tc>
          <w:tcPr/>
          <w:p w:rsidR="00000000" w:rsidDel="00000000" w:rsidP="00000000" w:rsidRDefault="00000000" w:rsidRPr="00000000" w14:paraId="00000028">
            <w:pPr>
              <w:tabs>
                <w:tab w:val="left" w:leader="none" w:pos="2320"/>
              </w:tabs>
              <w:rPr>
                <w:rFonts w:ascii="Arial" w:cs="Arial" w:eastAsia="Arial" w:hAnsi="Arial"/>
              </w:rPr>
            </w:pPr>
            <w:r>
              <w:t>Handles blood smear image upload (JPG/PNG/TIFF up to 10 MB), validates file format and resolution, queues image for preprocessing pipeline, and returns upload confirmation to UI.</w:t>
            </w:r>
          </w:p>
        </w:tc>
        <w:tc>
          <w:tcPr/>
          <w:p w:rsidR="00000000" w:rsidDel="00000000" w:rsidP="00000000" w:rsidRDefault="00000000" w:rsidRPr="00000000" w14:paraId="00000029">
            <w:pPr>
              <w:tabs>
                <w:tab w:val="left" w:leader="none" w:pos="2320"/>
              </w:tabs>
              <w:rPr>
                <w:rFonts w:ascii="Arial" w:cs="Arial" w:eastAsia="Arial" w:hAnsi="Arial"/>
              </w:rPr>
            </w:pPr>
            <w:r>
              <w:t>Python (Flask), REST API, Werkzeug</w:t>
            </w:r>
          </w:p>
        </w:tc>
      </w:tr>
      <w:tr>
        <w:trPr>
          <w:cantSplit w:val="0"/>
          <w:trHeight w:val="470" w:hRule="atLeast"/>
          <w:tblHeader w:val="0"/>
        </w:trPr>
        <w:tc>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3</w:t>
            </w:r>
          </w:p>
        </w:tc>
        <w:tc>
          <w:tcPr/>
          <w:p w:rsidR="00000000" w:rsidDel="00000000" w:rsidP="00000000" w:rsidRDefault="00000000" w:rsidRPr="00000000" w14:paraId="0000002B">
            <w:pPr>
              <w:tabs>
                <w:tab w:val="left" w:leader="none" w:pos="2320"/>
              </w:tabs>
              <w:rPr>
                <w:rFonts w:ascii="Arial" w:cs="Arial" w:eastAsia="Arial" w:hAnsi="Arial"/>
              </w:rPr>
            </w:pPr>
            <w:r>
              <w:t>Application Logic-2 (Preprocessing)</w:t>
            </w:r>
          </w:p>
        </w:tc>
        <w:tc>
          <w:tcPr/>
          <w:p w:rsidR="00000000" w:rsidDel="00000000" w:rsidP="00000000" w:rsidRDefault="00000000" w:rsidRPr="00000000" w14:paraId="0000002C">
            <w:pPr>
              <w:tabs>
                <w:tab w:val="left" w:leader="none" w:pos="2320"/>
              </w:tabs>
              <w:rPr>
                <w:rFonts w:ascii="Arial" w:cs="Arial" w:eastAsia="Arial" w:hAnsi="Arial"/>
              </w:rPr>
            </w:pPr>
            <w:r>
              <w:t>Preprocesses uploaded blood smear image: resizes to 224×224 pixels, normalises pixel values to [0,1] range, applies colour augmentation. Prepares tensor input for CNN inference.</w:t>
            </w:r>
          </w:p>
        </w:tc>
        <w:tc>
          <w:tcPr/>
          <w:p w:rsidR="00000000" w:rsidDel="00000000" w:rsidP="00000000" w:rsidRDefault="00000000" w:rsidRPr="00000000" w14:paraId="0000002D">
            <w:pPr>
              <w:tabs>
                <w:tab w:val="left" w:leader="none" w:pos="2320"/>
              </w:tabs>
              <w:rPr>
                <w:rFonts w:ascii="Arial" w:cs="Arial" w:eastAsia="Arial" w:hAnsi="Arial"/>
              </w:rPr>
            </w:pPr>
            <w:r>
              <w:t>Python, OpenCV 4.x, PIL/Pillow, NumPy</w:t>
            </w:r>
          </w:p>
        </w:tc>
      </w:tr>
      <w:tr>
        <w:trPr>
          <w:cantSplit w:val="0"/>
          <w:trHeight w:val="470" w:hRule="atLeast"/>
          <w:tblHeader w:val="0"/>
        </w:trPr>
        <w:tc>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4</w:t>
            </w:r>
          </w:p>
        </w:tc>
        <w:tc>
          <w:tcPr/>
          <w:p w:rsidR="00000000" w:rsidDel="00000000" w:rsidP="00000000" w:rsidRDefault="00000000" w:rsidRPr="00000000" w14:paraId="0000002F">
            <w:pPr>
              <w:tabs>
                <w:tab w:val="left" w:leader="none" w:pos="2320"/>
              </w:tabs>
              <w:rPr>
                <w:rFonts w:ascii="Arial" w:cs="Arial" w:eastAsia="Arial" w:hAnsi="Arial"/>
              </w:rPr>
            </w:pPr>
            <w:r>
              <w:t>Application Logic-3 (CNN Inference)</w:t>
            </w:r>
          </w:p>
        </w:tc>
        <w:tc>
          <w:tcPr/>
          <w:p w:rsidR="00000000" w:rsidDel="00000000" w:rsidP="00000000" w:rsidRDefault="00000000" w:rsidRPr="00000000" w14:paraId="00000030">
            <w:pPr>
              <w:tabs>
                <w:tab w:val="left" w:leader="none" w:pos="2320"/>
              </w:tabs>
              <w:rPr>
                <w:rFonts w:ascii="Arial" w:cs="Arial" w:eastAsia="Arial" w:hAnsi="Arial"/>
              </w:rPr>
            </w:pPr>
            <w:r>
              <w:t>Runs transfer learning CNN model (ResNet50/VGG16 fine-tuned on BCCD dataset) to classify blood cell type (RBC, WBC, Platelet, Blast) and returns predicted class with confidence score. Generates Grad-CAM heatmap for explainability.</w:t>
            </w:r>
          </w:p>
        </w:tc>
        <w:tc>
          <w:tcPr/>
          <w:p w:rsidR="00000000" w:rsidDel="00000000" w:rsidP="00000000" w:rsidRDefault="00000000" w:rsidRPr="00000000" w14:paraId="00000031">
            <w:pPr>
              <w:tabs>
                <w:tab w:val="left" w:leader="none" w:pos="2320"/>
              </w:tabs>
              <w:rPr>
                <w:rFonts w:ascii="Arial" w:cs="Arial" w:eastAsia="Arial" w:hAnsi="Arial"/>
              </w:rPr>
            </w:pPr>
            <w:r>
              <w:t>Python, TensorFlow 2.x, Keras, Grad-CAM</w:t>
            </w:r>
          </w:p>
        </w:tc>
      </w:tr>
      <w:tr>
        <w:trPr>
          <w:cantSplit w:val="0"/>
          <w:trHeight w:val="489" w:hRule="atLeast"/>
          <w:tblHeader w:val="0"/>
        </w:trPr>
        <w:tc>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5</w:t>
            </w:r>
          </w:p>
        </w:tc>
        <w:tc>
          <w:tcPr/>
          <w:p w:rsidR="00000000" w:rsidDel="00000000" w:rsidP="00000000" w:rsidRDefault="00000000" w:rsidRPr="00000000" w14:paraId="00000033">
            <w:pPr>
              <w:tabs>
                <w:tab w:val="left" w:leader="none" w:pos="2320"/>
              </w:tabs>
              <w:rPr>
                <w:rFonts w:ascii="Arial" w:cs="Arial" w:eastAsia="Arial" w:hAnsi="Arial"/>
              </w:rPr>
            </w:pPr>
            <w:r>
              <w:t>Database</w:t>
            </w:r>
          </w:p>
        </w:tc>
        <w:tc>
          <w:tcPr/>
          <w:p w:rsidR="00000000" w:rsidDel="00000000" w:rsidP="00000000" w:rsidRDefault="00000000" w:rsidRPr="00000000" w14:paraId="00000034">
            <w:pPr>
              <w:tabs>
                <w:tab w:val="left" w:leader="none" w:pos="2320"/>
              </w:tabs>
              <w:rPr>
                <w:rFonts w:ascii="Arial" w:cs="Arial" w:eastAsia="Arial" w:hAnsi="Arial"/>
              </w:rPr>
            </w:pPr>
            <w:r>
              <w:t>Relational database storing user profiles, classification results, case history, model metadata, audit logs. ACID-compliant with indexed queries for fast retrieval of historical cases.</w:t>
            </w:r>
          </w:p>
        </w:tc>
        <w:tc>
          <w:tcPr/>
          <w:p w:rsidR="00000000" w:rsidDel="00000000" w:rsidP="00000000" w:rsidRDefault="00000000" w:rsidRPr="00000000" w14:paraId="00000035">
            <w:pPr>
              <w:tabs>
                <w:tab w:val="left" w:leader="none" w:pos="2320"/>
              </w:tabs>
              <w:rPr>
                <w:rFonts w:ascii="Arial" w:cs="Arial" w:eastAsia="Arial" w:hAnsi="Arial"/>
              </w:rPr>
            </w:pPr>
            <w:r>
              <w:t>PostgreSQL 14, SQLAlchemy ORM</w:t>
            </w:r>
          </w:p>
        </w:tc>
      </w:tr>
      <w:tr>
        <w:trPr>
          <w:cantSplit w:val="0"/>
          <w:trHeight w:val="489" w:hRule="atLeast"/>
          <w:tblHeader w:val="0"/>
        </w:trPr>
        <w:tc>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6</w:t>
            </w:r>
          </w:p>
        </w:tc>
        <w:tc>
          <w:tcPr/>
          <w:p w:rsidR="00000000" w:rsidDel="00000000" w:rsidP="00000000" w:rsidRDefault="00000000" w:rsidRPr="00000000" w14:paraId="00000037">
            <w:pPr>
              <w:tabs>
                <w:tab w:val="left" w:leader="none" w:pos="2320"/>
              </w:tabs>
              <w:rPr>
                <w:rFonts w:ascii="Arial" w:cs="Arial" w:eastAsia="Arial" w:hAnsi="Arial"/>
              </w:rPr>
            </w:pPr>
            <w:r>
              <w:t>Cloud Database</w:t>
            </w:r>
          </w:p>
        </w:tc>
        <w:tc>
          <w:tcPr/>
          <w:p w:rsidR="00000000" w:rsidDel="00000000" w:rsidP="00000000" w:rsidRDefault="00000000" w:rsidRPr="00000000" w14:paraId="00000038">
            <w:pPr>
              <w:tabs>
                <w:tab w:val="left" w:leader="none" w:pos="2320"/>
              </w:tabs>
              <w:rPr>
                <w:rFonts w:ascii="Arial" w:cs="Arial" w:eastAsia="Arial" w:hAnsi="Arial"/>
              </w:rPr>
            </w:pPr>
            <w:r>
              <w:t>Cloud-hosted managed database for high availability, automated backups, point-in-time recovery, and cross-region replication. Stores all production classification results and reports.</w:t>
            </w:r>
          </w:p>
        </w:tc>
        <w:tc>
          <w:tcPr/>
          <w:p w:rsidR="00000000" w:rsidDel="00000000" w:rsidP="00000000" w:rsidRDefault="00000000" w:rsidRPr="00000000" w14:paraId="00000039">
            <w:pPr>
              <w:tabs>
                <w:tab w:val="left" w:leader="none" w:pos="2320"/>
              </w:tabs>
              <w:rPr>
                <w:rFonts w:ascii="Arial" w:cs="Arial" w:eastAsia="Arial" w:hAnsi="Arial"/>
              </w:rPr>
            </w:pPr>
            <w:r>
              <w:t>IBM Db2 on Cloud / AWS RDS PostgreSQL</w:t>
            </w:r>
          </w:p>
        </w:tc>
      </w:tr>
      <w:tr>
        <w:trPr>
          <w:cantSplit w:val="0"/>
          <w:trHeight w:val="489" w:hRule="atLeast"/>
          <w:tblHeader w:val="0"/>
        </w:trPr>
        <w:tc>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7</w:t>
            </w:r>
          </w:p>
        </w:tc>
        <w:tc>
          <w:tcPr/>
          <w:p w:rsidR="00000000" w:rsidDel="00000000" w:rsidP="00000000" w:rsidRDefault="00000000" w:rsidRPr="00000000" w14:paraId="0000003B">
            <w:pPr>
              <w:tabs>
                <w:tab w:val="left" w:leader="none" w:pos="2320"/>
              </w:tabs>
              <w:rPr>
                <w:rFonts w:ascii="Arial" w:cs="Arial" w:eastAsia="Arial" w:hAnsi="Arial"/>
              </w:rPr>
            </w:pPr>
            <w:r>
              <w:t>File Storage</w:t>
            </w:r>
          </w:p>
        </w:tc>
        <w:tc>
          <w:tcPr/>
          <w:p w:rsidR="00000000" w:rsidDel="00000000" w:rsidP="00000000" w:rsidRDefault="00000000" w:rsidRPr="00000000" w14:paraId="0000003C">
            <w:pPr>
              <w:tabs>
                <w:tab w:val="left" w:leader="none" w:pos="2320"/>
              </w:tabs>
              <w:rPr>
                <w:rFonts w:ascii="Arial" w:cs="Arial" w:eastAsia="Arial" w:hAnsi="Arial"/>
              </w:rPr>
            </w:pPr>
            <w:r>
              <w:t>Stores uploaded blood smear images, generated PDF/CSV reports, and Grad-CAM heatmap overlays. Files encrypted at rest with AES-256, versioned, and replicated across two availability zones.</w:t>
            </w:r>
          </w:p>
        </w:tc>
        <w:tc>
          <w:tcPr/>
          <w:p w:rsidR="00000000" w:rsidDel="00000000" w:rsidP="00000000" w:rsidRDefault="00000000" w:rsidRPr="00000000" w14:paraId="0000003D">
            <w:pPr>
              <w:tabs>
                <w:tab w:val="left" w:leader="none" w:pos="2320"/>
              </w:tabs>
              <w:rPr>
                <w:rFonts w:ascii="Arial" w:cs="Arial" w:eastAsia="Arial" w:hAnsi="Arial"/>
              </w:rPr>
            </w:pPr>
            <w:r>
              <w:t>IBM Cloud Object Storage / AWS S3</w:t>
            </w:r>
          </w:p>
        </w:tc>
      </w:tr>
      <w:tr>
        <w:trPr>
          <w:cantSplit w:val="0"/>
          <w:trHeight w:val="489" w:hRule="atLeast"/>
          <w:tblHeader w:val="0"/>
        </w:trPr>
        <w:tc>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8</w:t>
            </w:r>
          </w:p>
        </w:tc>
        <w:tc>
          <w:tcPr/>
          <w:p w:rsidR="00000000" w:rsidDel="00000000" w:rsidP="00000000" w:rsidRDefault="00000000" w:rsidRPr="00000000" w14:paraId="0000003F">
            <w:pPr>
              <w:tabs>
                <w:tab w:val="left" w:leader="none" w:pos="2320"/>
              </w:tabs>
              <w:rPr>
                <w:rFonts w:ascii="Arial" w:cs="Arial" w:eastAsia="Arial" w:hAnsi="Arial"/>
              </w:rPr>
            </w:pPr>
            <w:r>
              <w:t>External API-1 (Pre-trained Model Weights)</w:t>
            </w:r>
          </w:p>
        </w:tc>
        <w:tc>
          <w:tcPr/>
          <w:p w:rsidR="00000000" w:rsidDel="00000000" w:rsidP="00000000" w:rsidRDefault="00000000" w:rsidRPr="00000000" w14:paraId="00000040">
            <w:pPr>
              <w:tabs>
                <w:tab w:val="left" w:leader="none" w:pos="2320"/>
              </w:tabs>
              <w:rPr>
                <w:rFonts w:ascii="Arial" w:cs="Arial" w:eastAsia="Arial" w:hAnsi="Arial"/>
              </w:rPr>
            </w:pPr>
            <w:r>
              <w:t>Loads ImageNet pre-trained ResNet50/VGG16 weights for transfer learning fine-tuning on the BCCD blood cell classification dataset. Enables fast convergence with limited labelled data.</w:t>
            </w:r>
          </w:p>
        </w:tc>
        <w:tc>
          <w:tcPr/>
          <w:p w:rsidR="00000000" w:rsidDel="00000000" w:rsidP="00000000" w:rsidRDefault="00000000" w:rsidRPr="00000000" w14:paraId="00000041">
            <w:pPr>
              <w:tabs>
                <w:tab w:val="left" w:leader="none" w:pos="2320"/>
              </w:tabs>
              <w:rPr>
                <w:rFonts w:ascii="Arial" w:cs="Arial" w:eastAsia="Arial" w:hAnsi="Arial"/>
              </w:rPr>
            </w:pPr>
            <w:r>
              <w:t>TensorFlow Hub, Keras Applications API</w:t>
            </w:r>
          </w:p>
        </w:tc>
      </w:tr>
      <w:tr>
        <w:trPr>
          <w:cantSplit w:val="0"/>
          <w:trHeight w:val="489" w:hRule="atLeast"/>
          <w:tblHeader w:val="0"/>
        </w:trPr>
        <w:tc>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9</w:t>
            </w:r>
          </w:p>
        </w:tc>
        <w:tc>
          <w:tcPr/>
          <w:p w:rsidR="00000000" w:rsidDel="00000000" w:rsidP="00000000" w:rsidRDefault="00000000" w:rsidRPr="00000000" w14:paraId="00000043">
            <w:pPr>
              <w:tabs>
                <w:tab w:val="left" w:leader="none" w:pos="2320"/>
              </w:tabs>
              <w:rPr>
                <w:rFonts w:ascii="Arial" w:cs="Arial" w:eastAsia="Arial" w:hAnsi="Arial"/>
              </w:rPr>
            </w:pPr>
            <w:r>
              <w:t>External API-2 (Email Notification)</w:t>
            </w:r>
          </w:p>
        </w:tc>
        <w:tc>
          <w:tcPr/>
          <w:p w:rsidR="00000000" w:rsidDel="00000000" w:rsidP="00000000" w:rsidRDefault="00000000" w:rsidRPr="00000000" w14:paraId="00000044">
            <w:pPr>
              <w:tabs>
                <w:tab w:val="left" w:leader="none" w:pos="2320"/>
              </w:tabs>
              <w:rPr>
                <w:rFonts w:ascii="Arial" w:cs="Arial" w:eastAsia="Arial" w:hAnsi="Arial"/>
              </w:rPr>
            </w:pPr>
            <w:r>
              <w:t>Sends automated email notifications to clinicians when their diagnostic report is ready, and alerts lab managers and administrators when low-confidence predictions (&lt;70%) require mandatory human review.</w:t>
            </w:r>
          </w:p>
        </w:tc>
        <w:tc>
          <w:tcPr/>
          <w:p w:rsidR="00000000" w:rsidDel="00000000" w:rsidP="00000000" w:rsidRDefault="00000000" w:rsidRPr="00000000" w14:paraId="00000045">
            <w:pPr>
              <w:tabs>
                <w:tab w:val="left" w:leader="none" w:pos="2320"/>
              </w:tabs>
              <w:rPr>
                <w:rFonts w:ascii="Arial" w:cs="Arial" w:eastAsia="Arial" w:hAnsi="Arial"/>
              </w:rPr>
            </w:pPr>
            <w:r>
              <w:t>SendGrid Email API / SMTP (Flask-Mail)</w:t>
            </w:r>
          </w:p>
        </w:tc>
      </w:tr>
      <w:tr>
        <w:trPr>
          <w:cantSplit w:val="0"/>
          <w:trHeight w:val="489" w:hRule="atLeast"/>
          <w:tblHeader w:val="0"/>
        </w:trPr>
        <w:tc>
          <w:tcPr/>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10</w:t>
            </w:r>
          </w:p>
        </w:tc>
        <w:tc>
          <w:tcPr/>
          <w:p w:rsidR="00000000" w:rsidDel="00000000" w:rsidP="00000000" w:rsidRDefault="00000000" w:rsidRPr="00000000" w14:paraId="00000047">
            <w:pPr>
              <w:tabs>
                <w:tab w:val="left" w:leader="none" w:pos="2320"/>
              </w:tabs>
              <w:rPr>
                <w:rFonts w:ascii="Arial" w:cs="Arial" w:eastAsia="Arial" w:hAnsi="Arial"/>
              </w:rPr>
            </w:pPr>
            <w:r>
              <w:t>Machine Learning Model</w:t>
            </w:r>
          </w:p>
        </w:tc>
        <w:tc>
          <w:tcPr/>
          <w:p w:rsidR="00000000" w:rsidDel="00000000" w:rsidP="00000000" w:rsidRDefault="00000000" w:rsidRPr="00000000" w14:paraId="00000048">
            <w:pPr>
              <w:tabs>
                <w:tab w:val="left" w:leader="none" w:pos="2320"/>
              </w:tabs>
              <w:rPr>
                <w:rFonts w:ascii="Arial" w:cs="Arial" w:eastAsia="Arial" w:hAnsi="Arial"/>
              </w:rPr>
            </w:pPr>
            <w:r>
              <w:t>Transfer learning CNN fine-tuned on the BCCD (Blood Cell Count and Detection) dataset. Architecture: ResNet50 base + custom classification head. Achieves ≥90% accuracy on 4-class blood cell classification. Grad-CAM overlay highlights prediction region on original image for clinical explainability.</w:t>
            </w:r>
          </w:p>
        </w:tc>
        <w:tc>
          <w:tcPr/>
          <w:p w:rsidR="00000000" w:rsidDel="00000000" w:rsidP="00000000" w:rsidRDefault="00000000" w:rsidRPr="00000000" w14:paraId="00000049">
            <w:pPr>
              <w:tabs>
                <w:tab w:val="left" w:leader="none" w:pos="2320"/>
              </w:tabs>
              <w:rPr>
                <w:rFonts w:ascii="Arial" w:cs="Arial" w:eastAsia="Arial" w:hAnsi="Arial"/>
              </w:rPr>
            </w:pPr>
            <w:r>
              <w:t>TensorFlow 2.x, Keras, ResNet50, VGG16, Grad-CAM, scikit-learn</w:t>
            </w:r>
          </w:p>
        </w:tc>
      </w:tr>
      <w:tr>
        <w:trPr>
          <w:cantSplit w:val="0"/>
          <w:trHeight w:val="489" w:hRule="atLeast"/>
          <w:tblHeader w:val="0"/>
        </w:trPr>
        <w:tc>
          <w:tcPr/>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11</w:t>
            </w:r>
          </w:p>
        </w:tc>
        <w:tc>
          <w:tcPr/>
          <w:p w:rsidR="00000000" w:rsidDel="00000000" w:rsidP="00000000" w:rsidRDefault="00000000" w:rsidRPr="00000000" w14:paraId="0000004B">
            <w:pPr>
              <w:tabs>
                <w:tab w:val="left" w:leader="none" w:pos="2320"/>
              </w:tabs>
              <w:rPr>
                <w:rFonts w:ascii="Arial" w:cs="Arial" w:eastAsia="Arial" w:hAnsi="Arial"/>
              </w:rPr>
            </w:pPr>
            <w:r>
              <w:t>Infrastructure (Server / Cloud)</w:t>
            </w:r>
          </w:p>
        </w:tc>
        <w:tc>
          <w:tcPr/>
          <w:p w:rsidR="00000000" w:rsidDel="00000000" w:rsidP="00000000" w:rsidRDefault="00000000" w:rsidRPr="00000000" w14:paraId="0000004C">
            <w:pPr>
              <w:tabs>
                <w:tab w:val="left" w:leader="none" w:pos="2320"/>
              </w:tabs>
              <w:rPr>
                <w:rFonts w:ascii="Arial" w:cs="Arial" w:eastAsia="Arial" w:hAnsi="Arial"/>
              </w:rPr>
            </w:pPr>
            <w:r>
              <w:t>Application deployed on cloud using Docker containers orchestrated with Kubernetes for auto-scaling.</w:t>
              <w:br/>
              <w:t>Local Dev: 16 GB RAM, NVIDIA GPU (CUDA 11+), Ubuntu 22.04</w:t>
              <w:br/>
              <w:t>Cloud: IBM Cloud IKS / AWS EKS (GPU-enabled nodes, NVIDIA T4)</w:t>
            </w:r>
          </w:p>
          <w:p w:rsidR="00000000" w:rsidDel="00000000" w:rsidP="00000000" w:rsidRDefault="00000000" w:rsidRPr="00000000" w14:paraId="0000004D">
            <w:pPr>
              <w:tabs>
                <w:tab w:val="left" w:leader="none" w:pos="2320"/>
              </w:tabs>
              <w:rPr>
                <w:rFonts w:ascii="Arial" w:cs="Arial" w:eastAsia="Arial" w:hAnsi="Arial"/>
              </w:rPr>
            </w:pPr>
          </w:p>
          <w:p w:rsidR="00000000" w:rsidDel="00000000" w:rsidP="00000000" w:rsidRDefault="00000000" w:rsidRPr="00000000" w14:paraId="0000004E">
            <w:pPr>
              <w:tabs>
                <w:tab w:val="left" w:leader="none" w:pos="2320"/>
              </w:tabs>
              <w:rPr>
                <w:rFonts w:ascii="Arial" w:cs="Arial" w:eastAsia="Arial" w:hAnsi="Arial"/>
              </w:rPr>
            </w:pPr>
          </w:p>
        </w:tc>
        <w:tc>
          <w:tcPr/>
          <w:p w:rsidR="00000000" w:rsidDel="00000000" w:rsidP="00000000" w:rsidRDefault="00000000" w:rsidRPr="00000000" w14:paraId="0000004F">
            <w:pPr>
              <w:tabs>
                <w:tab w:val="left" w:leader="none" w:pos="2320"/>
              </w:tabs>
              <w:rPr>
                <w:rFonts w:ascii="Arial" w:cs="Arial" w:eastAsia="Arial" w:hAnsi="Arial"/>
              </w:rPr>
            </w:pPr>
            <w:r>
              <w:t>Docker, Kubernetes (IBM IKS / AWS EKS), Nginx, Gunicorn, CUDA</w:t>
            </w:r>
          </w:p>
        </w:tc>
      </w:tr>
    </w:tbl>
    <w:p w:rsidR="00000000" w:rsidDel="00000000" w:rsidP="00000000" w:rsidRDefault="00000000" w:rsidRPr="00000000" w14:paraId="00000050">
      <w:pPr>
        <w:tabs>
          <w:tab w:val="left" w:leader="none" w:pos="2320"/>
        </w:tabs>
        <w:rPr>
          <w:rFonts w:ascii="Arial" w:cs="Arial" w:eastAsia="Arial" w:hAnsi="Arial"/>
          <w:b w:val="1"/>
        </w:rPr>
      </w:pPr>
      <w:r>
        <w:rPr>
          <w:rtl w:val="0"/>
        </w:rPr>
      </w:r>
    </w:p>
    <w:p w:rsidR="00000000" w:rsidDel="00000000" w:rsidP="00000000" w:rsidRDefault="00000000" w:rsidRPr="00000000" w14:paraId="00000051">
      <w:pPr>
        <w:tabs>
          <w:tab w:val="left" w:leader="none" w:pos="2320"/>
        </w:tabs>
        <w:rPr>
          <w:rFonts w:ascii="Arial" w:cs="Arial" w:eastAsia="Arial" w:hAnsi="Arial"/>
          <w:b w:val="1"/>
        </w:rPr>
      </w:pPr>
      <w:r>
        <w:rPr>
          <w:rFonts w:ascii="Arial" w:cs="Arial" w:eastAsia="Arial" w:hAnsi="Arial"/>
          <w:b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p w:rsidR="00000000" w:rsidDel="00000000" w:rsidP="00000000" w:rsidRDefault="00000000" w:rsidRPr="00000000" w14:paraId="00000052">
            <w:pPr>
              <w:tabs>
                <w:tab w:val="left" w:leader="none" w:pos="2320"/>
              </w:tabs>
              <w:rPr>
                <w:rFonts w:ascii="Arial" w:cs="Arial" w:eastAsia="Arial" w:hAnsi="Arial"/>
                <w:b w:val="1"/>
              </w:rPr>
            </w:pPr>
            <w:r>
              <w:rPr>
                <w:rFonts w:ascii="Arial" w:cs="Arial" w:eastAsia="Arial" w:hAnsi="Arial"/>
                <w:b w:val="1"/>
                <w:rtl w:val="0"/>
              </w:rPr>
              <w:t xml:space="preserve">S.No</w:t>
            </w:r>
          </w:p>
        </w:tc>
        <w:tc>
          <w:tcPr/>
          <w:p w:rsidR="00000000" w:rsidDel="00000000" w:rsidP="00000000" w:rsidRDefault="00000000" w:rsidRPr="00000000" w14:paraId="00000053">
            <w:pPr>
              <w:tabs>
                <w:tab w:val="left" w:leader="none" w:pos="2320"/>
              </w:tabs>
              <w:rPr>
                <w:rFonts w:ascii="Arial" w:cs="Arial" w:eastAsia="Arial" w:hAnsi="Arial"/>
                <w:b w:val="1"/>
              </w:rPr>
            </w:pPr>
            <w:r>
              <w:rPr>
                <w:rFonts w:ascii="Arial" w:cs="Arial" w:eastAsia="Arial" w:hAnsi="Arial"/>
                <w:b w:val="1"/>
                <w:rtl w:val="0"/>
              </w:rPr>
              <w:t xml:space="preserve">Characteristics</w:t>
            </w:r>
          </w:p>
        </w:tc>
        <w:tc>
          <w:tcPr/>
          <w:p w:rsidR="00000000" w:rsidDel="00000000" w:rsidP="00000000" w:rsidRDefault="00000000" w:rsidRPr="00000000" w14:paraId="00000054">
            <w:pPr>
              <w:tabs>
                <w:tab w:val="left" w:leader="none" w:pos="2320"/>
              </w:tabs>
              <w:rPr>
                <w:rFonts w:ascii="Arial" w:cs="Arial" w:eastAsia="Arial" w:hAnsi="Arial"/>
                <w:b w:val="1"/>
              </w:rPr>
            </w:pPr>
            <w:r>
              <w:rPr>
                <w:rFonts w:ascii="Arial" w:cs="Arial" w:eastAsia="Arial" w:hAnsi="Arial"/>
                <w:b w:val="1"/>
                <w:rtl w:val="0"/>
              </w:rPr>
              <w:t xml:space="preserve">Description</w:t>
            </w:r>
          </w:p>
        </w:tc>
        <w:tc>
          <w:tcPr/>
          <w:p w:rsidR="00000000" w:rsidDel="00000000" w:rsidP="00000000" w:rsidRDefault="00000000" w:rsidRPr="00000000" w14:paraId="00000055">
            <w:pPr>
              <w:tabs>
                <w:tab w:val="left" w:leader="none" w:pos="2320"/>
              </w:tabs>
              <w:rPr>
                <w:rFonts w:ascii="Arial" w:cs="Arial" w:eastAsia="Arial" w:hAnsi="Arial"/>
                <w:b w:val="1"/>
              </w:rPr>
            </w:pPr>
            <w:r>
              <w:rPr>
                <w:rFonts w:ascii="Arial" w:cs="Arial" w:eastAsia="Arial" w:hAnsi="Arial"/>
                <w:b w:val="1"/>
                <w:rtl w:val="0"/>
              </w:rPr>
              <w:t xml:space="preserve">Technology </w:t>
            </w:r>
          </w:p>
        </w:tc>
      </w:tr>
      <w:tr>
        <w:trPr>
          <w:cantSplit w:val="0"/>
          <w:trHeight w:val="229" w:hRule="atLeast"/>
          <w:tblHeader w:val="0"/>
        </w:trPr>
        <w:tc>
          <w:tcPr/>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1</w:t>
            </w:r>
          </w:p>
        </w:tc>
        <w:tc>
          <w:tcPr/>
          <w:p w:rsidR="00000000" w:rsidDel="00000000" w:rsidP="00000000" w:rsidRDefault="00000000" w:rsidRPr="00000000" w14:paraId="00000057">
            <w:pPr>
              <w:tabs>
                <w:tab w:val="left" w:leader="none" w:pos="2320"/>
              </w:tabs>
              <w:rPr>
                <w:rFonts w:ascii="Arial" w:cs="Arial" w:eastAsia="Arial" w:hAnsi="Arial"/>
              </w:rPr>
            </w:pPr>
            <w:r>
              <w:t>Open-Source Frameworks</w:t>
            </w:r>
          </w:p>
        </w:tc>
        <w:tc>
          <w:tcPr/>
          <w:p w:rsidR="00000000" w:rsidDel="00000000" w:rsidP="00000000" w:rsidRDefault="00000000" w:rsidRPr="00000000" w14:paraId="00000058">
            <w:pPr>
              <w:tabs>
                <w:tab w:val="left" w:leader="none" w:pos="2320"/>
              </w:tabs>
              <w:rPr>
                <w:rFonts w:ascii="Arial" w:cs="Arial" w:eastAsia="Arial" w:hAnsi="Arial"/>
              </w:rPr>
            </w:pPr>
            <w:r>
              <w:t>TensorFlow/Keras for CNN model training and inference. Flask for RESTful API backend. React.js for responsive web frontend. OpenCV and PIL for image preprocessing. ReportLab for PDF report generation. PostgreSQL as relational database. Pandas for CSV export and data analysis.</w:t>
            </w:r>
          </w:p>
        </w:tc>
        <w:tc>
          <w:tcPr/>
          <w:p w:rsidR="00000000" w:rsidDel="00000000" w:rsidP="00000000" w:rsidRDefault="00000000" w:rsidRPr="00000000" w14:paraId="00000059">
            <w:pPr>
              <w:tabs>
                <w:tab w:val="left" w:leader="none" w:pos="2320"/>
              </w:tabs>
              <w:rPr>
                <w:rFonts w:ascii="Arial" w:cs="Arial" w:eastAsia="Arial" w:hAnsi="Arial"/>
              </w:rPr>
            </w:pPr>
            <w:r>
              <w:t>TensorFlow 2.x, Keras, Flask, React.js, OpenCV 4.x, PIL, ReportLab, PostgreSQL, Pandas</w:t>
            </w:r>
          </w:p>
        </w:tc>
      </w:tr>
      <w:tr>
        <w:trPr>
          <w:cantSplit w:val="0"/>
          <w:trHeight w:val="229" w:hRule="atLeast"/>
          <w:tblHeader w:val="0"/>
        </w:trPr>
        <w:tc>
          <w:tcPr/>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2</w:t>
            </w:r>
          </w:p>
        </w:tc>
        <w:tc>
          <w:tcPr/>
          <w:p w:rsidR="00000000" w:rsidDel="00000000" w:rsidP="00000000" w:rsidRDefault="00000000" w:rsidRPr="00000000" w14:paraId="0000005B">
            <w:pPr>
              <w:tabs>
                <w:tab w:val="left" w:leader="none" w:pos="2320"/>
              </w:tabs>
              <w:rPr>
                <w:rFonts w:ascii="Arial" w:cs="Arial" w:eastAsia="Arial" w:hAnsi="Arial"/>
              </w:rPr>
            </w:pPr>
            <w:r>
              <w:t>Security Implementations</w:t>
            </w:r>
          </w:p>
        </w:tc>
        <w:tc>
          <w:tcPr/>
          <w:p w:rsidR="00000000" w:rsidDel="00000000" w:rsidP="00000000" w:rsidRDefault="00000000" w:rsidRPr="00000000" w14:paraId="0000005C">
            <w:pPr>
              <w:tabs>
                <w:tab w:val="left" w:leader="none" w:pos="2320"/>
              </w:tabs>
              <w:rPr>
                <w:rFonts w:ascii="Arial" w:cs="Arial" w:eastAsia="Arial" w:hAnsi="Arial"/>
              </w:rPr>
            </w:pPr>
            <w:r>
              <w:t>AES-256 encryption for all patient blood smear images and reports at rest. TLS 1.3 for all data in transit. JWT-based authentication with 30-minute session expiry. Role-Based Access Control (RBAC) restricting data access by user role (Clinician / Pathologist / Admin). HIPAA and GDPR compliance. OWASP Top-10 mitigations applied. SQL injection prevention via ORM parameterised queries.</w:t>
            </w:r>
          </w:p>
        </w:tc>
        <w:tc>
          <w:tcPr/>
          <w:p w:rsidR="00000000" w:rsidDel="00000000" w:rsidP="00000000" w:rsidRDefault="00000000" w:rsidRPr="00000000" w14:paraId="0000005D">
            <w:pPr>
              <w:tabs>
                <w:tab w:val="left" w:leader="none" w:pos="2320"/>
              </w:tabs>
              <w:rPr>
                <w:rFonts w:ascii="Arial" w:cs="Arial" w:eastAsia="Arial" w:hAnsi="Arial"/>
              </w:rPr>
            </w:pPr>
            <w:r>
              <w:t>AES-256, TLS 1.3, JWT, RBAC, OWASP Top-10, HIPAA/GDPR, SQLAlchemy ORM</w:t>
            </w:r>
          </w:p>
        </w:tc>
      </w:tr>
      <w:tr>
        <w:trPr>
          <w:cantSplit w:val="0"/>
          <w:trHeight w:val="229" w:hRule="atLeast"/>
          <w:tblHeader w:val="0"/>
        </w:trPr>
        <w:tc>
          <w:tcPr/>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3</w:t>
            </w:r>
          </w:p>
        </w:tc>
        <w:tc>
          <w:tcPr/>
          <w:p w:rsidR="00000000" w:rsidDel="00000000" w:rsidP="00000000" w:rsidRDefault="00000000" w:rsidRPr="00000000" w14:paraId="0000005F">
            <w:pPr>
              <w:tabs>
                <w:tab w:val="left" w:leader="none" w:pos="2320"/>
              </w:tabs>
              <w:rPr>
                <w:rFonts w:ascii="Arial" w:cs="Arial" w:eastAsia="Arial" w:hAnsi="Arial"/>
              </w:rPr>
            </w:pPr>
            <w:r>
              <w:t>Scalable Architecture</w:t>
            </w:r>
          </w:p>
        </w:tc>
        <w:tc>
          <w:tcPr/>
          <w:p w:rsidR="00000000" w:rsidDel="00000000" w:rsidP="00000000" w:rsidRDefault="00000000" w:rsidRPr="00000000" w14:paraId="00000060">
            <w:pPr>
              <w:tabs>
                <w:tab w:val="left" w:leader="none" w:pos="2320"/>
              </w:tabs>
              <w:rPr>
                <w:rFonts w:ascii="Arial" w:cs="Arial" w:eastAsia="Arial" w:hAnsi="Arial"/>
              </w:rPr>
            </w:pPr>
            <w:r>
              <w:t>3-tier architecture: Presentation (React.js SPA), Application (Flask microservices), Data (PostgreSQL + IBM COS). CNN inference deployed as an independent Docker microservice enabling independent horizontal scaling. Kubernetes auto-scales inference pods based on GPU utilisation. Stateless REST API allows multiple application server instances behind a load balancer.</w:t>
            </w:r>
          </w:p>
        </w:tc>
        <w:tc>
          <w:tcPr/>
          <w:p w:rsidR="00000000" w:rsidDel="00000000" w:rsidP="00000000" w:rsidRDefault="00000000" w:rsidRPr="00000000" w14:paraId="00000061">
            <w:pPr>
              <w:tabs>
                <w:tab w:val="left" w:leader="none" w:pos="2320"/>
              </w:tabs>
              <w:rPr>
                <w:rFonts w:ascii="Arial" w:cs="Arial" w:eastAsia="Arial" w:hAnsi="Arial"/>
              </w:rPr>
            </w:pPr>
            <w:r>
              <w:t>Docker, Kubernetes (IKS/EKS), 3-Tier Microservices, Stateless REST API</w:t>
            </w:r>
          </w:p>
        </w:tc>
      </w:tr>
      <w:tr>
        <w:trPr>
          <w:cantSplit w:val="0"/>
          <w:trHeight w:val="229" w:hRule="atLeast"/>
          <w:tblHeader w:val="0"/>
        </w:trPr>
        <w:tc>
          <w:tcPr/>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4</w:t>
            </w:r>
          </w:p>
        </w:tc>
        <w:tc>
          <w:tcPr/>
          <w:p w:rsidR="00000000" w:rsidDel="00000000" w:rsidP="00000000" w:rsidRDefault="00000000" w:rsidRPr="00000000" w14:paraId="00000063">
            <w:pPr>
              <w:tabs>
                <w:tab w:val="left" w:leader="none" w:pos="2320"/>
              </w:tabs>
              <w:rPr>
                <w:rFonts w:ascii="Arial" w:cs="Arial" w:eastAsia="Arial" w:hAnsi="Arial"/>
              </w:rPr>
            </w:pPr>
            <w:r>
              <w:t>Availability</w:t>
            </w:r>
          </w:p>
        </w:tc>
        <w:tc>
          <w:tcPr/>
          <w:p w:rsidR="00000000" w:rsidDel="00000000" w:rsidP="00000000" w:rsidRDefault="00000000" w:rsidRPr="00000000" w14:paraId="00000064">
            <w:pPr>
              <w:tabs>
                <w:tab w:val="left" w:leader="none" w:pos="2320"/>
              </w:tabs>
              <w:rPr>
                <w:rFonts w:ascii="Arial" w:cs="Arial" w:eastAsia="Arial" w:hAnsi="Arial"/>
              </w:rPr>
            </w:pPr>
            <w:r>
              <w:t>99.5% uptime SLA. Nginx load balancer distributes HTTP traffic across multiple Flask application instances. PostgreSQL synchronous read replicas ensure database availability during primary failover. IBM Cloud Object Storage replicates images across two availability zones. Planned maintenance windows restricted to 02:00–04:00 local time. Health check endpoints enable Kubernetes liveness/readiness probes.</w:t>
            </w:r>
          </w:p>
        </w:tc>
        <w:tc>
          <w:tcPr/>
          <w:p w:rsidR="00000000" w:rsidDel="00000000" w:rsidP="00000000" w:rsidRDefault="00000000" w:rsidRPr="00000000" w14:paraId="00000065">
            <w:pPr>
              <w:tabs>
                <w:tab w:val="left" w:leader="none" w:pos="2320"/>
              </w:tabs>
              <w:rPr>
                <w:rFonts w:ascii="Arial" w:cs="Arial" w:eastAsia="Arial" w:hAnsi="Arial"/>
              </w:rPr>
            </w:pPr>
            <w:r>
              <w:t>Nginx Load Balancer, PostgreSQL Replication, Multi-AZ Object Storage, Kubernetes Health Probes</w:t>
            </w:r>
          </w:p>
        </w:tc>
      </w:tr>
      <w:tr>
        <w:trPr>
          <w:cantSplit w:val="0"/>
          <w:trHeight w:val="229" w:hRule="atLeast"/>
          <w:tblHeader w:val="0"/>
        </w:trPr>
        <w:tc>
          <w:tcPr/>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t>5</w:t>
            </w:r>
          </w:p>
        </w:tc>
        <w:tc>
          <w:tcPr/>
          <w:p w:rsidR="00000000" w:rsidDel="00000000" w:rsidP="00000000" w:rsidRDefault="00000000" w:rsidRPr="00000000" w14:paraId="00000067">
            <w:pPr>
              <w:tabs>
                <w:tab w:val="left" w:leader="none" w:pos="2320"/>
              </w:tabs>
              <w:rPr>
                <w:rFonts w:ascii="Arial" w:cs="Arial" w:eastAsia="Arial" w:hAnsi="Arial"/>
              </w:rPr>
            </w:pPr>
            <w:r>
              <w:t>Performance</w:t>
            </w:r>
          </w:p>
        </w:tc>
        <w:tc>
          <w:tcPr/>
          <w:p w:rsidR="00000000" w:rsidDel="00000000" w:rsidP="00000000" w:rsidRDefault="00000000" w:rsidRPr="00000000" w14:paraId="00000068">
            <w:pPr>
              <w:tabs>
                <w:tab w:val="left" w:leader="none" w:pos="2320"/>
              </w:tabs>
              <w:rPr>
                <w:rFonts w:ascii="Arial" w:cs="Arial" w:eastAsia="Arial" w:hAnsi="Arial"/>
              </w:rPr>
            </w:pPr>
            <w:r>
              <w:t>Single blood smear image CNN inference: &lt;5 seconds under standard load. Batch processing of 50 images via Celery async queue: &lt;3 minutes. Web portal initial load: &lt;2 seconds on ≥10 Mbps connection. Redis caching for repeated case lookups reduces DB queries by 60%. GPU-accelerated inference (NVIDIA CUDA) enables 10× faster model forward pass vs CPU-only.</w:t>
            </w:r>
          </w:p>
        </w:tc>
        <w:tc>
          <w:tcPr/>
          <w:p w:rsidR="00000000" w:rsidDel="00000000" w:rsidP="00000000" w:rsidRDefault="00000000" w:rsidRPr="00000000" w14:paraId="00000069">
            <w:pPr>
              <w:tabs>
                <w:tab w:val="left" w:leader="none" w:pos="2320"/>
              </w:tabs>
              <w:rPr>
                <w:rFonts w:ascii="Arial" w:cs="Arial" w:eastAsia="Arial" w:hAnsi="Arial"/>
              </w:rPr>
            </w:pPr>
            <w:r>
              <w:t>Redis Cache, Celery Async Queue, NVIDIA CUDA GPU, Nginx, Gunicorn (4 workers)</w:t>
            </w:r>
          </w:p>
        </w:tc>
      </w:tr>
    </w:tbl>
    <w:p w:rsidR="00000000" w:rsidDel="00000000" w:rsidP="00000000" w:rsidRDefault="00000000" w:rsidRPr="00000000" w14:paraId="0000006A">
      <w:pPr>
        <w:tabs>
          <w:tab w:val="left" w:leader="none" w:pos="2320"/>
        </w:tabs>
        <w:rPr>
          <w:rFonts w:ascii="Arial" w:cs="Arial" w:eastAsia="Arial" w:hAnsi="Arial"/>
          <w:b w:val="1"/>
        </w:rPr>
      </w:pPr>
      <w:r>
        <w:rPr>
          <w:rtl w:val="0"/>
        </w:rPr>
      </w:r>
    </w:p>
    <w:p w:rsidR="00000000" w:rsidDel="00000000" w:rsidP="00000000" w:rsidRDefault="00000000" w:rsidRPr="00000000" w14:paraId="0000006B">
      <w:pPr>
        <w:rPr>
          <w:rFonts w:ascii="Arial" w:cs="Arial" w:eastAsia="Arial" w:hAnsi="Arial"/>
          <w:b w:val="1"/>
        </w:rPr>
      </w:pPr>
      <w:r>
        <w:rPr>
          <w:rtl w:val="0"/>
        </w:rPr>
      </w:r>
    </w:p>
    <w:p w:rsidR="00000000" w:rsidDel="00000000" w:rsidP="00000000" w:rsidRDefault="00000000" w:rsidRPr="00000000" w14:paraId="0000006C">
      <w:pPr>
        <w:rPr>
          <w:rFonts w:ascii="Arial" w:cs="Arial" w:eastAsia="Arial" w:hAnsi="Arial"/>
          <w:b w:val="1"/>
        </w:rPr>
      </w:pPr>
      <w:r>
        <w:rPr>
          <w:rFonts w:ascii="Arial" w:cs="Arial" w:eastAsia="Arial" w:hAnsi="Arial"/>
          <w:b w:val="1"/>
          <w:rtl w:val="0"/>
        </w:rPr>
        <w:t xml:space="preserve">References:</w:t>
      </w:r>
    </w:p>
    <w:p w:rsidR="00000000" w:rsidDel="00000000" w:rsidP="00000000" w:rsidRDefault="00000000" w:rsidRPr="00000000" w14:paraId="0000006D">
      <w:pPr>
        <w:rPr>
          <w:rFonts w:ascii="Arial" w:cs="Arial" w:eastAsia="Arial" w:hAnsi="Arial"/>
          <w:b w:val="1"/>
        </w:rPr>
      </w:pPr>
      <w:hyperlink r:id="rId10">
        <w:r>
          <w:rPr>
            <w:rFonts w:ascii="Arial" w:cs="Arial" w:eastAsia="Arial" w:hAnsi="Arial"/>
            <w:b w:val="1"/>
            <w:color w:val="0563c1"/>
            <w:u w:val="single"/>
            <w:rtl w:val="0"/>
          </w:rPr>
          <w:t xml:space="preserve">https://c4model.com/</w:t>
        </w:r>
      </w:hyperlink>
      <w:r>
        <w:rPr>
          <w:rtl w:val="0"/>
        </w:rPr>
      </w:r>
    </w:p>
    <w:p w:rsidR="00000000" w:rsidDel="00000000" w:rsidP="00000000" w:rsidRDefault="00000000" w:rsidRPr="00000000" w14:paraId="0000006E">
      <w:pPr>
        <w:rPr>
          <w:rFonts w:ascii="Arial" w:cs="Arial" w:eastAsia="Arial" w:hAnsi="Arial"/>
          <w:b w:val="1"/>
        </w:rPr>
      </w:pPr>
      <w:hyperlink r:id="rId11">
        <w:r>
          <w:rPr>
            <w:rFonts w:ascii="Arial" w:cs="Arial" w:eastAsia="Arial" w:hAnsi="Arial"/>
            <w:b w:val="1"/>
            <w:color w:val="0563c1"/>
            <w:u w:val="single"/>
            <w:rtl w:val="0"/>
          </w:rPr>
          <w:t xml:space="preserve">https://developer.ibm.com/patterns/online-order-processing-system-during-pandemic/</w:t>
        </w:r>
      </w:hyperlink>
      <w:r>
        <w:rPr>
          <w:rtl w:val="0"/>
        </w:rPr>
      </w:r>
    </w:p>
    <w:p w:rsidR="00000000" w:rsidDel="00000000" w:rsidP="00000000" w:rsidRDefault="00000000" w:rsidRPr="00000000" w14:paraId="0000006F">
      <w:pPr>
        <w:rPr>
          <w:rFonts w:ascii="Arial" w:cs="Arial" w:eastAsia="Arial" w:hAnsi="Arial"/>
          <w:b w:val="1"/>
        </w:rPr>
      </w:pPr>
      <w:hyperlink r:id="rId12">
        <w:r>
          <w:rPr>
            <w:rFonts w:ascii="Arial" w:cs="Arial" w:eastAsia="Arial" w:hAnsi="Arial"/>
            <w:b w:val="1"/>
            <w:color w:val="0563c1"/>
            <w:u w:val="single"/>
            <w:rtl w:val="0"/>
          </w:rPr>
          <w:t xml:space="preserve">https://www.ibm.com/cloud/architecture</w:t>
        </w:r>
      </w:hyperlink>
      <w:r>
        <w:rPr>
          <w:rtl w:val="0"/>
        </w:rPr>
      </w:r>
    </w:p>
    <w:p w:rsidR="00000000" w:rsidDel="00000000" w:rsidP="00000000" w:rsidRDefault="00000000" w:rsidRPr="00000000" w14:paraId="00000070">
      <w:pPr>
        <w:rPr>
          <w:rFonts w:ascii="Arial" w:cs="Arial" w:eastAsia="Arial" w:hAnsi="Arial"/>
          <w:b w:val="1"/>
        </w:rPr>
      </w:pPr>
      <w:hyperlink r:id="rId13">
        <w:r>
          <w:rPr>
            <w:rFonts w:ascii="Arial" w:cs="Arial" w:eastAsia="Arial" w:hAnsi="Arial"/>
            <w:b w:val="1"/>
            <w:color w:val="0563c1"/>
            <w:u w:val="single"/>
            <w:rtl w:val="0"/>
          </w:rPr>
          <w:t xml:space="preserve">https://aws.amazon.com/architecture</w:t>
        </w:r>
      </w:hyperlink>
      <w:r>
        <w:rPr>
          <w:rtl w:val="0"/>
        </w:rPr>
      </w:r>
    </w:p>
    <w:p w:rsidR="00000000" w:rsidDel="00000000" w:rsidP="00000000" w:rsidRDefault="00000000" w:rsidRPr="00000000" w14:paraId="00000071">
      <w:pPr>
        <w:rPr>
          <w:rFonts w:ascii="Arial" w:cs="Arial" w:eastAsia="Arial" w:hAnsi="Arial"/>
          <w:b w:val="1"/>
        </w:rPr>
      </w:pPr>
      <w:hyperlink r:id="rId14">
        <w:r>
          <w:rPr>
            <w:rFonts w:ascii="Arial" w:cs="Arial" w:eastAsia="Arial" w:hAnsi="Arial"/>
            <w:b w:val="1"/>
            <w:color w:val="0563c1"/>
            <w:u w:val="single"/>
            <w:rtl w:val="0"/>
          </w:rPr>
          <w:t xml:space="preserve">https://medium.com/the-internal-startup/how-to-draw-useful-technical-architecture-diagrams-2d20c9fda90d</w:t>
        </w:r>
      </w:hyperlink>
      <w:r>
        <w:rPr>
          <w:rtl w:val="0"/>
        </w:rPr>
      </w:r>
    </w:p>
    <w:p w:rsidR="00000000" w:rsidDel="00000000" w:rsidP="00000000" w:rsidRDefault="00000000" w:rsidRPr="00000000" w14:paraId="00000072">
      <w:pPr>
        <w:rPr>
          <w:rFonts w:ascii="Arial" w:cs="Arial" w:eastAsia="Arial" w:hAnsi="Arial"/>
          <w:b w:val="1"/>
        </w:rPr>
      </w:pPr>
      <w:r>
        <w:rPr>
          <w:rtl w:val="0"/>
        </w:rPr>
      </w:r>
    </w:p>
    <w:p w:rsidR="00000000" w:rsidDel="00000000" w:rsidP="00000000" w:rsidRDefault="00000000" w:rsidRPr="00000000" w14:paraId="00000073">
      <w:pPr>
        <w:rPr>
          <w:rFonts w:ascii="Arial" w:cs="Arial" w:eastAsia="Arial" w:hAnsi="Arial"/>
          <w:b w:val="1"/>
        </w:rPr>
      </w:pPr>
      <w:r>
        <w:rPr>
          <w:rtl w:val="0"/>
        </w:rPr>
      </w:r>
    </w:p>
    <w:p w:rsidR="00000000" w:rsidDel="00000000" w:rsidP="00000000" w:rsidRDefault="00000000" w:rsidRPr="00000000" w14:paraId="00000074">
      <w:pPr>
        <w:rPr>
          <w:rFonts w:ascii="Arial" w:cs="Arial" w:eastAsia="Arial" w:hAnsi="Arial"/>
          <w:b w:val="1"/>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