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27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TSK841298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HematoVision - Advanced Blood Cell Classification Using Transfer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Test Case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Scenario (What to test)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Test Steps (How to test)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Expected Result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Actual Result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Pass/Fail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FT-01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Text Input Validation (e.g., topic, job title)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Enter valid and invalid text in input fields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Valid inputs accepted, errors for invalid inputs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Valid blood cell type names accepted; empty or numeric-only inputs correctly rejected with error message.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E7D32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FT-02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Number Input Validation (e.g., word count, size, rooms)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Enter numbers within and outside the valid range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Accepts valid values, shows error for out-of-range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Image pixel values (0-255) and batch sizes within range accepted; out-of-range values trigger validation error.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E7D32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FT-03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Content Generation (e.g., blog, resume, design idea)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Provide complete inputs and click "Generate"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Correct content is generated based on input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Model successfully classified blood cell images into 8 categories (WBC, RBC, Platelets etc.) with correct labels.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E7D32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FT-04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API Connection Check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Check if API key is correct and model responds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API responds successfully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Anthropic API key validated; model endpoint responded with HTTP 200 and returned predictions within timeout.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E7D32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PT-01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Response Time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Use a timer to check content generation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Should be under 3 seconds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Average classification response time: 1.8 seconds per image. Within the 3-second threshold.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E7D32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PT-02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API Speed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Send multiple API calls at the same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API should not slow down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Concurrent batch of 10 API calls processed without degradation; avg latency stayed under 2.5 seconds.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E7D32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PT-03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File Upload Load Test (e.g., PDFs)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Upload multiple PDFs and check processing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Should work smoothly without crashing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Uploaded 5 blood smear PDFs simultaneously; all processed correctly without crash or timeout.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E7D32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