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-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Regression Model (Baseline):</w:t>
            </w:r>
            <w:r>
              <w:rPr>
                <w:rFonts w:ascii="Calibri" w:cs="Calibri" w:eastAsia="Calibri" w:hAnsi="Calibri"/>
                <w:rtl w:val="0"/>
              </w:rPr>
              <w:br w:type="textWrapping"/>
              <w:t xml:space="preserve">MAE - 0.042,  MSE - 0.0031,  RMSE - 0.056,  R2 Score - 0.9721</w:t>
              <w:br w:type="textWrapping"/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Classification Model (EfficientNetB3):</w:t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Confusion Matrix - 8x8 matrix (8 blood cell classes),  Accuracy Score - 98.4%,  Classification Report - Precision: 0.98 | Recall: 0.98 | F1-Score: 0.98 | Macro Avg: 0.98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drawing>
                <wp:inline distT="0" distB="0" distL="0" distR="0">
                  <wp:extent cx="2438400" cy="1041874"/>
                  <wp:effectExtent l="0" t="0" r="0" b="0"/>
                  <wp:docPr id="1" name="Metrics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etricsScreenshot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41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Hyperparameter Tuning - Grid Search (Learning Rate: 1e-3, Dropout: 0.3, Batch Size: 32, Epochs: 30). Best Val Accuracy: 96.8%</w:t>
              <w:br w:type="textWrapping"/>
              <w:t xml:space="preserve">Validation Method - 5-Fold Stratified Cross-Validation. Mean Accuracy: 96.9% (±0.15%)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drawing>
                <wp:inline distT="0" distB="0" distL="0" distR="0">
                  <wp:extent cx="2438400" cy="937527"/>
                  <wp:effectExtent l="0" t="0" r="0" b="0"/>
                  <wp:docPr id="2" name="Tuning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uningScreensh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937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