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28"/>
          <w:szCs w:val="28"/>
        </w:rPr>
      </w:pPr>
      <w:r>
        <w:rPr>
          <w:b/>
          <w:sz w:val="28"/>
          <w:szCs w:val="28"/>
        </w:rPr>
        <w:t>Ideation Phase</w:t>
      </w:r>
    </w:p>
    <w:p w14:paraId="00000002">
      <w:pPr>
        <w:spacing w:after="0"/>
        <w:jc w:val="center"/>
        <w:rPr>
          <w:b/>
          <w:sz w:val="28"/>
          <w:szCs w:val="28"/>
        </w:rPr>
      </w:pPr>
      <w:r>
        <w:rPr>
          <w:b/>
          <w:sz w:val="28"/>
          <w:szCs w:val="28"/>
        </w:rPr>
        <w:t>Define the Problem Statements</w:t>
      </w:r>
    </w:p>
    <w:p w14:paraId="00000003">
      <w:pPr>
        <w:spacing w:after="0"/>
        <w:jc w:val="center"/>
        <w:rPr>
          <w:b/>
          <w:sz w:val="28"/>
          <w:szCs w:val="28"/>
        </w:rPr>
      </w:pPr>
    </w:p>
    <w:tbl>
      <w:tblPr>
        <w:tblStyle w:val="16"/>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5CA6F4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4">
            <w:pPr>
              <w:spacing w:after="0" w:line="240" w:lineRule="auto"/>
            </w:pPr>
            <w:r>
              <w:t>Date</w:t>
            </w:r>
          </w:p>
        </w:tc>
        <w:tc>
          <w:tcPr>
            <w:tcW w:w="4508" w:type="dxa"/>
          </w:tcPr>
          <w:p w14:paraId="00000005">
            <w:pPr>
              <w:spacing w:after="0" w:line="240" w:lineRule="auto"/>
            </w:pPr>
            <w:r>
              <w:t>16 June 2025</w:t>
            </w:r>
          </w:p>
        </w:tc>
      </w:tr>
      <w:tr w14:paraId="0C05BD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6">
            <w:pPr>
              <w:spacing w:after="0" w:line="240" w:lineRule="auto"/>
            </w:pPr>
            <w:r>
              <w:t>Team ID</w:t>
            </w:r>
          </w:p>
        </w:tc>
        <w:tc>
          <w:tcPr>
            <w:tcW w:w="4508" w:type="dxa"/>
          </w:tcPr>
          <w:p w14:paraId="00000007">
            <w:pPr>
              <w:spacing w:after="0" w:line="240" w:lineRule="auto"/>
            </w:pPr>
            <w:r>
              <w:rPr>
                <w:rFonts w:hint="default" w:ascii="Times New Roman" w:hAnsi="Times New Roman" w:cs="Times New Roman"/>
                <w:b w:val="0"/>
                <w:bCs w:val="0"/>
                <w:spacing w:val="-2"/>
                <w:sz w:val="22"/>
                <w:szCs w:val="22"/>
              </w:rPr>
              <w:t>LTVIP2025TMID32984</w:t>
            </w:r>
          </w:p>
        </w:tc>
      </w:tr>
      <w:tr w14:paraId="5345E4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8">
            <w:pPr>
              <w:spacing w:after="0" w:line="240" w:lineRule="auto"/>
            </w:pPr>
            <w:r>
              <w:t>Project Name</w:t>
            </w:r>
          </w:p>
        </w:tc>
        <w:tc>
          <w:tcPr>
            <w:tcW w:w="4508" w:type="dxa"/>
          </w:tcPr>
          <w:p w14:paraId="00000009">
            <w:pPr>
              <w:spacing w:after="0" w:line="240" w:lineRule="auto"/>
            </w:pPr>
            <w:r>
              <w:rPr>
                <w:rFonts w:hint="default" w:ascii="Times New Roman" w:hAnsi="Times New Roman" w:cs="Times New Roman"/>
                <w:b w:val="0"/>
                <w:bCs w:val="0"/>
                <w:sz w:val="22"/>
                <w:szCs w:val="22"/>
                <w:lang w:val="en-IN"/>
              </w:rPr>
              <w:t xml:space="preserve">CleanTech: </w:t>
            </w:r>
            <w:r>
              <w:rPr>
                <w:rFonts w:hint="default" w:ascii="Times New Roman" w:hAnsi="Times New Roman" w:cs="Times New Roman"/>
                <w:b w:val="0"/>
                <w:bCs w:val="0"/>
                <w:sz w:val="22"/>
                <w:szCs w:val="22"/>
              </w:rPr>
              <w:t>Transforming</w:t>
            </w:r>
            <w:r>
              <w:rPr>
                <w:rFonts w:hint="default" w:ascii="Times New Roman" w:hAnsi="Times New Roman" w:cs="Times New Roman"/>
                <w:b w:val="0"/>
                <w:bCs w:val="0"/>
                <w:spacing w:val="-6"/>
                <w:sz w:val="22"/>
                <w:szCs w:val="22"/>
              </w:rPr>
              <w:t xml:space="preserve"> </w:t>
            </w:r>
            <w:r>
              <w:rPr>
                <w:rFonts w:hint="default" w:ascii="Times New Roman" w:hAnsi="Times New Roman" w:cs="Times New Roman"/>
                <w:b w:val="0"/>
                <w:bCs w:val="0"/>
                <w:sz w:val="22"/>
                <w:szCs w:val="22"/>
              </w:rPr>
              <w:t>waste</w:t>
            </w:r>
            <w:r>
              <w:rPr>
                <w:rFonts w:hint="default" w:ascii="Times New Roman" w:hAnsi="Times New Roman" w:cs="Times New Roman"/>
                <w:b w:val="0"/>
                <w:bCs w:val="0"/>
                <w:spacing w:val="-7"/>
                <w:sz w:val="22"/>
                <w:szCs w:val="22"/>
              </w:rPr>
              <w:t xml:space="preserve"> </w:t>
            </w:r>
            <w:r>
              <w:rPr>
                <w:rFonts w:hint="default" w:ascii="Times New Roman" w:hAnsi="Times New Roman" w:cs="Times New Roman"/>
                <w:b w:val="0"/>
                <w:bCs w:val="0"/>
                <w:sz w:val="22"/>
                <w:szCs w:val="22"/>
              </w:rPr>
              <w:t>management</w:t>
            </w:r>
            <w:r>
              <w:rPr>
                <w:rFonts w:hint="default" w:ascii="Times New Roman" w:hAnsi="Times New Roman" w:cs="Times New Roman"/>
                <w:b w:val="0"/>
                <w:bCs w:val="0"/>
                <w:spacing w:val="-5"/>
                <w:sz w:val="22"/>
                <w:szCs w:val="22"/>
              </w:rPr>
              <w:t xml:space="preserve"> </w:t>
            </w:r>
            <w:r>
              <w:rPr>
                <w:rFonts w:hint="default" w:ascii="Times New Roman" w:hAnsi="Times New Roman" w:cs="Times New Roman"/>
                <w:b w:val="0"/>
                <w:bCs w:val="0"/>
                <w:sz w:val="22"/>
                <w:szCs w:val="22"/>
              </w:rPr>
              <w:t>with</w:t>
            </w:r>
            <w:r>
              <w:rPr>
                <w:rFonts w:hint="default" w:ascii="Times New Roman" w:hAnsi="Times New Roman" w:cs="Times New Roman"/>
                <w:b w:val="0"/>
                <w:bCs w:val="0"/>
                <w:spacing w:val="-4"/>
                <w:sz w:val="22"/>
                <w:szCs w:val="22"/>
              </w:rPr>
              <w:t xml:space="preserve"> </w:t>
            </w:r>
            <w:r>
              <w:rPr>
                <w:rFonts w:hint="default" w:ascii="Times New Roman" w:hAnsi="Times New Roman" w:cs="Times New Roman"/>
                <w:b w:val="0"/>
                <w:bCs w:val="0"/>
                <w:sz w:val="22"/>
                <w:szCs w:val="22"/>
              </w:rPr>
              <w:t>transfer</w:t>
            </w:r>
            <w:r>
              <w:rPr>
                <w:rFonts w:hint="default" w:ascii="Times New Roman" w:hAnsi="Times New Roman" w:cs="Times New Roman"/>
                <w:b w:val="0"/>
                <w:bCs w:val="0"/>
                <w:spacing w:val="-7"/>
                <w:sz w:val="22"/>
                <w:szCs w:val="22"/>
              </w:rPr>
              <w:t xml:space="preserve"> </w:t>
            </w:r>
            <w:r>
              <w:rPr>
                <w:rFonts w:hint="default" w:ascii="Times New Roman" w:hAnsi="Times New Roman" w:cs="Times New Roman"/>
                <w:b w:val="0"/>
                <w:bCs w:val="0"/>
                <w:sz w:val="22"/>
                <w:szCs w:val="22"/>
              </w:rPr>
              <w:t xml:space="preserve">learning </w:t>
            </w:r>
          </w:p>
        </w:tc>
      </w:tr>
      <w:tr w14:paraId="3B5EBC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A">
            <w:pPr>
              <w:spacing w:after="0" w:line="240" w:lineRule="auto"/>
            </w:pPr>
            <w:r>
              <w:t>Maximum Marks</w:t>
            </w:r>
          </w:p>
        </w:tc>
        <w:tc>
          <w:tcPr>
            <w:tcW w:w="4508" w:type="dxa"/>
          </w:tcPr>
          <w:p w14:paraId="0000000B">
            <w:pPr>
              <w:spacing w:after="0" w:line="240" w:lineRule="auto"/>
            </w:pPr>
            <w:r>
              <w:t>2 Marks</w:t>
            </w:r>
          </w:p>
        </w:tc>
      </w:tr>
    </w:tbl>
    <w:p w14:paraId="0000000C">
      <w:pPr>
        <w:rPr>
          <w:b/>
          <w:sz w:val="24"/>
          <w:szCs w:val="24"/>
        </w:rPr>
      </w:pPr>
    </w:p>
    <w:p w14:paraId="0000000D">
      <w:pPr>
        <w:rPr>
          <w:b/>
          <w:sz w:val="24"/>
          <w:szCs w:val="24"/>
        </w:rPr>
      </w:pPr>
      <w:r>
        <w:rPr>
          <w:b/>
          <w:sz w:val="24"/>
          <w:szCs w:val="24"/>
        </w:rPr>
        <w:t>Customer Problem Statement Template:</w:t>
      </w:r>
    </w:p>
    <w:p w14:paraId="0000000E">
      <w:pPr>
        <w:jc w:val="both"/>
        <w:rPr>
          <w:sz w:val="24"/>
          <w:szCs w:val="24"/>
        </w:rPr>
      </w:pPr>
      <w:r>
        <w:rPr>
          <w:sz w:val="24"/>
          <w:szCs w:val="24"/>
        </w:rPr>
        <w:t>Create a problem statement to understand your customer's point of view. The Customer Problem Statement template helps you focus on what matters to create experiences people will love.</w:t>
      </w:r>
    </w:p>
    <w:p w14:paraId="0000000F">
      <w:pPr>
        <w:jc w:val="both"/>
        <w:rPr>
          <w:sz w:val="24"/>
          <w:szCs w:val="24"/>
        </w:rPr>
      </w:pPr>
      <w:r>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00000010">
      <w:pPr>
        <w:rPr>
          <w:rFonts w:hint="default"/>
          <w:sz w:val="24"/>
          <w:szCs w:val="24"/>
          <w:lang w:val="en-IN"/>
        </w:rPr>
      </w:pPr>
      <w:r>
        <w:rPr>
          <w:rFonts w:hint="default"/>
          <w:sz w:val="24"/>
          <w:szCs w:val="24"/>
          <w:lang w:val="en-IN"/>
        </w:rPr>
        <w:drawing>
          <wp:inline distT="0" distB="0" distL="114300" distR="114300">
            <wp:extent cx="6261100" cy="4055745"/>
            <wp:effectExtent l="0" t="0" r="2540" b="13335"/>
            <wp:docPr id="1" name="Picture 1" descr="ChatGPT Image Jul 20, 2025, 12_46_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Jul 20, 2025, 12_46_55 PM"/>
                    <pic:cNvPicPr>
                      <a:picLocks noChangeAspect="1"/>
                    </pic:cNvPicPr>
                  </pic:nvPicPr>
                  <pic:blipFill>
                    <a:blip r:embed="rId6"/>
                    <a:stretch>
                      <a:fillRect/>
                    </a:stretch>
                  </pic:blipFill>
                  <pic:spPr>
                    <a:xfrm>
                      <a:off x="0" y="0"/>
                      <a:ext cx="6261100" cy="4055745"/>
                    </a:xfrm>
                    <a:prstGeom prst="rect">
                      <a:avLst/>
                    </a:prstGeom>
                  </pic:spPr>
                </pic:pic>
              </a:graphicData>
            </a:graphic>
          </wp:inline>
        </w:drawing>
      </w:r>
    </w:p>
    <w:p w14:paraId="00000011">
      <w:pPr>
        <w:rPr>
          <w:sz w:val="24"/>
          <w:szCs w:val="24"/>
        </w:rPr>
      </w:pPr>
      <w:r>
        <w:rPr>
          <w:sz w:val="24"/>
          <w:szCs w:val="24"/>
        </w:rPr>
        <w:t xml:space="preserve">Reference: </w:t>
      </w:r>
      <w:r>
        <w:fldChar w:fldCharType="begin"/>
      </w:r>
      <w:r>
        <w:instrText xml:space="preserve"> HYPERLINK "https://miro.com/templates/customer-problem-statement/" \h </w:instrText>
      </w:r>
      <w:r>
        <w:fldChar w:fldCharType="separate"/>
      </w:r>
      <w:r>
        <w:rPr>
          <w:color w:val="0563C1"/>
          <w:sz w:val="24"/>
          <w:szCs w:val="24"/>
          <w:u w:val="single"/>
        </w:rPr>
        <w:t>https://miro.com/templates/customer-problem-statement/</w:t>
      </w:r>
      <w:r>
        <w:rPr>
          <w:color w:val="0563C1"/>
          <w:sz w:val="24"/>
          <w:szCs w:val="24"/>
          <w:u w:val="single"/>
        </w:rPr>
        <w:fldChar w:fldCharType="end"/>
      </w:r>
    </w:p>
    <w:p w14:paraId="00000012">
      <w:pPr>
        <w:rPr>
          <w:b/>
          <w:sz w:val="24"/>
          <w:szCs w:val="24"/>
        </w:rPr>
      </w:pPr>
    </w:p>
    <w:p w14:paraId="00000013">
      <w:pPr>
        <w:rPr>
          <w:sz w:val="24"/>
          <w:szCs w:val="24"/>
        </w:rPr>
      </w:pPr>
    </w:p>
    <w:tbl>
      <w:tblPr>
        <w:tblStyle w:val="17"/>
        <w:tblW w:w="962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7"/>
        <w:gridCol w:w="1579"/>
        <w:gridCol w:w="1579"/>
        <w:gridCol w:w="1326"/>
        <w:gridCol w:w="1437"/>
        <w:gridCol w:w="2339"/>
      </w:tblGrid>
      <w:tr w14:paraId="3C6451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5" w:hRule="atLeast"/>
        </w:trPr>
        <w:tc>
          <w:tcPr>
            <w:tcW w:w="1367" w:type="dxa"/>
          </w:tcPr>
          <w:p w14:paraId="00000014">
            <w:pPr>
              <w:spacing w:after="0" w:line="240" w:lineRule="auto"/>
              <w:rPr>
                <w:b/>
                <w:sz w:val="24"/>
                <w:szCs w:val="24"/>
              </w:rPr>
            </w:pPr>
            <w:r>
              <w:rPr>
                <w:b/>
                <w:sz w:val="24"/>
                <w:szCs w:val="24"/>
              </w:rPr>
              <w:t>Problem Statement (PS)</w:t>
            </w:r>
          </w:p>
        </w:tc>
        <w:tc>
          <w:tcPr>
            <w:tcW w:w="1579" w:type="dxa"/>
          </w:tcPr>
          <w:p w14:paraId="00000015">
            <w:pPr>
              <w:spacing w:after="0" w:line="240" w:lineRule="auto"/>
              <w:rPr>
                <w:b/>
                <w:sz w:val="24"/>
                <w:szCs w:val="24"/>
              </w:rPr>
            </w:pPr>
            <w:r>
              <w:rPr>
                <w:b/>
                <w:sz w:val="24"/>
                <w:szCs w:val="24"/>
              </w:rPr>
              <w:t>I am (Customer)</w:t>
            </w:r>
          </w:p>
        </w:tc>
        <w:tc>
          <w:tcPr>
            <w:tcW w:w="1579" w:type="dxa"/>
          </w:tcPr>
          <w:p w14:paraId="00000016">
            <w:pPr>
              <w:spacing w:after="0" w:line="240" w:lineRule="auto"/>
              <w:rPr>
                <w:b/>
                <w:sz w:val="24"/>
                <w:szCs w:val="24"/>
              </w:rPr>
            </w:pPr>
            <w:r>
              <w:rPr>
                <w:b/>
                <w:sz w:val="24"/>
                <w:szCs w:val="24"/>
              </w:rPr>
              <w:t>I’m trying to</w:t>
            </w:r>
          </w:p>
        </w:tc>
        <w:tc>
          <w:tcPr>
            <w:tcW w:w="1326" w:type="dxa"/>
          </w:tcPr>
          <w:p w14:paraId="00000017">
            <w:pPr>
              <w:spacing w:after="0" w:line="240" w:lineRule="auto"/>
              <w:rPr>
                <w:b/>
                <w:sz w:val="24"/>
                <w:szCs w:val="24"/>
              </w:rPr>
            </w:pPr>
            <w:r>
              <w:rPr>
                <w:b/>
                <w:sz w:val="24"/>
                <w:szCs w:val="24"/>
              </w:rPr>
              <w:t>But</w:t>
            </w:r>
          </w:p>
        </w:tc>
        <w:tc>
          <w:tcPr>
            <w:tcW w:w="1437" w:type="dxa"/>
          </w:tcPr>
          <w:p w14:paraId="00000018">
            <w:pPr>
              <w:spacing w:after="0" w:line="240" w:lineRule="auto"/>
              <w:rPr>
                <w:b/>
                <w:sz w:val="24"/>
                <w:szCs w:val="24"/>
              </w:rPr>
            </w:pPr>
            <w:r>
              <w:rPr>
                <w:b/>
                <w:sz w:val="24"/>
                <w:szCs w:val="24"/>
              </w:rPr>
              <w:t>Because</w:t>
            </w:r>
          </w:p>
        </w:tc>
        <w:tc>
          <w:tcPr>
            <w:tcW w:w="2339" w:type="dxa"/>
          </w:tcPr>
          <w:p w14:paraId="00000019">
            <w:pPr>
              <w:spacing w:after="0" w:line="240" w:lineRule="auto"/>
              <w:rPr>
                <w:b/>
                <w:sz w:val="24"/>
                <w:szCs w:val="24"/>
              </w:rPr>
            </w:pPr>
            <w:r>
              <w:rPr>
                <w:b/>
                <w:sz w:val="24"/>
                <w:szCs w:val="24"/>
              </w:rPr>
              <w:t>Which makes me feel</w:t>
            </w:r>
          </w:p>
        </w:tc>
      </w:tr>
      <w:tr w14:paraId="6F8FAE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367" w:type="dxa"/>
          </w:tcPr>
          <w:p w14:paraId="0000001A">
            <w:pPr>
              <w:spacing w:after="0" w:line="240" w:lineRule="auto"/>
              <w:rPr>
                <w:sz w:val="24"/>
                <w:szCs w:val="24"/>
              </w:rPr>
            </w:pPr>
            <w:r>
              <w:rPr>
                <w:sz w:val="24"/>
                <w:szCs w:val="24"/>
              </w:rPr>
              <w:t>PS-1</w:t>
            </w:r>
          </w:p>
        </w:tc>
        <w:tc>
          <w:tcPr>
            <w:tcW w:w="1579" w:type="dxa"/>
          </w:tcPr>
          <w:p w14:paraId="0000001B">
            <w:pPr>
              <w:spacing w:after="0" w:line="240" w:lineRule="auto"/>
              <w:rPr>
                <w:sz w:val="24"/>
                <w:szCs w:val="24"/>
              </w:rPr>
            </w:pPr>
            <w:r>
              <w:rPr>
                <w:rFonts w:hint="default" w:ascii="Calibri" w:hAnsi="Calibri" w:eastAsia="SimSun" w:cs="Calibri"/>
                <w:b w:val="0"/>
                <w:bCs w:val="0"/>
                <w:sz w:val="22"/>
                <w:szCs w:val="22"/>
              </w:rPr>
              <w:t xml:space="preserve">As a </w:t>
            </w:r>
            <w:r>
              <w:rPr>
                <w:rStyle w:val="11"/>
                <w:rFonts w:hint="default" w:ascii="Calibri" w:hAnsi="Calibri" w:eastAsia="SimSun" w:cs="Calibri"/>
                <w:b w:val="0"/>
                <w:bCs w:val="0"/>
                <w:sz w:val="22"/>
                <w:szCs w:val="22"/>
              </w:rPr>
              <w:t>municipal waste officer</w:t>
            </w:r>
          </w:p>
        </w:tc>
        <w:tc>
          <w:tcPr>
            <w:tcW w:w="1579" w:type="dxa"/>
          </w:tcPr>
          <w:p w14:paraId="0000001C">
            <w:pPr>
              <w:spacing w:after="0" w:line="240" w:lineRule="auto"/>
              <w:rPr>
                <w:sz w:val="24"/>
                <w:szCs w:val="24"/>
              </w:rPr>
            </w:pPr>
            <w:r>
              <w:rPr>
                <w:rStyle w:val="11"/>
                <w:rFonts w:hint="default" w:ascii="Calibri" w:hAnsi="Calibri" w:eastAsia="SimSun" w:cs="Calibri"/>
                <w:b w:val="0"/>
                <w:bCs w:val="0"/>
                <w:sz w:val="22"/>
                <w:szCs w:val="22"/>
              </w:rPr>
              <w:t>efficiently sort and manage household waste</w:t>
            </w:r>
          </w:p>
        </w:tc>
        <w:tc>
          <w:tcPr>
            <w:tcW w:w="1326" w:type="dxa"/>
          </w:tcPr>
          <w:p w14:paraId="0000001D">
            <w:pPr>
              <w:spacing w:after="0" w:line="240" w:lineRule="auto"/>
              <w:rPr>
                <w:sz w:val="24"/>
                <w:szCs w:val="24"/>
              </w:rPr>
            </w:pPr>
            <w:r>
              <w:rPr>
                <w:rFonts w:hint="default" w:ascii="Calibri" w:hAnsi="Calibri" w:eastAsia="SimSun" w:cs="Calibri"/>
                <w:sz w:val="22"/>
                <w:szCs w:val="22"/>
              </w:rPr>
              <w:t>manual classification is slow, inaccurate, and lacks consistency</w:t>
            </w:r>
          </w:p>
        </w:tc>
        <w:tc>
          <w:tcPr>
            <w:tcW w:w="1437" w:type="dxa"/>
          </w:tcPr>
          <w:p w14:paraId="0000001E">
            <w:pPr>
              <w:spacing w:after="0" w:line="240" w:lineRule="auto"/>
              <w:rPr>
                <w:sz w:val="24"/>
                <w:szCs w:val="24"/>
              </w:rPr>
            </w:pPr>
            <w:r>
              <w:rPr>
                <w:rFonts w:hint="default" w:ascii="Calibri" w:hAnsi="Calibri" w:eastAsia="SimSun" w:cs="Calibri"/>
                <w:b w:val="0"/>
                <w:bCs w:val="0"/>
                <w:sz w:val="22"/>
                <w:szCs w:val="22"/>
              </w:rPr>
              <w:t>there are no accessible AI-based tools or real-time waste identification systems</w:t>
            </w:r>
          </w:p>
        </w:tc>
        <w:tc>
          <w:tcPr>
            <w:tcW w:w="2339" w:type="dxa"/>
          </w:tcPr>
          <w:p w14:paraId="0000001F">
            <w:pPr>
              <w:spacing w:after="0" w:line="240" w:lineRule="auto"/>
              <w:rPr>
                <w:sz w:val="24"/>
                <w:szCs w:val="24"/>
              </w:rPr>
            </w:pPr>
            <w:r>
              <w:rPr>
                <w:rStyle w:val="11"/>
                <w:rFonts w:hint="default" w:ascii="Calibri" w:hAnsi="Calibri" w:eastAsia="SimSun" w:cs="Calibri"/>
                <w:b w:val="0"/>
                <w:bCs w:val="0"/>
                <w:sz w:val="22"/>
                <w:szCs w:val="22"/>
              </w:rPr>
              <w:t>frustrated and under-equipped to meet sustainability goals</w:t>
            </w:r>
            <w:r>
              <w:rPr>
                <w:rFonts w:hint="default" w:ascii="Calibri" w:hAnsi="Calibri" w:eastAsia="SimSun" w:cs="Calibri"/>
                <w:b w:val="0"/>
                <w:bCs w:val="0"/>
                <w:sz w:val="22"/>
                <w:szCs w:val="22"/>
              </w:rPr>
              <w:t>.</w:t>
            </w:r>
          </w:p>
        </w:tc>
      </w:tr>
      <w:tr w14:paraId="762608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8" w:hRule="atLeast"/>
        </w:trPr>
        <w:tc>
          <w:tcPr>
            <w:tcW w:w="1367" w:type="dxa"/>
          </w:tcPr>
          <w:p w14:paraId="00000020">
            <w:pPr>
              <w:spacing w:after="0" w:line="240" w:lineRule="auto"/>
              <w:rPr>
                <w:sz w:val="24"/>
                <w:szCs w:val="24"/>
              </w:rPr>
            </w:pPr>
            <w:r>
              <w:rPr>
                <w:sz w:val="24"/>
                <w:szCs w:val="24"/>
              </w:rPr>
              <w:t>PS-2</w:t>
            </w:r>
          </w:p>
        </w:tc>
        <w:tc>
          <w:tcPr>
            <w:tcW w:w="1579" w:type="dxa"/>
          </w:tcPr>
          <w:p w14:paraId="00000021">
            <w:pPr>
              <w:spacing w:after="0" w:line="240" w:lineRule="auto"/>
              <w:rPr>
                <w:sz w:val="24"/>
                <w:szCs w:val="24"/>
              </w:rPr>
            </w:pPr>
            <w:r>
              <w:rPr>
                <w:rFonts w:hint="default" w:ascii="Calibri" w:hAnsi="Calibri" w:eastAsia="SimSun" w:cs="Calibri"/>
                <w:b w:val="0"/>
                <w:bCs w:val="0"/>
                <w:sz w:val="22"/>
                <w:szCs w:val="22"/>
              </w:rPr>
              <w:t xml:space="preserve">As a </w:t>
            </w:r>
            <w:r>
              <w:rPr>
                <w:rStyle w:val="11"/>
                <w:rFonts w:hint="default" w:ascii="Calibri" w:hAnsi="Calibri" w:eastAsia="SimSun" w:cs="Calibri"/>
                <w:b w:val="0"/>
                <w:bCs w:val="0"/>
                <w:sz w:val="22"/>
                <w:szCs w:val="22"/>
              </w:rPr>
              <w:t>citizen</w:t>
            </w:r>
          </w:p>
        </w:tc>
        <w:tc>
          <w:tcPr>
            <w:tcW w:w="1579" w:type="dxa"/>
          </w:tcPr>
          <w:p w14:paraId="00000022">
            <w:pPr>
              <w:spacing w:after="0" w:line="240" w:lineRule="auto"/>
              <w:rPr>
                <w:rFonts w:hint="default" w:ascii="Calibri" w:hAnsi="Calibri" w:cs="Calibri"/>
                <w:sz w:val="22"/>
                <w:szCs w:val="22"/>
              </w:rPr>
            </w:pPr>
            <w:r>
              <w:rPr>
                <w:rFonts w:hint="default" w:ascii="Calibri" w:hAnsi="Calibri" w:eastAsia="SimSun" w:cs="Calibri"/>
                <w:sz w:val="22"/>
                <w:szCs w:val="22"/>
              </w:rPr>
              <w:t>properly dispose of my waste by category</w:t>
            </w:r>
          </w:p>
        </w:tc>
        <w:tc>
          <w:tcPr>
            <w:tcW w:w="1326" w:type="dxa"/>
          </w:tcPr>
          <w:p w14:paraId="00000023">
            <w:pPr>
              <w:spacing w:after="0" w:line="240" w:lineRule="auto"/>
              <w:rPr>
                <w:rFonts w:hint="default" w:ascii="Calibri" w:hAnsi="Calibri" w:cs="Calibri"/>
                <w:sz w:val="22"/>
                <w:szCs w:val="22"/>
              </w:rPr>
            </w:pPr>
            <w:r>
              <w:rPr>
                <w:rFonts w:hint="default" w:ascii="Calibri" w:hAnsi="Calibri" w:eastAsia="SimSun" w:cs="Calibri"/>
                <w:sz w:val="22"/>
                <w:szCs w:val="22"/>
              </w:rPr>
              <w:t>I often don’t know how to identify the correct category</w:t>
            </w:r>
          </w:p>
        </w:tc>
        <w:tc>
          <w:tcPr>
            <w:tcW w:w="1437" w:type="dxa"/>
          </w:tcPr>
          <w:p w14:paraId="00000024">
            <w:pPr>
              <w:spacing w:after="0" w:line="240" w:lineRule="auto"/>
              <w:rPr>
                <w:rFonts w:hint="default" w:ascii="Calibri" w:hAnsi="Calibri" w:cs="Calibri"/>
                <w:sz w:val="22"/>
                <w:szCs w:val="22"/>
              </w:rPr>
            </w:pPr>
            <w:r>
              <w:rPr>
                <w:rFonts w:hint="default" w:ascii="Calibri" w:hAnsi="Calibri" w:eastAsia="SimSun" w:cs="Calibri"/>
                <w:sz w:val="22"/>
                <w:szCs w:val="22"/>
              </w:rPr>
              <w:t>waste items look similar and there’s no simple tool to guide me</w:t>
            </w:r>
          </w:p>
        </w:tc>
        <w:tc>
          <w:tcPr>
            <w:tcW w:w="2339" w:type="dxa"/>
          </w:tcPr>
          <w:p w14:paraId="00000025">
            <w:pPr>
              <w:spacing w:after="0" w:line="240" w:lineRule="auto"/>
              <w:rPr>
                <w:rFonts w:hint="default" w:ascii="Calibri" w:hAnsi="Calibri" w:cs="Calibri"/>
                <w:sz w:val="22"/>
                <w:szCs w:val="22"/>
              </w:rPr>
            </w:pPr>
            <w:r>
              <w:rPr>
                <w:rFonts w:hint="default" w:ascii="Calibri" w:hAnsi="Calibri" w:eastAsia="SimSun" w:cs="Calibri"/>
                <w:sz w:val="22"/>
                <w:szCs w:val="22"/>
              </w:rPr>
              <w:t>confused and discouraged from participating in eco-friendly practice</w:t>
            </w:r>
          </w:p>
        </w:tc>
      </w:tr>
    </w:tbl>
    <w:p w14:paraId="00000026">
      <w:pPr>
        <w:rPr>
          <w:sz w:val="24"/>
          <w:szCs w:val="24"/>
        </w:rPr>
      </w:pPr>
      <w:bookmarkStart w:id="0" w:name="_GoBack"/>
      <w:bookmarkEnd w:id="0"/>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Century">
    <w:panose1 w:val="02040604050505020304"/>
    <w:charset w:val="00"/>
    <w:family w:val="auto"/>
    <w:pitch w:val="default"/>
    <w:sig w:usb0="00000287" w:usb1="00000000" w:usb2="00000000" w:usb3="00000000" w:csb0="2000009F" w:csb1="DFD70000"/>
  </w:font>
  <w:font w:name="Calibri">
    <w:panose1 w:val="020F0502020204030204"/>
    <w:charset w:val="00"/>
    <w:family w:val="auto"/>
    <w:pitch w:val="default"/>
    <w:sig w:usb0="E4002EFF" w:usb1="C200247B" w:usb2="00000009" w:usb3="00000000" w:csb0="200001FF" w:csb1="00000000"/>
  </w:font>
  <w:font w:name="Corbel">
    <w:panose1 w:val="020B0503020204020204"/>
    <w:charset w:val="00"/>
    <w:family w:val="auto"/>
    <w:pitch w:val="default"/>
    <w:sig w:usb0="A00002EF" w:usb1="4000A44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DCA"/>
    <w:rsid w:val="0002678A"/>
    <w:rsid w:val="00205C57"/>
    <w:rsid w:val="00552DCA"/>
    <w:rsid w:val="2F835EFD"/>
    <w:rsid w:val="30D46628"/>
    <w:rsid w:val="32142838"/>
    <w:rsid w:val="710D4B86"/>
    <w:rsid w:val="7DAA2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styleId="11">
    <w:name w:val="Strong"/>
    <w:basedOn w:val="8"/>
    <w:qFormat/>
    <w:uiPriority w:val="22"/>
    <w:rPr>
      <w:b/>
      <w:bCs/>
    </w:rPr>
  </w:style>
  <w:style w:type="paragraph" w:styleId="12">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3">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before="480" w:after="120"/>
    </w:pPr>
    <w:rPr>
      <w:b/>
      <w:sz w:val="72"/>
      <w:szCs w:val="72"/>
    </w:rPr>
  </w:style>
  <w:style w:type="character" w:customStyle="1" w:styleId="15">
    <w:name w:val="Unresolved Mention"/>
    <w:basedOn w:val="8"/>
    <w:semiHidden/>
    <w:unhideWhenUsed/>
    <w:qFormat/>
    <w:uiPriority w:val="99"/>
    <w:rPr>
      <w:color w:val="605E5C"/>
      <w:shd w:val="clear" w:color="auto" w:fill="E1DFDD"/>
    </w:rPr>
  </w:style>
  <w:style w:type="table" w:customStyle="1" w:styleId="16">
    <w:name w:val="_Style 14"/>
    <w:basedOn w:val="9"/>
    <w:qFormat/>
    <w:uiPriority w:val="0"/>
    <w:pPr>
      <w:spacing w:after="0" w:line="240" w:lineRule="auto"/>
    </w:pPr>
  </w:style>
  <w:style w:type="table" w:customStyle="1" w:styleId="17">
    <w:name w:val="_Style 15"/>
    <w:basedOn w:val="9"/>
    <w:qFormat/>
    <w:uiPriority w:val="0"/>
    <w:pPr>
      <w:spacing w:after="0" w:line="240" w:lineRule="auto"/>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Pages>
  <Words>202</Words>
  <Characters>1153</Characters>
  <Lines>9</Lines>
  <Paragraphs>2</Paragraphs>
  <TotalTime>4</TotalTime>
  <ScaleCrop>false</ScaleCrop>
  <LinksUpToDate>false</LinksUpToDate>
  <CharactersWithSpaces>1353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Shiva Akshith</cp:lastModifiedBy>
  <dcterms:modified xsi:type="dcterms:W3CDTF">2025-07-20T07:23:48Z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BADFB9F279CF4434A9D0FBA7308A7C9B_13</vt:lpwstr>
  </property>
</Properties>
</file>