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28"/>
          <w:szCs w:val="28"/>
        </w:rPr>
      </w:pPr>
      <w:r>
        <w:rPr>
          <w:b/>
          <w:sz w:val="28"/>
          <w:szCs w:val="28"/>
        </w:rPr>
        <w:t>Ideation Phase</w:t>
      </w:r>
    </w:p>
    <w:p w14:paraId="00000002">
      <w:pPr>
        <w:spacing w:after="0"/>
        <w:jc w:val="center"/>
        <w:rPr>
          <w:b/>
          <w:sz w:val="28"/>
          <w:szCs w:val="28"/>
        </w:rPr>
      </w:pPr>
      <w:r>
        <w:rPr>
          <w:b/>
          <w:sz w:val="28"/>
          <w:szCs w:val="28"/>
        </w:rPr>
        <w:t>Empathize &amp; Discover</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2CF290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4">
            <w:pPr>
              <w:spacing w:after="0" w:line="240" w:lineRule="auto"/>
            </w:pPr>
            <w:r>
              <w:t>Date</w:t>
            </w:r>
          </w:p>
        </w:tc>
        <w:tc>
          <w:tcPr>
            <w:tcW w:w="4508" w:type="dxa"/>
          </w:tcPr>
          <w:p w14:paraId="00000005">
            <w:pPr>
              <w:spacing w:after="0" w:line="240" w:lineRule="auto"/>
            </w:pPr>
            <w:r>
              <w:t>17 June 2025</w:t>
            </w:r>
          </w:p>
        </w:tc>
      </w:tr>
      <w:tr w14:paraId="7098C1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6">
            <w:pPr>
              <w:spacing w:after="0" w:line="240" w:lineRule="auto"/>
            </w:pPr>
            <w:r>
              <w:t>Team ID</w:t>
            </w:r>
          </w:p>
        </w:tc>
        <w:tc>
          <w:tcPr>
            <w:tcW w:w="4508" w:type="dxa"/>
          </w:tcPr>
          <w:p w14:paraId="00000007">
            <w:pPr>
              <w:spacing w:after="0" w:line="240" w:lineRule="auto"/>
            </w:pPr>
            <w:r>
              <w:rPr>
                <w:rFonts w:hint="default" w:ascii="Times New Roman" w:hAnsi="Times New Roman" w:cs="Times New Roman"/>
                <w:b w:val="0"/>
                <w:bCs w:val="0"/>
                <w:spacing w:val="-2"/>
                <w:sz w:val="22"/>
                <w:szCs w:val="22"/>
              </w:rPr>
              <w:t>LTVIP2025TMID32984</w:t>
            </w:r>
          </w:p>
        </w:tc>
      </w:tr>
      <w:tr w14:paraId="2F3BD9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8">
            <w:pPr>
              <w:spacing w:after="0" w:line="240" w:lineRule="auto"/>
            </w:pPr>
            <w:r>
              <w:t>Project Name</w:t>
            </w:r>
          </w:p>
        </w:tc>
        <w:tc>
          <w:tcPr>
            <w:tcW w:w="4508" w:type="dxa"/>
          </w:tcPr>
          <w:p w14:paraId="00000009">
            <w:pPr>
              <w:spacing w:after="0" w:line="240" w:lineRule="auto"/>
            </w:pPr>
            <w:r>
              <w:rPr>
                <w:rFonts w:hint="default" w:ascii="Times New Roman" w:hAnsi="Times New Roman" w:cs="Times New Roman"/>
                <w:b w:val="0"/>
                <w:bCs w:val="0"/>
                <w:sz w:val="22"/>
                <w:szCs w:val="22"/>
                <w:lang w:val="en-IN"/>
              </w:rPr>
              <w:t xml:space="preserve">CleanTech: </w:t>
            </w:r>
            <w:r>
              <w:rPr>
                <w:rFonts w:hint="default" w:ascii="Times New Roman" w:hAnsi="Times New Roman" w:cs="Times New Roman"/>
                <w:b w:val="0"/>
                <w:bCs w:val="0"/>
                <w:sz w:val="22"/>
                <w:szCs w:val="22"/>
              </w:rPr>
              <w:t>Transforming</w:t>
            </w:r>
            <w:r>
              <w:rPr>
                <w:rFonts w:hint="default" w:ascii="Times New Roman" w:hAnsi="Times New Roman" w:cs="Times New Roman"/>
                <w:b w:val="0"/>
                <w:bCs w:val="0"/>
                <w:spacing w:val="-6"/>
                <w:sz w:val="22"/>
                <w:szCs w:val="22"/>
              </w:rPr>
              <w:t xml:space="preserve"> </w:t>
            </w:r>
            <w:r>
              <w:rPr>
                <w:rFonts w:hint="default" w:ascii="Times New Roman" w:hAnsi="Times New Roman" w:cs="Times New Roman"/>
                <w:b w:val="0"/>
                <w:bCs w:val="0"/>
                <w:sz w:val="22"/>
                <w:szCs w:val="22"/>
              </w:rPr>
              <w:t>waste</w:t>
            </w:r>
            <w:r>
              <w:rPr>
                <w:rFonts w:hint="default" w:ascii="Times New Roman" w:hAnsi="Times New Roman" w:cs="Times New Roman"/>
                <w:b w:val="0"/>
                <w:bCs w:val="0"/>
                <w:spacing w:val="-7"/>
                <w:sz w:val="22"/>
                <w:szCs w:val="22"/>
              </w:rPr>
              <w:t xml:space="preserve"> </w:t>
            </w:r>
            <w:r>
              <w:rPr>
                <w:rFonts w:hint="default" w:ascii="Times New Roman" w:hAnsi="Times New Roman" w:cs="Times New Roman"/>
                <w:b w:val="0"/>
                <w:bCs w:val="0"/>
                <w:sz w:val="22"/>
                <w:szCs w:val="22"/>
              </w:rPr>
              <w:t>management</w:t>
            </w:r>
            <w:r>
              <w:rPr>
                <w:rFonts w:hint="default" w:ascii="Times New Roman" w:hAnsi="Times New Roman" w:cs="Times New Roman"/>
                <w:b w:val="0"/>
                <w:bCs w:val="0"/>
                <w:spacing w:val="-5"/>
                <w:sz w:val="22"/>
                <w:szCs w:val="22"/>
              </w:rPr>
              <w:t xml:space="preserve"> </w:t>
            </w:r>
            <w:r>
              <w:rPr>
                <w:rFonts w:hint="default" w:ascii="Times New Roman" w:hAnsi="Times New Roman" w:cs="Times New Roman"/>
                <w:b w:val="0"/>
                <w:bCs w:val="0"/>
                <w:sz w:val="22"/>
                <w:szCs w:val="22"/>
              </w:rPr>
              <w:t>with</w:t>
            </w:r>
            <w:r>
              <w:rPr>
                <w:rFonts w:hint="default" w:ascii="Times New Roman" w:hAnsi="Times New Roman" w:cs="Times New Roman"/>
                <w:b w:val="0"/>
                <w:bCs w:val="0"/>
                <w:spacing w:val="-4"/>
                <w:sz w:val="22"/>
                <w:szCs w:val="22"/>
              </w:rPr>
              <w:t xml:space="preserve"> </w:t>
            </w:r>
            <w:r>
              <w:rPr>
                <w:rFonts w:hint="default" w:ascii="Times New Roman" w:hAnsi="Times New Roman" w:cs="Times New Roman"/>
                <w:b w:val="0"/>
                <w:bCs w:val="0"/>
                <w:sz w:val="22"/>
                <w:szCs w:val="22"/>
              </w:rPr>
              <w:t>transfer</w:t>
            </w:r>
            <w:r>
              <w:rPr>
                <w:rFonts w:hint="default" w:ascii="Times New Roman" w:hAnsi="Times New Roman" w:cs="Times New Roman"/>
                <w:b w:val="0"/>
                <w:bCs w:val="0"/>
                <w:spacing w:val="-7"/>
                <w:sz w:val="22"/>
                <w:szCs w:val="22"/>
              </w:rPr>
              <w:t xml:space="preserve"> </w:t>
            </w:r>
            <w:r>
              <w:rPr>
                <w:rFonts w:hint="default" w:ascii="Times New Roman" w:hAnsi="Times New Roman" w:cs="Times New Roman"/>
                <w:b w:val="0"/>
                <w:bCs w:val="0"/>
                <w:sz w:val="22"/>
                <w:szCs w:val="22"/>
              </w:rPr>
              <w:t xml:space="preserve">learning </w:t>
            </w:r>
          </w:p>
        </w:tc>
      </w:tr>
      <w:tr w14:paraId="260B1E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508" w:type="dxa"/>
          </w:tcPr>
          <w:p w14:paraId="0000000A">
            <w:pPr>
              <w:spacing w:after="0" w:line="240" w:lineRule="auto"/>
            </w:pPr>
            <w:r>
              <w:t>Maximum Marks</w:t>
            </w:r>
          </w:p>
        </w:tc>
        <w:tc>
          <w:tcPr>
            <w:tcW w:w="4508" w:type="dxa"/>
          </w:tcPr>
          <w:p w14:paraId="0000000B">
            <w:pPr>
              <w:spacing w:after="0" w:line="240" w:lineRule="auto"/>
            </w:pPr>
            <w:r>
              <w:t>4 Marks</w:t>
            </w:r>
          </w:p>
        </w:tc>
      </w:tr>
    </w:tbl>
    <w:p w14:paraId="0000000C">
      <w:pPr>
        <w:rPr>
          <w:b/>
          <w:sz w:val="24"/>
          <w:szCs w:val="24"/>
        </w:rPr>
      </w:pPr>
    </w:p>
    <w:p w14:paraId="0000000D">
      <w:pPr>
        <w:rPr>
          <w:b/>
          <w:sz w:val="24"/>
          <w:szCs w:val="24"/>
        </w:rPr>
      </w:pPr>
      <w:r>
        <w:rPr>
          <w:b/>
          <w:sz w:val="24"/>
          <w:szCs w:val="24"/>
        </w:rPr>
        <w:t>Empathy Map Canvas:</w:t>
      </w:r>
    </w:p>
    <w:p w14:paraId="0000000E">
      <w:pPr>
        <w:pBdr>
          <w:top w:val="none" w:color="auto" w:sz="0" w:space="0"/>
          <w:left w:val="none" w:color="auto" w:sz="0" w:space="0"/>
          <w:bottom w:val="none" w:color="auto" w:sz="0" w:space="0"/>
          <w:right w:val="none" w:color="auto" w:sz="0" w:space="0"/>
          <w:between w:val="none" w:color="auto" w:sz="0" w:space="0"/>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0000000F">
      <w:pPr>
        <w:pBdr>
          <w:top w:val="none" w:color="auto" w:sz="0" w:space="0"/>
          <w:left w:val="none" w:color="auto" w:sz="0" w:space="0"/>
          <w:bottom w:val="none" w:color="auto" w:sz="0" w:space="0"/>
          <w:right w:val="none" w:color="auto" w:sz="0" w:space="0"/>
          <w:between w:val="none" w:color="auto" w:sz="0" w:space="0"/>
        </w:pBdr>
        <w:spacing w:after="0" w:line="240" w:lineRule="auto"/>
        <w:jc w:val="both"/>
        <w:rPr>
          <w:color w:val="2A2A2A"/>
          <w:sz w:val="24"/>
          <w:szCs w:val="24"/>
        </w:rPr>
      </w:pPr>
    </w:p>
    <w:p w14:paraId="00000010">
      <w:pPr>
        <w:pBdr>
          <w:top w:val="none" w:color="auto" w:sz="0" w:space="0"/>
          <w:left w:val="none" w:color="auto" w:sz="0" w:space="0"/>
          <w:bottom w:val="none" w:color="auto" w:sz="0" w:space="0"/>
          <w:right w:val="none" w:color="auto" w:sz="0" w:space="0"/>
          <w:between w:val="none" w:color="auto" w:sz="0" w:space="0"/>
        </w:pBdr>
        <w:spacing w:after="0" w:line="240" w:lineRule="auto"/>
        <w:jc w:val="both"/>
        <w:rPr>
          <w:color w:val="2A2A2A"/>
          <w:sz w:val="24"/>
          <w:szCs w:val="24"/>
        </w:rPr>
      </w:pPr>
      <w:r>
        <w:rPr>
          <w:color w:val="2A2A2A"/>
          <w:sz w:val="24"/>
          <w:szCs w:val="24"/>
        </w:rPr>
        <w:t>It is a useful tool to helps teams better understand their users.</w:t>
      </w:r>
    </w:p>
    <w:p w14:paraId="00000011">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0000012">
      <w:pPr>
        <w:jc w:val="both"/>
        <w:rPr>
          <w:b/>
          <w:color w:val="2A2A2A"/>
          <w:sz w:val="24"/>
          <w:szCs w:val="24"/>
        </w:rPr>
      </w:pPr>
      <w:r>
        <w:rPr>
          <w:b/>
          <w:color w:val="2A2A2A"/>
          <w:sz w:val="24"/>
          <w:szCs w:val="24"/>
        </w:rPr>
        <w:t>Example:</w:t>
      </w:r>
    </w:p>
    <w:p w14:paraId="00000013">
      <w:pPr>
        <w:jc w:val="both"/>
        <w:rPr>
          <w:b/>
          <w:color w:val="2A2A2A"/>
          <w:sz w:val="24"/>
          <w:szCs w:val="24"/>
        </w:rPr>
      </w:pPr>
      <w:r>
        <w:drawing>
          <wp:inline distT="0" distB="0" distL="0" distR="0">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Diagram&#10;&#10;Description automatically generated"/>
                    <pic:cNvPicPr preferRelativeResize="0"/>
                  </pic:nvPicPr>
                  <pic:blipFill>
                    <a:blip r:embed="rId6"/>
                    <a:srcRect/>
                    <a:stretch>
                      <a:fillRect/>
                    </a:stretch>
                  </pic:blipFill>
                  <pic:spPr>
                    <a:xfrm>
                      <a:off x="0" y="0"/>
                      <a:ext cx="5731510" cy="3974465"/>
                    </a:xfrm>
                    <a:prstGeom prst="rect">
                      <a:avLst/>
                    </a:prstGeom>
                  </pic:spPr>
                </pic:pic>
              </a:graphicData>
            </a:graphic>
          </wp:inline>
        </w:drawing>
      </w:r>
    </w:p>
    <w:p w14:paraId="00000014">
      <w:pPr>
        <w:rPr>
          <w:sz w:val="24"/>
          <w:szCs w:val="24"/>
        </w:rPr>
      </w:pPr>
    </w:p>
    <w:p w14:paraId="00000015">
      <w:r>
        <w:rPr>
          <w:sz w:val="24"/>
          <w:szCs w:val="24"/>
        </w:rPr>
        <w:t xml:space="preserve">Reference: </w:t>
      </w:r>
      <w:r>
        <w:fldChar w:fldCharType="begin"/>
      </w:r>
      <w:r>
        <w:instrText xml:space="preserve"> HYPERLINK "https://www.mural.co/templates/empathy-map-canvas" \h </w:instrText>
      </w:r>
      <w:r>
        <w:fldChar w:fldCharType="separate"/>
      </w:r>
      <w:r>
        <w:rPr>
          <w:color w:val="0563C1"/>
          <w:u w:val="single"/>
        </w:rPr>
        <w:t>https://www.mural.co/templates/empathy-map-canvas</w:t>
      </w:r>
      <w:r>
        <w:rPr>
          <w:color w:val="0563C1"/>
          <w:u w:val="single"/>
        </w:rPr>
        <w:fldChar w:fldCharType="end"/>
      </w:r>
    </w:p>
    <w:p w14:paraId="00000016">
      <w:pPr>
        <w:jc w:val="both"/>
        <w:rPr>
          <w:b/>
          <w:color w:val="2A2A2A"/>
          <w:sz w:val="24"/>
          <w:szCs w:val="24"/>
        </w:rPr>
      </w:pPr>
    </w:p>
    <w:p w14:paraId="00000017">
      <w:pPr>
        <w:jc w:val="both"/>
        <w:rPr>
          <w:b/>
          <w:color w:val="2A2A2A"/>
          <w:sz w:val="24"/>
          <w:szCs w:val="24"/>
        </w:rPr>
      </w:pPr>
    </w:p>
    <w:p w14:paraId="00000018">
      <w:pPr>
        <w:jc w:val="both"/>
        <w:rPr>
          <w:rFonts w:hint="default"/>
          <w:b/>
          <w:color w:val="2A2A2A"/>
          <w:sz w:val="24"/>
          <w:szCs w:val="24"/>
          <w:lang w:val="en-IN"/>
        </w:rPr>
      </w:pPr>
      <w:r>
        <w:rPr>
          <w:rFonts w:hint="default"/>
          <w:b/>
          <w:color w:val="2A2A2A"/>
          <w:sz w:val="24"/>
          <w:szCs w:val="24"/>
          <w:lang w:val="en-IN"/>
        </w:rPr>
        <w:drawing>
          <wp:inline distT="0" distB="0" distL="114300" distR="114300">
            <wp:extent cx="6172200" cy="5196205"/>
            <wp:effectExtent l="0" t="0" r="0" b="635"/>
            <wp:docPr id="4" name="Picture 4" descr="ChatGPT Image Jul 20, 2025, 01_03_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tGPT Image Jul 20, 2025, 01_03_17 PM"/>
                    <pic:cNvPicPr>
                      <a:picLocks noChangeAspect="1"/>
                    </pic:cNvPicPr>
                  </pic:nvPicPr>
                  <pic:blipFill>
                    <a:blip r:embed="rId7"/>
                    <a:stretch>
                      <a:fillRect/>
                    </a:stretch>
                  </pic:blipFill>
                  <pic:spPr>
                    <a:xfrm>
                      <a:off x="0" y="0"/>
                      <a:ext cx="6172200" cy="5196205"/>
                    </a:xfrm>
                    <a:prstGeom prst="rect">
                      <a:avLst/>
                    </a:prstGeom>
                  </pic:spPr>
                </pic:pic>
              </a:graphicData>
            </a:graphic>
          </wp:inline>
        </w:drawing>
      </w:r>
      <w:bookmarkStart w:id="0" w:name="_GoBack"/>
      <w:bookmarkEnd w:id="0"/>
    </w:p>
    <w:p w14:paraId="00000019">
      <w:pPr>
        <w:rPr>
          <w:sz w:val="24"/>
          <w:szCs w:val="24"/>
        </w:rPr>
      </w:pP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IBM Plex Sans">
    <w:altName w:val="Liberation Mono"/>
    <w:panose1 w:val="00000000000000000000"/>
    <w:charset w:val="00"/>
    <w:family w:val="roman"/>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3E1"/>
    <w:rsid w:val="00000DC8"/>
    <w:rsid w:val="00E0485C"/>
    <w:rsid w:val="00E253E1"/>
    <w:rsid w:val="3C162D31"/>
    <w:rsid w:val="3D962E9A"/>
    <w:rsid w:val="51A407AF"/>
    <w:rsid w:val="589F5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styleId="11">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2">
    <w:name w:val="Table Grid"/>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itle"/>
    <w:basedOn w:val="1"/>
    <w:next w:val="1"/>
    <w:qFormat/>
    <w:uiPriority w:val="10"/>
    <w:pPr>
      <w:keepNext/>
      <w:keepLines/>
      <w:spacing w:before="480" w:after="120"/>
    </w:pPr>
    <w:rPr>
      <w:b/>
      <w:sz w:val="72"/>
      <w:szCs w:val="72"/>
    </w:rPr>
  </w:style>
  <w:style w:type="character" w:customStyle="1" w:styleId="14">
    <w:name w:val="Unresolved Mention"/>
    <w:basedOn w:val="8"/>
    <w:semiHidden/>
    <w:unhideWhenUsed/>
    <w:uiPriority w:val="99"/>
    <w:rPr>
      <w:color w:val="605E5C"/>
      <w:shd w:val="clear" w:color="auto" w:fill="E1DFDD"/>
    </w:rPr>
  </w:style>
  <w:style w:type="paragraph" w:customStyle="1" w:styleId="15">
    <w:name w:val="Default"/>
    <w:qFormat/>
    <w:uiPriority w:val="0"/>
    <w:pPr>
      <w:autoSpaceDE w:val="0"/>
      <w:autoSpaceDN w:val="0"/>
      <w:adjustRightInd w:val="0"/>
      <w:spacing w:after="0" w:line="240" w:lineRule="auto"/>
    </w:pPr>
    <w:rPr>
      <w:rFonts w:ascii="IBM Plex Sans" w:hAnsi="IBM Plex Sans" w:eastAsia="Calibri" w:cs="IBM Plex Sans"/>
      <w:color w:val="000000"/>
      <w:sz w:val="24"/>
      <w:szCs w:val="24"/>
      <w:lang w:val="en-IN" w:eastAsia="en-US" w:bidi="ar-SA"/>
    </w:rPr>
  </w:style>
  <w:style w:type="table" w:customStyle="1" w:styleId="16">
    <w:name w:val="_Style 15"/>
    <w:basedOn w:val="9"/>
    <w:qFormat/>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Pages>
  <Words>121</Words>
  <Characters>694</Characters>
  <Lines>5</Lines>
  <Paragraphs>1</Paragraphs>
  <TotalTime>0</TotalTime>
  <ScaleCrop>false</ScaleCrop>
  <LinksUpToDate>false</LinksUpToDate>
  <CharactersWithSpaces>814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Shiva Akshith</cp:lastModifiedBy>
  <dcterms:modified xsi:type="dcterms:W3CDTF">2025-07-20T07:34:24Z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19409891CA134A9792694BA261917AE7_13</vt:lpwstr>
  </property>
</Properties>
</file>