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FORMATTING_RULES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Defines output formatting standards.</w:t>
      </w:r>
    </w:p>
    <w:p>
      <w:pPr>
        <w:pStyle w:val="Heading2"/>
      </w:pPr>
      <w:r>
        <w:t>Formatting</w:t>
      </w:r>
    </w:p>
    <w:p>
      <w:pPr>
        <w:pStyle w:val="ListBullet"/>
      </w:pPr>
      <w:r>
        <w:t>Short paragraphs</w:t>
      </w:r>
    </w:p>
    <w:p>
      <w:pPr>
        <w:pStyle w:val="ListBullet"/>
      </w:pPr>
      <w:r>
        <w:t>Bullet lists where appropriate</w:t>
      </w:r>
    </w:p>
    <w:p>
      <w:pPr>
        <w:pStyle w:val="ListBullet"/>
      </w:pPr>
      <w:r>
        <w:t>Professional language</w:t>
      </w:r>
    </w:p>
    <w:p>
      <w:pPr>
        <w:pStyle w:val="ListBullet"/>
      </w:pPr>
      <w:r>
        <w:t>No unsupported claims</w:t>
      </w:r>
    </w:p>
    <w:p>
      <w:pPr>
        <w:pStyle w:val="ListBullet"/>
      </w:pPr>
      <w:r>
        <w:t>Highlight technologies and skills clearly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