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Calibri" w:hAnsi="Calibri"/>
          <w:b/>
          <w:color w:val="1A365D"/>
          <w:sz w:val="52"/>
        </w:rPr>
        <w:t>EngageAI: Multi-Agent Intelligent LMS Portal</w:t>
      </w:r>
    </w:p>
    <w:p>
      <w:pPr>
        <w:spacing w:after="480"/>
        <w:jc w:val="center"/>
      </w:pPr>
      <w:r>
        <w:rPr>
          <w:color w:val="64748B"/>
          <w:sz w:val="32"/>
        </w:rPr>
        <w:t>System Design and Internal Architecture Specification</w:t>
      </w:r>
    </w:p>
    <w:p>
      <w:pPr>
        <w:spacing w:before="2880"/>
        <w:jc w:val="center"/>
      </w:pPr>
      <w:r>
        <w:rPr>
          <w:i/>
          <w:color w:val="64748B"/>
          <w:sz w:val="22"/>
        </w:rPr>
        <w:t>Prepared for Project Report Portfolio</w:t>
        <w:br/>
        <w:t>Academic Year 2026</w:t>
      </w:r>
    </w:p>
    <w:p>
      <w:r>
        <w:br w:type="page"/>
      </w:r>
    </w:p>
    <w:p>
      <w:pPr>
        <w:keepNext/>
        <w:spacing w:before="400" w:after="120"/>
      </w:pPr>
      <w:r>
        <w:rPr>
          <w:rFonts w:ascii="Calibri" w:hAnsi="Calibri"/>
          <w:b/>
          <w:color w:val="1A365D"/>
          <w:sz w:val="32"/>
        </w:rPr>
        <w:t>1. Overall Architecture</w:t>
      </w:r>
    </w:p>
    <w:p>
      <w:r>
        <w:t>The EngageAI Multi-Agent LMS Portal is built on a highly decoupled, state-of-the-art microservice architecture consisting of seven independently deployable services: one user-facing React web frontend, one core FastAPI backend service, and five autonomous cognitive agent microservices (including the central Orchestrator). The ecosystem utilizes a centralized PostgreSQL database for relational, structured academic records and a high-performance Redis container acting as the message broker for real-time pub/sub event notifications.</w:t>
      </w:r>
    </w:p>
    <w:p>
      <w:r>
        <w:t>To ensure development consistency and prevent language-switching overhead, all backend microservices are implemented in Python. This allows machine learning pipelines, OpenCV tasks, and NLP modules to share hashing utilities, validation routers, and models seamlessly. The frontend client acts strictly as a Single-Page Application (SPA), querying core backend resources over secure HTTPS APIs or receiving real-time notifications via WebSockets, ensuring zero direct database exposures.</w:t>
      </w:r>
    </w:p>
    <w:p>
      <w:r>
        <w:t>Relational CRUD operations and authentication protocols utilize traditional REST HTTP protocols. In contrast, agent alerts and tracking updates are managed asynchronously via Redis Channels to prevent heavy HTTP polling cycles. The diagram below illustrates this decoupled communication model:</w:t>
      </w:r>
    </w:p>
    <w:tbl>
      <w:tblPr>
        <w:tblW w:type="auto" w:w="0"/>
        <w:jc w:val="center"/>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Borders>
              <w:top w:val="single" w:sz="4" w:space="0" w:color="E2E8F0"/>
              <w:bottom w:val="single" w:sz="4" w:space="0" w:color="E2E8F0"/>
              <w:left w:val="single" w:sz="4" w:space="0" w:color="3182CE"/>
              <w:right w:val="single" w:sz="4" w:space="0" w:color="E2E8F0"/>
            </w:tcBorders>
          </w:tcPr>
          <w:p>
            <w:pPr>
              <w:spacing w:after="0" w:line="240" w:lineRule="auto"/>
            </w:pPr>
            <w:r>
              <w:rPr>
                <w:rFonts w:ascii="Courier New" w:hAnsi="Courier New"/>
                <w:color w:val="1E293B"/>
                <w:sz w:val="19"/>
              </w:rPr>
              <w:t>+-------------------+             REST HTTPS            +-------------------+</w:t>
              <w:br/>
              <w:t>|  React Frontend   | &lt;===============================&gt; |  Core FastAPI API  |</w:t>
              <w:br/>
              <w:t>|  (Vite + Tailwind)|                                   |  (Database CRUD)   |</w:t>
              <w:br/>
              <w:t>+-------------------+                                   +-------------------+</w:t>
              <w:br/>
              <w:t xml:space="preserve">         ^                                                        ||</w:t>
              <w:br/>
              <w:t xml:space="preserve">         || WebSockets Gateway (Real-Time Alerts)                 ||</w:t>
              <w:br/>
              <w:t xml:space="preserve">         v                                                        v</w:t>
              <w:br/>
              <w:t>+-------------------+           Asynchronous Events     +-------------------+</w:t>
              <w:br/>
              <w:t>|   Orchestrator    | &lt;-------------------------------- |  Postgres + Redis |</w:t>
              <w:br/>
              <w:t>|   Rules Engine    |       [ Redis Channels Pub/Sub ]  |  (Ledgers &amp; Bus)  |</w:t>
              <w:br/>
              <w:t>+-------------------+                                   +-------------------+</w:t>
              <w:br/>
              <w:t xml:space="preserve">         ^                                                        ^ </w:t>
              <w:br/>
              <w:t xml:space="preserve">         |========================================================|</w:t>
              <w:br/>
              <w:t xml:space="preserve">         |      Absence / EAR / Screen YOLO / Content Moderation Agents</w:t>
            </w:r>
          </w:p>
        </w:tc>
      </w:tr>
    </w:tbl>
    <w:p>
      <w:pPr>
        <w:spacing w:before="0" w:after="120"/>
      </w:pPr>
    </w:p>
    <w:p>
      <w:pPr>
        <w:keepNext/>
        <w:spacing w:before="400" w:after="120"/>
      </w:pPr>
      <w:r>
        <w:rPr>
          <w:rFonts w:ascii="Calibri" w:hAnsi="Calibri"/>
          <w:b/>
          <w:color w:val="1A365D"/>
          <w:sz w:val="32"/>
        </w:rPr>
        <w:t>2. Frontend Client Architecture</w:t>
      </w:r>
    </w:p>
    <w:p>
      <w:r>
        <w:t>The frontend client is engineered using React 18 and Vite for optimized module bundlings. Tailwind CSS is employed to implement a dynamic, white-themed responsive split-card layout based on MeritCurve guidelines, ensuring unified interfaces across desktops, tablets, and phones.</w:t>
      </w:r>
    </w:p>
    <w:p>
      <w:pPr>
        <w:keepNext/>
        <w:spacing w:before="280" w:after="80"/>
      </w:pPr>
      <w:r>
        <w:rPr>
          <w:rFonts w:ascii="Calibri" w:hAnsi="Calibri"/>
          <w:b/>
          <w:color w:val="0096A6"/>
          <w:sz w:val="26"/>
        </w:rPr>
        <w:t>Authentication Storage and Security</w:t>
      </w:r>
    </w:p>
    <w:p>
      <w:r>
        <w:t>Upon successful user verification at the endpoint POST /auth/login, the backend returns a stateless JSON Web Token (JWT). To shield the system from Cross-Site Scripting (XSS) vulnerabilities, the token is saved exclusively in React state memory rather than browser LocalStorage. Short-lived access tokens (60 minutes) accompanied by automated Axios middleware interceptors handle refreshing routines. If a service request yields a 401 Unauthorized status, the client intercepts the call and routes the user back to the login gateway.</w:t>
      </w:r>
    </w:p>
    <w:p>
      <w:pPr>
        <w:keepNext/>
        <w:spacing w:before="280" w:after="80"/>
      </w:pPr>
      <w:r>
        <w:rPr>
          <w:rFonts w:ascii="Calibri" w:hAnsi="Calibri"/>
          <w:b/>
          <w:color w:val="0096A6"/>
          <w:sz w:val="26"/>
        </w:rPr>
        <w:t>Role-Based UI Layout Dispatcher</w:t>
      </w:r>
    </w:p>
    <w:p>
      <w:r>
        <w:t>Decoded JWT claims dictate which portal shell is mounted (Student, Teacher, or Admin). The student sidebar arranges items into Overview, Learning, and Career. The teacher panel renders class walls and grading portals. The admin control screen organizes approval queues and system ledger logs. While the client determines the route view dynamically, the backend API enforces access control layers independently.</w:t>
      </w:r>
    </w:p>
    <w:p>
      <w:pPr>
        <w:keepNext/>
        <w:spacing w:before="280" w:after="80"/>
      </w:pPr>
      <w:r>
        <w:rPr>
          <w:rFonts w:ascii="Calibri" w:hAnsi="Calibri"/>
          <w:b/>
          <w:color w:val="0096A6"/>
          <w:sz w:val="26"/>
        </w:rPr>
        <w:t>Real-Time Socket Interfacing</w:t>
      </w:r>
    </w:p>
    <w:p>
      <w:r>
        <w:t>During live lectures or proctored assessments, the frontend connects to a real-time gateway using the native WebSockets API. When the cognitive proctoring agents detect an event (e.g., eye closure threshold exceeded), the orchestrator pushes a socket packet, triggering immediate warning overlays on the client browser without polling.</w:t>
      </w:r>
    </w:p>
    <w:p>
      <w:pPr>
        <w:keepNext/>
        <w:spacing w:before="400" w:after="120"/>
      </w:pPr>
      <w:r>
        <w:rPr>
          <w:rFonts w:ascii="Calibri" w:hAnsi="Calibri"/>
          <w:b/>
          <w:color w:val="1A365D"/>
          <w:sz w:val="32"/>
        </w:rPr>
        <w:t>3. Core Backend API Service</w:t>
      </w:r>
    </w:p>
    <w:p>
      <w:r>
        <w:t>The core backend is implemented using FastAPI, running asynchronously under a Uvicorn ASGI server. Database transactions and entities are managed via SQLAlchemy ORM, while Alembic controls schema migration histories.</w:t>
      </w:r>
    </w:p>
    <w:p>
      <w:pPr>
        <w:keepNext/>
        <w:spacing w:before="280" w:after="80"/>
      </w:pPr>
      <w:r>
        <w:rPr>
          <w:rFonts w:ascii="Calibri" w:hAnsi="Calibri"/>
          <w:b/>
          <w:color w:val="0096A6"/>
          <w:sz w:val="26"/>
        </w:rPr>
        <w:t>Authentication &amp; Registration Gateway</w:t>
      </w:r>
    </w:p>
    <w:p>
      <w:r>
        <w:t>User registrations hash passwords using bcrypt (12 rounds) via passlib. Login checks query the SQLite/PostgreSQL database, compare password hashes using constant-time comparison methods, and generate signed JWT tokens containing the user's role and user ID.</w:t>
      </w:r>
    </w:p>
    <w:p>
      <w:pPr>
        <w:keepNext/>
        <w:spacing w:before="280" w:after="80"/>
      </w:pPr>
      <w:r>
        <w:rPr>
          <w:rFonts w:ascii="Calibri" w:hAnsi="Calibri"/>
          <w:b/>
          <w:color w:val="0096A6"/>
          <w:sz w:val="26"/>
        </w:rPr>
        <w:t>Toxicity Moderation &amp; Plagiarism Engine</w:t>
      </w:r>
    </w:p>
    <w:p>
      <w:r>
        <w:t>Class posts undergo asynchronous Content Moderation scans. Homework text files trigger TF-IDF Vectorization calculations using scikit-learn. The document matrix is compared against all previous student submissions for that task using Cosine Similarity formulas. This yields a percentage score stored as plagiarism_score, which flags copying infractions.</w:t>
      </w:r>
    </w:p>
    <w:p>
      <w:pPr>
        <w:keepNext/>
        <w:spacing w:before="280" w:after="80"/>
      </w:pPr>
      <w:r>
        <w:rPr>
          <w:rFonts w:ascii="Calibri" w:hAnsi="Calibri"/>
          <w:b/>
          <w:color w:val="0096A6"/>
          <w:sz w:val="26"/>
        </w:rPr>
        <w:t>WebRTC Live Proctoring Rooms</w:t>
      </w:r>
    </w:p>
    <w:p>
      <w:r>
        <w:t>FastAPI integrates with the Jitsi Meet IFrame SDK. Teachers can spin up WebRTC video channels. The core API signs JWT room tokens to restrict room entries to enrolled students.</w:t>
      </w:r>
    </w:p>
    <w:p>
      <w:pPr>
        <w:keepNext/>
        <w:spacing w:before="400" w:after="120"/>
      </w:pPr>
      <w:r>
        <w:rPr>
          <w:rFonts w:ascii="Calibri" w:hAnsi="Calibri"/>
          <w:b/>
          <w:color w:val="1A365D"/>
          <w:sz w:val="32"/>
        </w:rPr>
        <w:t>4. Cognitive AI Agent Microservices</w:t>
      </w:r>
    </w:p>
    <w:p>
      <w:r>
        <w:t>To achieve scalability, each proctoring agent is deployed as a standalone FastAPI microservice. The services communicate by publishing JSON-serialized event messages to Redis topics.</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20" w:type="dxa"/>
              <w:bottom w:w="120" w:type="dxa"/>
              <w:left w:w="150" w:type="dxa"/>
              <w:right w:w="150" w:type="dxa"/>
            </w:tcMar>
          </w:tcPr>
          <w:p>
            <w:r>
              <w:rPr>
                <w:b/>
                <w:color w:val="FFFFFF"/>
                <w:sz w:val="20"/>
              </w:rPr>
              <w:t>Agent Microservice</w:t>
            </w:r>
          </w:p>
        </w:tc>
        <w:tc>
          <w:tcPr>
            <w:tcW w:type="dxa" w:w="3120"/>
            <w:shd w:fill="1A365D"/>
            <w:tcMar>
              <w:top w:w="120" w:type="dxa"/>
              <w:bottom w:w="120" w:type="dxa"/>
              <w:left w:w="150" w:type="dxa"/>
              <w:right w:w="150" w:type="dxa"/>
            </w:tcMar>
          </w:tcPr>
          <w:p>
            <w:r>
              <w:rPr>
                <w:b/>
                <w:color w:val="FFFFFF"/>
                <w:sz w:val="20"/>
              </w:rPr>
              <w:t>Primary AI Tools</w:t>
            </w:r>
          </w:p>
        </w:tc>
        <w:tc>
          <w:tcPr>
            <w:tcW w:type="dxa" w:w="3120"/>
            <w:shd w:fill="1A365D"/>
            <w:tcMar>
              <w:top w:w="120" w:type="dxa"/>
              <w:bottom w:w="120" w:type="dxa"/>
              <w:left w:w="150" w:type="dxa"/>
              <w:right w:w="150" w:type="dxa"/>
            </w:tcMar>
          </w:tcPr>
          <w:p>
            <w:r>
              <w:rPr>
                <w:b/>
                <w:color w:val="FFFFFF"/>
                <w:sz w:val="20"/>
              </w:rPr>
              <w:t>Key Internal Metric &amp; Action</w:t>
            </w:r>
          </w:p>
        </w:tc>
      </w:tr>
      <w:tr>
        <w:tc>
          <w:tcPr>
            <w:tcW w:type="dxa" w:w="3120"/>
            <w:shd w:fill="F9FAFB"/>
            <w:tcMar>
              <w:top w:w="100" w:type="dxa"/>
              <w:bottom w:w="100" w:type="dxa"/>
              <w:left w:w="120" w:type="dxa"/>
              <w:right w:w="120" w:type="dxa"/>
            </w:tcMar>
            <w:tcBorders>
              <w:top w:val="single" w:sz="4" w:space="0" w:color="E2E8F0"/>
              <w:bottom w:val="single" w:sz="4" w:space="0" w:color="E2E8F0"/>
              <w:left w:val="none"/>
              <w:right w:val="none"/>
            </w:tcBorders>
          </w:tcPr>
          <w:p>
            <w:r>
              <w:rPr>
                <w:sz w:val="19"/>
              </w:rPr>
              <w:t>Attendance Agent</w:t>
            </w:r>
          </w:p>
        </w:tc>
        <w:tc>
          <w:tcPr>
            <w:tcW w:type="dxa" w:w="3120"/>
            <w:shd w:fill="F9FAFB"/>
            <w:tcMar>
              <w:top w:w="100" w:type="dxa"/>
              <w:bottom w:w="100" w:type="dxa"/>
              <w:left w:w="120" w:type="dxa"/>
              <w:right w:w="120" w:type="dxa"/>
            </w:tcMar>
            <w:tcBorders>
              <w:top w:val="single" w:sz="4" w:space="0" w:color="E2E8F0"/>
              <w:bottom w:val="single" w:sz="4" w:space="0" w:color="E2E8F0"/>
              <w:left w:val="none"/>
              <w:right w:val="none"/>
            </w:tcBorders>
          </w:tcPr>
          <w:p>
            <w:r>
              <w:rPr>
                <w:sz w:val="19"/>
              </w:rPr>
              <w:t>MediaPipe Face Mesh, OpenCV</w:t>
            </w:r>
          </w:p>
        </w:tc>
        <w:tc>
          <w:tcPr>
            <w:tcW w:type="dxa" w:w="3120"/>
            <w:shd w:fill="F9FAFB"/>
            <w:tcMar>
              <w:top w:w="100" w:type="dxa"/>
              <w:bottom w:w="100" w:type="dxa"/>
              <w:left w:w="120" w:type="dxa"/>
              <w:right w:w="120" w:type="dxa"/>
            </w:tcMar>
            <w:tcBorders>
              <w:top w:val="single" w:sz="4" w:space="0" w:color="E2E8F0"/>
              <w:bottom w:val="single" w:sz="4" w:space="0" w:color="E2E8F0"/>
              <w:left w:val="none"/>
              <w:right w:val="none"/>
            </w:tcBorders>
          </w:tcPr>
          <w:p>
            <w:r>
              <w:rPr>
                <w:sz w:val="19"/>
              </w:rPr>
              <w:t>Tracks face coordinates. Triggers event if student is absent &gt; N minutes.</w:t>
            </w:r>
          </w:p>
        </w:tc>
      </w:tr>
      <w:tr>
        <w:tc>
          <w:tcPr>
            <w:tcW w:type="dxa" w:w="3120"/>
            <w:shd w:fill="FFFFFF"/>
            <w:tcMar>
              <w:top w:w="100" w:type="dxa"/>
              <w:bottom w:w="100" w:type="dxa"/>
              <w:left w:w="120" w:type="dxa"/>
              <w:right w:w="120" w:type="dxa"/>
            </w:tcMar>
            <w:tcBorders>
              <w:top w:val="single" w:sz="4" w:space="0" w:color="E2E8F0"/>
              <w:bottom w:val="single" w:sz="4" w:space="0" w:color="E2E8F0"/>
              <w:left w:val="none"/>
              <w:right w:val="none"/>
            </w:tcBorders>
          </w:tcPr>
          <w:p>
            <w:r>
              <w:rPr>
                <w:sz w:val="19"/>
              </w:rPr>
              <w:t>Alertness Agent</w:t>
            </w:r>
          </w:p>
        </w:tc>
        <w:tc>
          <w:tcPr>
            <w:tcW w:type="dxa" w:w="3120"/>
            <w:shd w:fill="FFFFFF"/>
            <w:tcMar>
              <w:top w:w="100" w:type="dxa"/>
              <w:bottom w:w="100" w:type="dxa"/>
              <w:left w:w="120" w:type="dxa"/>
              <w:right w:w="120" w:type="dxa"/>
            </w:tcMar>
            <w:tcBorders>
              <w:top w:val="single" w:sz="4" w:space="0" w:color="E2E8F0"/>
              <w:bottom w:val="single" w:sz="4" w:space="0" w:color="E2E8F0"/>
              <w:left w:val="none"/>
              <w:right w:val="none"/>
            </w:tcBorders>
          </w:tcPr>
          <w:p>
            <w:r>
              <w:rPr>
                <w:sz w:val="19"/>
              </w:rPr>
              <w:t>MediaPipe Landmarks, NumPy</w:t>
            </w:r>
          </w:p>
        </w:tc>
        <w:tc>
          <w:tcPr>
            <w:tcW w:type="dxa" w:w="3120"/>
            <w:shd w:fill="FFFFFF"/>
            <w:tcMar>
              <w:top w:w="100" w:type="dxa"/>
              <w:bottom w:w="100" w:type="dxa"/>
              <w:left w:w="120" w:type="dxa"/>
              <w:right w:w="120" w:type="dxa"/>
            </w:tcMar>
            <w:tcBorders>
              <w:top w:val="single" w:sz="4" w:space="0" w:color="E2E8F0"/>
              <w:bottom w:val="single" w:sz="4" w:space="0" w:color="E2E8F0"/>
              <w:left w:val="none"/>
              <w:right w:val="none"/>
            </w:tcBorders>
          </w:tcPr>
          <w:p>
            <w:r>
              <w:rPr>
                <w:sz w:val="19"/>
              </w:rPr>
              <w:t>Calculates Eye Aspect Ratio (EAR). Triggers event if EAR &lt; 0.25 for &gt;3 seconds.</w:t>
            </w:r>
          </w:p>
        </w:tc>
      </w:tr>
      <w:tr>
        <w:tc>
          <w:tcPr>
            <w:tcW w:type="dxa" w:w="3120"/>
            <w:shd w:fill="F9FAFB"/>
            <w:tcMar>
              <w:top w:w="100" w:type="dxa"/>
              <w:bottom w:w="100" w:type="dxa"/>
              <w:left w:w="120" w:type="dxa"/>
              <w:right w:w="120" w:type="dxa"/>
            </w:tcMar>
            <w:tcBorders>
              <w:top w:val="single" w:sz="4" w:space="0" w:color="E2E8F0"/>
              <w:bottom w:val="single" w:sz="4" w:space="0" w:color="E2E8F0"/>
              <w:left w:val="none"/>
              <w:right w:val="none"/>
            </w:tcBorders>
          </w:tcPr>
          <w:p>
            <w:r>
              <w:rPr>
                <w:sz w:val="19"/>
              </w:rPr>
              <w:t>Content Moderation</w:t>
            </w:r>
          </w:p>
        </w:tc>
        <w:tc>
          <w:tcPr>
            <w:tcW w:type="dxa" w:w="3120"/>
            <w:shd w:fill="F9FAFB"/>
            <w:tcMar>
              <w:top w:w="100" w:type="dxa"/>
              <w:bottom w:w="100" w:type="dxa"/>
              <w:left w:w="120" w:type="dxa"/>
              <w:right w:w="120" w:type="dxa"/>
            </w:tcMar>
            <w:tcBorders>
              <w:top w:val="single" w:sz="4" w:space="0" w:color="E2E8F0"/>
              <w:bottom w:val="single" w:sz="4" w:space="0" w:color="E2E8F0"/>
              <w:left w:val="none"/>
              <w:right w:val="none"/>
            </w:tcBorders>
          </w:tcPr>
          <w:p>
            <w:r>
              <w:rPr>
                <w:sz w:val="19"/>
              </w:rPr>
              <w:t>Detoxify NLP, MobileNet V2</w:t>
            </w:r>
          </w:p>
        </w:tc>
        <w:tc>
          <w:tcPr>
            <w:tcW w:type="dxa" w:w="3120"/>
            <w:shd w:fill="F9FAFB"/>
            <w:tcMar>
              <w:top w:w="100" w:type="dxa"/>
              <w:bottom w:w="100" w:type="dxa"/>
              <w:left w:w="120" w:type="dxa"/>
              <w:right w:w="120" w:type="dxa"/>
            </w:tcMar>
            <w:tcBorders>
              <w:top w:val="single" w:sz="4" w:space="0" w:color="E2E8F0"/>
              <w:bottom w:val="single" w:sz="4" w:space="0" w:color="E2E8F0"/>
              <w:left w:val="none"/>
              <w:right w:val="none"/>
            </w:tcBorders>
          </w:tcPr>
          <w:p>
            <w:r>
              <w:rPr>
                <w:sz w:val="19"/>
              </w:rPr>
              <w:t>Scans posts for toxicity or NSFW attachments. Flags posts if score &gt; 0.70.</w:t>
            </w:r>
          </w:p>
        </w:tc>
      </w:tr>
      <w:tr>
        <w:tc>
          <w:tcPr>
            <w:tcW w:type="dxa" w:w="3120"/>
            <w:shd w:fill="FFFFFF"/>
            <w:tcMar>
              <w:top w:w="100" w:type="dxa"/>
              <w:bottom w:w="100" w:type="dxa"/>
              <w:left w:w="120" w:type="dxa"/>
              <w:right w:w="120" w:type="dxa"/>
            </w:tcMar>
            <w:tcBorders>
              <w:top w:val="single" w:sz="4" w:space="0" w:color="E2E8F0"/>
              <w:bottom w:val="single" w:sz="4" w:space="0" w:color="E2E8F0"/>
              <w:left w:val="none"/>
              <w:right w:val="none"/>
            </w:tcBorders>
          </w:tcPr>
          <w:p>
            <w:r>
              <w:rPr>
                <w:sz w:val="19"/>
              </w:rPr>
              <w:t>Screen Integrity</w:t>
            </w:r>
          </w:p>
        </w:tc>
        <w:tc>
          <w:tcPr>
            <w:tcW w:type="dxa" w:w="3120"/>
            <w:shd w:fill="FFFFFF"/>
            <w:tcMar>
              <w:top w:w="100" w:type="dxa"/>
              <w:bottom w:w="100" w:type="dxa"/>
              <w:left w:w="120" w:type="dxa"/>
              <w:right w:w="120" w:type="dxa"/>
            </w:tcMar>
            <w:tcBorders>
              <w:top w:val="single" w:sz="4" w:space="0" w:color="E2E8F0"/>
              <w:bottom w:val="single" w:sz="4" w:space="0" w:color="E2E8F0"/>
              <w:left w:val="none"/>
              <w:right w:val="none"/>
            </w:tcBorders>
          </w:tcPr>
          <w:p>
            <w:r>
              <w:rPr>
                <w:sz w:val="19"/>
              </w:rPr>
              <w:t>YOLOv8, OpenCV</w:t>
            </w:r>
          </w:p>
        </w:tc>
        <w:tc>
          <w:tcPr>
            <w:tcW w:type="dxa" w:w="3120"/>
            <w:shd w:fill="FFFFFF"/>
            <w:tcMar>
              <w:top w:w="100" w:type="dxa"/>
              <w:bottom w:w="100" w:type="dxa"/>
              <w:left w:w="120" w:type="dxa"/>
              <w:right w:w="120" w:type="dxa"/>
            </w:tcMar>
            <w:tcBorders>
              <w:top w:val="single" w:sz="4" w:space="0" w:color="E2E8F0"/>
              <w:bottom w:val="single" w:sz="4" w:space="0" w:color="E2E8F0"/>
              <w:left w:val="none"/>
              <w:right w:val="none"/>
            </w:tcBorders>
          </w:tcPr>
          <w:p>
            <w:r>
              <w:rPr>
                <w:sz w:val="19"/>
              </w:rPr>
              <w:t>Scans screen shares for phones, second persons, or empty chairs during exams.</w:t>
            </w:r>
          </w:p>
        </w:tc>
      </w:tr>
      <w:tr>
        <w:tc>
          <w:tcPr>
            <w:tcW w:type="dxa" w:w="3120"/>
            <w:shd w:fill="F9FAFB"/>
            <w:tcMar>
              <w:top w:w="100" w:type="dxa"/>
              <w:bottom w:w="100" w:type="dxa"/>
              <w:left w:w="120" w:type="dxa"/>
              <w:right w:w="120" w:type="dxa"/>
            </w:tcMar>
            <w:tcBorders>
              <w:top w:val="single" w:sz="4" w:space="0" w:color="E2E8F0"/>
              <w:bottom w:val="single" w:sz="4" w:space="0" w:color="E2E8F0"/>
              <w:left w:val="none"/>
              <w:right w:val="none"/>
            </w:tcBorders>
          </w:tcPr>
          <w:p>
            <w:r>
              <w:rPr>
                <w:sz w:val="19"/>
              </w:rPr>
              <w:t>Orchestrator Agent</w:t>
            </w:r>
          </w:p>
        </w:tc>
        <w:tc>
          <w:tcPr>
            <w:tcW w:type="dxa" w:w="3120"/>
            <w:shd w:fill="F9FAFB"/>
            <w:tcMar>
              <w:top w:w="100" w:type="dxa"/>
              <w:bottom w:w="100" w:type="dxa"/>
              <w:left w:w="120" w:type="dxa"/>
              <w:right w:w="120" w:type="dxa"/>
            </w:tcMar>
            <w:tcBorders>
              <w:top w:val="single" w:sz="4" w:space="0" w:color="E2E8F0"/>
              <w:bottom w:val="single" w:sz="4" w:space="0" w:color="E2E8F0"/>
              <w:left w:val="none"/>
              <w:right w:val="none"/>
            </w:tcBorders>
          </w:tcPr>
          <w:p>
            <w:r>
              <w:rPr>
                <w:sz w:val="19"/>
              </w:rPr>
              <w:t>Redis pub/sub, Rules Engine</w:t>
            </w:r>
          </w:p>
        </w:tc>
        <w:tc>
          <w:tcPr>
            <w:tcW w:type="dxa" w:w="3120"/>
            <w:shd w:fill="F9FAFB"/>
            <w:tcMar>
              <w:top w:w="100" w:type="dxa"/>
              <w:bottom w:w="100" w:type="dxa"/>
              <w:left w:w="120" w:type="dxa"/>
              <w:right w:w="120" w:type="dxa"/>
            </w:tcMar>
            <w:tcBorders>
              <w:top w:val="single" w:sz="4" w:space="0" w:color="E2E8F0"/>
              <w:bottom w:val="single" w:sz="4" w:space="0" w:color="E2E8F0"/>
              <w:left w:val="none"/>
              <w:right w:val="none"/>
            </w:tcBorders>
          </w:tcPr>
          <w:p>
            <w:r>
              <w:rPr>
                <w:sz w:val="19"/>
              </w:rPr>
              <w:t>Subscribes to events. Automatically actions events or routes to teacher overrides.</w:t>
            </w:r>
          </w:p>
        </w:tc>
      </w:tr>
    </w:tbl>
    <w:p/>
    <w:p>
      <w:pPr>
        <w:keepNext/>
        <w:spacing w:before="400" w:after="120"/>
      </w:pPr>
      <w:r>
        <w:rPr>
          <w:rFonts w:ascii="Calibri" w:hAnsi="Calibri"/>
          <w:b/>
          <w:color w:val="1A365D"/>
          <w:sz w:val="32"/>
        </w:rPr>
        <w:t>5. Event Bus and Relational Database</w:t>
      </w:r>
    </w:p>
    <w:p>
      <w:r>
        <w:t>Redis serves as our asynchronous Event Bus. Agents execute `redis.publish('agent_events', payload)` while the Orchestrator subscribes to this channel. This decouples the core API's uptime from the agents' processing loops.</w:t>
      </w:r>
    </w:p>
    <w:p>
      <w:pPr>
        <w:keepNext/>
        <w:spacing w:before="280" w:after="80"/>
      </w:pPr>
      <w:r>
        <w:rPr>
          <w:rFonts w:ascii="Calibri" w:hAnsi="Calibri"/>
          <w:b/>
          <w:color w:val="0096A6"/>
          <w:sz w:val="26"/>
        </w:rPr>
        <w:t>Relational Schema Ledger</w:t>
      </w:r>
    </w:p>
    <w:p>
      <w:r>
        <w:t>The relational database contains 14 tables (Users, Classrooms, Enrollments, WallPosts, Comments, Assignments, Submissions, Grades, ProctorSessions, ProctorAlerts, AuditLogs, SystemSettings, QuizSources, QuizQuestions).</w:t>
      </w:r>
    </w:p>
    <w:p>
      <w:pPr>
        <w:keepNext/>
        <w:spacing w:before="280" w:after="80"/>
      </w:pPr>
      <w:r>
        <w:rPr>
          <w:rFonts w:ascii="Calibri" w:hAnsi="Calibri"/>
          <w:b/>
          <w:color w:val="0096A6"/>
          <w:sz w:val="26"/>
        </w:rPr>
        <w:t>Security &amp; Immutable Audit Ledger</w:t>
      </w:r>
    </w:p>
    <w:p>
      <w:r>
        <w:t>To ensure compliance, all teacher overrides and agent logs are written to an immutable Audit Log. Each row contains a SHA-256 hash calculated from its data plus the hash of the preceding row. Manually modifying a row in PostgreSQL breaks the cryptographic link chain, flagging tampered logs instantly.</w:t>
      </w:r>
    </w:p>
    <w:p>
      <w:pPr>
        <w:keepNext/>
        <w:spacing w:before="400" w:after="120"/>
      </w:pPr>
      <w:r>
        <w:rPr>
          <w:rFonts w:ascii="Calibri" w:hAnsi="Calibri"/>
          <w:b/>
          <w:color w:val="1A365D"/>
          <w:sz w:val="32"/>
        </w:rPr>
        <w:t>6. Deployment and DevOps</w:t>
      </w:r>
    </w:p>
    <w:p>
      <w:r>
        <w:t>All services are containerized using Docker. A central `docker-compose.yml` orchestrates all 7 microservices along with PostgreSQL and Redis containers. Health checks prevent Dependent services (like FastAPI) from starting up before the database reports ready. Local volume mounts map folders inside container runtimes to allow uvicorn's `--reload` parameter to hot-reload code edits dynamically.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Confidential -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EngageAI Multi-Agent LMS Portal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