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pPr>
      <w:r>
        <w:rPr>
          <w:b/>
          <w:sz w:val="40"/>
          <w:szCs w:val="40"/>
        </w:rPr>
        <w:t xml:space="preserve">Detailed methods</w:t>
      </w:r>
    </w:p>
    <w:p>
      <w:pPr>
        <w:jc w:val="center"/>
      </w:pPr>
      <w:r>
        <w:rPr>
          <w:sz w:val="26"/>
          <w:szCs w:val="26"/>
        </w:rPr>
        <w:t xml:space="preserve">Latent prior updating in the International Brain Laboratory decision task</w:t>
      </w:r>
    </w:p>
    <w:p>
      <w:pPr/>
      <w:r>
        <w:t xml:space="preserve"/>
      </w:r>
    </w:p>
    <w:p>
      <w:pPr>
        <w:pStyle w:val="Heading1"/>
        <w:spacing w:before="240" w:after="120"/>
      </w:pPr>
      <w:r>
        <w:rPr>
          <w:b/>
          <w:sz w:val="32"/>
        </w:rPr>
        <w:t xml:space="preserve">1. Aim</w:t>
      </w:r>
    </w:p>
    <w:p>
      <w:pPr/>
      <w:r>
        <w:t xml:space="preserve">We ask which model class best explains trial-by-trial updating of a hidden block prior in the IBL visuospatial decision task: a standard tanh recurrent network trained with backpropagation through time (tanh BPTT), an architecturally identical tanh network trained with predictive-coding credit assignment (tanh PC), a gated recurrent unit (GRU), or an explicit online Bayesian prior model (Bayes).</w:t>
      </w:r>
    </w:p>
    <w:p>
      <w:pPr/>
      <w:r>
        <w:t xml:space="preserve">Models are trained only on synthetic IBL-like sessions. Primary ranking uses held-out synthetic data. Secondary checks are frozen transfer to real mouse behavior and neural alignment in regions previously linked to subjective prior coding.</w:t>
      </w:r>
    </w:p>
    <w:p>
      <w:pPr>
        <w:pStyle w:val="Heading1"/>
        <w:spacing w:before="240" w:after="120"/>
      </w:pPr>
      <w:r>
        <w:rPr>
          <w:b/>
          <w:sz w:val="32"/>
        </w:rPr>
        <w:t xml:space="preserve">2. Data and shared cohort</w:t>
      </w:r>
    </w:p>
    <w:p>
      <w:pPr/>
      <w:r>
        <w:t xml:space="preserve">Behavior transfer and neural analyses use the same 8 sessions. Each session passes almost-perfect behavior quality control and has Neuropixels spikes in at least one region of interest. Because no single insertion covers all regions, sessions are selected so that the union of the cohort covers the full ROI set (greedy set cover, preferring multi-region and primary cortical sessions).</w:t>
      </w:r>
    </w:p>
    <w:p>
      <w:pPr/>
      <w:r>
        <w:t xml:space="preserve">Regions covered in the locked cohort: ACAd, MOp, MOs, vlOFC_orbvl.</w:t>
      </w:r>
    </w:p>
    <w:p>
      <w:pPr/>
      <w:r>
        <w:rPr>
          <w:i/>
        </w:rPr>
        <w:t xml:space="preserve">Note. Per-region neural statistics use only the sessions that contain that region. Sparse regions (for example LGd or SCm with one session) are exploratory.</w:t>
      </w:r>
    </w:p>
    <w:p>
      <w:pPr>
        <w:pStyle w:val="Heading1"/>
        <w:spacing w:before="240" w:after="120"/>
      </w:pPr>
      <w:r>
        <w:rPr>
          <w:b/>
          <w:sz w:val="32"/>
        </w:rPr>
        <w:t xml:space="preserve">3. Regions of interest</w:t>
      </w:r>
    </w:p>
    <w:p>
      <w:pPr/>
      <w:r>
        <w:t xml:space="preserve">Region choice follows published IBL analyses of block priors and brain-wide coding. The standardized behavior paper establishes that mice use block structure. The brain-wide map paper reports stimulus, choice, action, and reward maps and refers prior analyses to its companion. That companion reports widespread decoding of a Bayes-optimal subjective prior, including early sensory, motor, and high-level cortical sites.</w:t>
      </w:r>
    </w:p>
    <w:p>
      <w:pPr/>
      <w:r>
        <w:rPr>
          <w:b/>
          <w:i/>
        </w:rPr>
        <w:t xml:space="preserve">Source papers</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2620"/>
        <w:gridCol w:w="3931"/>
        <w:gridCol w:w="2809"/>
      </w:tblGrid>
      <w:tr>
        <w:tc>
          <w:tcPr>
            <w:tcW w:w="2620" w:type="dxa"/>
            <w:shd w:val="clear" w:fill="EEEEEE"/>
            <w:vAlign w:val="center"/>
          </w:tcPr>
          <w:p>
            <w:pPr>
              <w:spacing w:before="40" w:after="40"/>
            </w:pPr>
            <w:r>
              <w:rPr>
                <w:b/>
                <w:sz w:val="18"/>
              </w:rPr>
              <w:t xml:space="preserve">Paper</w:t>
            </w:r>
          </w:p>
        </w:tc>
        <w:tc>
          <w:tcPr>
            <w:tcW w:w="3931" w:type="dxa"/>
            <w:shd w:val="clear" w:fill="EEEEEE"/>
            <w:vAlign w:val="center"/>
          </w:tcPr>
          <w:p>
            <w:pPr>
              <w:spacing w:before="40" w:after="40"/>
            </w:pPr>
            <w:r>
              <w:rPr>
                <w:b/>
                <w:sz w:val="18"/>
              </w:rPr>
              <w:t xml:space="preserve">Link</w:t>
            </w:r>
          </w:p>
        </w:tc>
        <w:tc>
          <w:tcPr>
            <w:tcW w:w="2809" w:type="dxa"/>
            <w:shd w:val="clear" w:fill="EEEEEE"/>
            <w:vAlign w:val="center"/>
          </w:tcPr>
          <w:p>
            <w:pPr>
              <w:spacing w:before="40" w:after="40"/>
            </w:pPr>
            <w:r>
              <w:rPr>
                <w:b/>
                <w:sz w:val="18"/>
              </w:rPr>
              <w:t xml:space="preserve">Role</w:t>
            </w:r>
          </w:p>
        </w:tc>
      </w:tr>
      <w:tr>
        <w:tc>
          <w:tcPr>
            <w:tcW w:w="2620" w:type="dxa"/>
            <w:vAlign w:val="center"/>
          </w:tcPr>
          <w:p>
            <w:pPr>
              <w:spacing w:before="40" w:after="40"/>
            </w:pPr>
            <w:r>
              <w:rPr>
                <w:sz w:val="18"/>
              </w:rPr>
              <w:t xml:space="preserve">Findling et al., Nature 2025</w:t>
            </w:r>
          </w:p>
        </w:tc>
        <w:tc>
          <w:tcPr>
            <w:tcW w:w="3931" w:type="dxa"/>
            <w:vAlign w:val="center"/>
          </w:tcPr>
          <w:p>
            <w:pPr>
              <w:spacing w:before="40" w:after="40"/>
            </w:pPr>
            <w:r>
              <w:rPr>
                <w:sz w:val="18"/>
              </w:rPr>
              <w:t xml:space="preserve">https://www.nature.com/articles/s41586-025-09226-1</w:t>
            </w:r>
          </w:p>
        </w:tc>
        <w:tc>
          <w:tcPr>
            <w:tcW w:w="2809" w:type="dxa"/>
            <w:vAlign w:val="center"/>
          </w:tcPr>
          <w:p>
            <w:pPr>
              <w:spacing w:before="40" w:after="40"/>
            </w:pPr>
            <w:r>
              <w:rPr>
                <w:sz w:val="18"/>
              </w:rPr>
              <w:t xml:space="preserve">Primary source for subjective-prior anatomy</w:t>
            </w:r>
          </w:p>
        </w:tc>
      </w:tr>
      <w:tr>
        <w:tc>
          <w:tcPr>
            <w:tcW w:w="2620" w:type="dxa"/>
            <w:vAlign w:val="center"/>
          </w:tcPr>
          <w:p>
            <w:pPr>
              <w:spacing w:before="40" w:after="40"/>
            </w:pPr>
            <w:r>
              <w:rPr>
                <w:sz w:val="18"/>
              </w:rPr>
              <w:t xml:space="preserve">IBL brain-wide map, Nature 2025</w:t>
            </w:r>
          </w:p>
        </w:tc>
        <w:tc>
          <w:tcPr>
            <w:tcW w:w="3931" w:type="dxa"/>
            <w:vAlign w:val="center"/>
          </w:tcPr>
          <w:p>
            <w:pPr>
              <w:spacing w:before="40" w:after="40"/>
            </w:pPr>
            <w:r>
              <w:rPr>
                <w:sz w:val="18"/>
              </w:rPr>
              <w:t xml:space="preserve">https://www.nature.com/articles/s41586-025-09235-0</w:t>
            </w:r>
          </w:p>
        </w:tc>
        <w:tc>
          <w:tcPr>
            <w:tcW w:w="2809" w:type="dxa"/>
            <w:vAlign w:val="center"/>
          </w:tcPr>
          <w:p>
            <w:pPr>
              <w:spacing w:before="40" w:after="40"/>
            </w:pPr>
            <w:r>
              <w:rPr>
                <w:sz w:val="18"/>
              </w:rPr>
              <w:t xml:space="preserve">BWM context; prior analyses in companion</w:t>
            </w:r>
          </w:p>
        </w:tc>
      </w:tr>
      <w:tr>
        <w:tc>
          <w:tcPr>
            <w:tcW w:w="2620" w:type="dxa"/>
            <w:vAlign w:val="center"/>
          </w:tcPr>
          <w:p>
            <w:pPr>
              <w:spacing w:before="40" w:after="40"/>
            </w:pPr>
            <w:r>
              <w:rPr>
                <w:sz w:val="18"/>
              </w:rPr>
              <w:t xml:space="preserve">IBL standardized behavior, eLife 2021</w:t>
            </w:r>
          </w:p>
        </w:tc>
        <w:tc>
          <w:tcPr>
            <w:tcW w:w="3931" w:type="dxa"/>
            <w:vAlign w:val="center"/>
          </w:tcPr>
          <w:p>
            <w:pPr>
              <w:spacing w:before="40" w:after="40"/>
            </w:pPr>
            <w:r>
              <w:rPr>
                <w:sz w:val="18"/>
              </w:rPr>
              <w:t xml:space="preserve">https://elifesciences.org/articles/63711</w:t>
            </w:r>
          </w:p>
        </w:tc>
        <w:tc>
          <w:tcPr>
            <w:tcW w:w="2809" w:type="dxa"/>
            <w:vAlign w:val="center"/>
          </w:tcPr>
          <w:p>
            <w:pPr>
              <w:spacing w:before="40" w:after="40"/>
            </w:pPr>
            <w:r>
              <w:rPr>
                <w:sz w:val="18"/>
              </w:rPr>
              <w:t xml:space="preserve">Task and behavioral prior use</w:t>
            </w:r>
          </w:p>
        </w:tc>
      </w:tr>
    </w:tbl>
    <w:p>
      <w:pPr/>
      <w:r>
        <w:t xml:space="preserve"/>
      </w:r>
    </w:p>
    <w:p>
      <w:pPr/>
      <w:r>
        <w:rPr>
          <w:b/>
          <w:i/>
        </w:rPr>
        <w:t xml:space="preserve">Primary regions of interest (analysis scope)</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2433"/>
        <w:gridCol w:w="1123"/>
        <w:gridCol w:w="1684"/>
        <w:gridCol w:w="4120"/>
      </w:tblGrid>
      <w:tr>
        <w:tc>
          <w:tcPr>
            <w:tcW w:w="2433" w:type="dxa"/>
            <w:shd w:val="clear" w:fill="EEEEEE"/>
            <w:vAlign w:val="center"/>
          </w:tcPr>
          <w:p>
            <w:pPr>
              <w:spacing w:before="40" w:after="40"/>
            </w:pPr>
            <w:r>
              <w:rPr>
                <w:b/>
                <w:sz w:val="18"/>
              </w:rPr>
              <w:t xml:space="preserve">Region</w:t>
            </w:r>
          </w:p>
        </w:tc>
        <w:tc>
          <w:tcPr>
            <w:tcW w:w="1123" w:type="dxa"/>
            <w:shd w:val="clear" w:fill="EEEEEE"/>
            <w:vAlign w:val="center"/>
          </w:tcPr>
          <w:p>
            <w:pPr>
              <w:spacing w:before="40" w:after="40"/>
            </w:pPr>
            <w:r>
              <w:rPr>
                <w:b/>
                <w:sz w:val="18"/>
              </w:rPr>
              <w:t xml:space="preserve">Allen</w:t>
            </w:r>
          </w:p>
        </w:tc>
        <w:tc>
          <w:tcPr>
            <w:tcW w:w="1684" w:type="dxa"/>
            <w:shd w:val="clear" w:fill="EEEEEE"/>
            <w:vAlign w:val="center"/>
          </w:tcPr>
          <w:p>
            <w:pPr>
              <w:spacing w:before="40" w:after="40"/>
            </w:pPr>
            <w:r>
              <w:rPr>
                <w:b/>
                <w:sz w:val="18"/>
              </w:rPr>
              <w:t xml:space="preserve">Tier</w:t>
            </w:r>
          </w:p>
        </w:tc>
        <w:tc>
          <w:tcPr>
            <w:tcW w:w="4120" w:type="dxa"/>
            <w:shd w:val="clear" w:fill="EEEEEE"/>
            <w:vAlign w:val="center"/>
          </w:tcPr>
          <w:p>
            <w:pPr>
              <w:spacing w:before="40" w:after="40"/>
            </w:pPr>
            <w:r>
              <w:rPr>
                <w:b/>
                <w:sz w:val="18"/>
              </w:rPr>
              <w:t xml:space="preserve">Why included</w:t>
            </w:r>
          </w:p>
        </w:tc>
      </w:tr>
      <w:tr>
        <w:tc>
          <w:tcPr>
            <w:tcW w:w="2433" w:type="dxa"/>
            <w:vAlign w:val="center"/>
          </w:tcPr>
          <w:p>
            <w:pPr>
              <w:spacing w:before="40" w:after="40"/>
            </w:pPr>
            <w:r>
              <w:rPr>
                <w:sz w:val="18"/>
              </w:rPr>
              <w:t xml:space="preserve">Secondary motor</w:t>
            </w:r>
          </w:p>
        </w:tc>
        <w:tc>
          <w:tcPr>
            <w:tcW w:w="1123" w:type="dxa"/>
            <w:vAlign w:val="center"/>
          </w:tcPr>
          <w:p>
            <w:pPr>
              <w:spacing w:before="40" w:after="40"/>
            </w:pPr>
            <w:r>
              <w:rPr>
                <w:sz w:val="18"/>
              </w:rPr>
              <w:t xml:space="preserve">MOs</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Strong prior decoding; core claim site</w:t>
            </w:r>
          </w:p>
        </w:tc>
      </w:tr>
      <w:tr>
        <w:tc>
          <w:tcPr>
            <w:tcW w:w="2433" w:type="dxa"/>
            <w:vAlign w:val="center"/>
          </w:tcPr>
          <w:p>
            <w:pPr>
              <w:spacing w:before="40" w:after="40"/>
            </w:pPr>
            <w:r>
              <w:rPr>
                <w:sz w:val="18"/>
              </w:rPr>
              <w:t xml:space="preserve">Ventrolateral OFC</w:t>
            </w:r>
          </w:p>
        </w:tc>
        <w:tc>
          <w:tcPr>
            <w:tcW w:w="1123" w:type="dxa"/>
            <w:vAlign w:val="center"/>
          </w:tcPr>
          <w:p>
            <w:pPr>
              <w:spacing w:before="40" w:after="40"/>
            </w:pPr>
            <w:r>
              <w:rPr>
                <w:sz w:val="18"/>
              </w:rPr>
              <w:t xml:space="preserve">ORBvl</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High-level prior example site</w:t>
            </w:r>
          </w:p>
        </w:tc>
      </w:tr>
      <w:tr>
        <w:tc>
          <w:tcPr>
            <w:tcW w:w="2433" w:type="dxa"/>
            <w:vAlign w:val="center"/>
          </w:tcPr>
          <w:p>
            <w:pPr>
              <w:spacing w:before="40" w:after="40"/>
            </w:pPr>
            <w:r>
              <w:rPr>
                <w:sz w:val="18"/>
              </w:rPr>
              <w:t xml:space="preserve">Dorsal ACC</w:t>
            </w:r>
          </w:p>
        </w:tc>
        <w:tc>
          <w:tcPr>
            <w:tcW w:w="1123" w:type="dxa"/>
            <w:vAlign w:val="center"/>
          </w:tcPr>
          <w:p>
            <w:pPr>
              <w:spacing w:before="40" w:after="40"/>
            </w:pPr>
            <w:r>
              <w:rPr>
                <w:sz w:val="18"/>
              </w:rPr>
              <w:t xml:space="preserve">ACAd</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Named high-level cortical prior site</w:t>
            </w:r>
          </w:p>
        </w:tc>
      </w:tr>
      <w:tr>
        <w:tc>
          <w:tcPr>
            <w:tcW w:w="2433" w:type="dxa"/>
            <w:vAlign w:val="center"/>
          </w:tcPr>
          <w:p>
            <w:pPr>
              <w:spacing w:before="40" w:after="40"/>
            </w:pPr>
            <w:r>
              <w:rPr>
                <w:sz w:val="18"/>
              </w:rPr>
              <w:t xml:space="preserve">Primary motor</w:t>
            </w:r>
          </w:p>
        </w:tc>
        <w:tc>
          <w:tcPr>
            <w:tcW w:w="1123" w:type="dxa"/>
            <w:vAlign w:val="center"/>
          </w:tcPr>
          <w:p>
            <w:pPr>
              <w:spacing w:before="40" w:after="40"/>
            </w:pPr>
            <w:r>
              <w:rPr>
                <w:sz w:val="18"/>
              </w:rPr>
              <w:t xml:space="preserve">MOp</w:t>
            </w:r>
          </w:p>
        </w:tc>
        <w:tc>
          <w:tcPr>
            <w:tcW w:w="1684" w:type="dxa"/>
            <w:vAlign w:val="center"/>
          </w:tcPr>
          <w:p>
            <w:pPr>
              <w:spacing w:before="40" w:after="40"/>
            </w:pPr>
            <w:r>
              <w:rPr>
                <w:sz w:val="18"/>
              </w:rPr>
              <w:t xml:space="preserve">Motor</w:t>
            </w:r>
          </w:p>
        </w:tc>
        <w:tc>
          <w:tcPr>
            <w:tcW w:w="4120" w:type="dxa"/>
            <w:vAlign w:val="center"/>
          </w:tcPr>
          <w:p>
            <w:pPr>
              <w:spacing w:before="40" w:after="40"/>
            </w:pPr>
            <w:r>
              <w:rPr>
                <w:sz w:val="18"/>
              </w:rPr>
              <w:t xml:space="preserve">Motor partner of MOs</w:t>
            </w:r>
          </w:p>
        </w:tc>
      </w:tr>
    </w:tbl>
    <w:p>
      <w:pPr/>
      <w:r>
        <w:t xml:space="preserve"/>
      </w:r>
    </w:p>
    <w:p>
      <w:pPr/>
      <w:r>
        <w:rPr>
          <w:i/>
        </w:rPr>
        <w:t xml:space="preserve">Note. Optional deferred ROIs (not in the current analysis loop): CP, VISp, LGd, SCm, GRN, ORBm, PL, ILA. Findling et al. also report embodied priors (posture / eye position); early sensory sites are especially control-sensitive and are deferred for that reason.</w:t>
      </w:r>
    </w:p>
    <w:p>
      <w:pPr>
        <w:pStyle w:val="Heading1"/>
        <w:spacing w:before="240" w:after="120"/>
      </w:pPr>
      <w:r>
        <w:rPr>
          <w:b/>
          <w:sz w:val="32"/>
        </w:rPr>
        <w:t xml:space="preserve">4. Trial encoding</w:t>
      </w:r>
    </w:p>
    <w:p>
      <w:pPr/>
      <w:r>
        <w:t xml:space="preserve">Each trial is mapped to 100 ms ticks with shared channels: visual right and left (side × contrast magnitude), go cue, action left and right, rewarded, and not rewarded. Synthetic phase durations follow empirical event-time statistics. Real sessions use the same schema without sensory noise.</w:t>
      </w:r>
    </w:p>
    <w:p>
      <w:pPr/>
      <w:r>
        <w:t xml:space="preserve">Three evaluation regimes are used. History-only is primary: the model must infer the block prior from experience. Full-information adds an evaluation-time oracle bias from the true block log-odds. Fixed-prior restricts analysis to unbiased blocks (P(right) ≈ 0.5).</w:t>
      </w:r>
    </w:p>
    <w:p>
      <w:pPr>
        <w:pStyle w:val="Heading1"/>
        <w:spacing w:before="240" w:after="120"/>
      </w:pPr>
      <w:r>
        <w:rPr>
          <w:b/>
          <w:sz w:val="32"/>
        </w:rPr>
        <w:t xml:space="preserve">5. Models and training</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1684"/>
        <w:gridCol w:w="3744"/>
        <w:gridCol w:w="3932"/>
      </w:tblGrid>
      <w:tr>
        <w:tc>
          <w:tcPr>
            <w:tcW w:w="1684" w:type="dxa"/>
            <w:shd w:val="clear" w:fill="EEEEEE"/>
            <w:vAlign w:val="center"/>
          </w:tcPr>
          <w:p>
            <w:pPr>
              <w:spacing w:before="40" w:after="40"/>
            </w:pPr>
            <w:r>
              <w:rPr>
                <w:b/>
                <w:sz w:val="18"/>
              </w:rPr>
              <w:t xml:space="preserve">Model</w:t>
            </w:r>
          </w:p>
        </w:tc>
        <w:tc>
          <w:tcPr>
            <w:tcW w:w="3744" w:type="dxa"/>
            <w:shd w:val="clear" w:fill="EEEEEE"/>
            <w:vAlign w:val="center"/>
          </w:tcPr>
          <w:p>
            <w:pPr>
              <w:spacing w:before="40" w:after="40"/>
            </w:pPr>
            <w:r>
              <w:rPr>
                <w:b/>
                <w:sz w:val="18"/>
              </w:rPr>
              <w:t xml:space="preserve">Test-time computation</w:t>
            </w:r>
          </w:p>
        </w:tc>
        <w:tc>
          <w:tcPr>
            <w:tcW w:w="3932" w:type="dxa"/>
            <w:shd w:val="clear" w:fill="EEEEEE"/>
            <w:vAlign w:val="center"/>
          </w:tcPr>
          <w:p>
            <w:pPr>
              <w:spacing w:before="40" w:after="40"/>
            </w:pPr>
            <w:r>
              <w:rPr>
                <w:b/>
                <w:sz w:val="18"/>
              </w:rPr>
              <w:t xml:space="preserve">Training</w:t>
            </w:r>
          </w:p>
        </w:tc>
      </w:tr>
      <w:tr>
        <w:tc>
          <w:tcPr>
            <w:tcW w:w="1684" w:type="dxa"/>
            <w:vAlign w:val="center"/>
          </w:tcPr>
          <w:p>
            <w:pPr>
              <w:spacing w:before="40" w:after="40"/>
            </w:pPr>
            <w:r>
              <w:rPr>
                <w:sz w:val="18"/>
              </w:rPr>
              <w:t xml:space="preserve">tanh BPTT</w:t>
            </w:r>
          </w:p>
        </w:tc>
        <w:tc>
          <w:tcPr>
            <w:tcW w:w="3744" w:type="dxa"/>
            <w:vAlign w:val="center"/>
          </w:tcPr>
          <w:p>
            <w:pPr>
              <w:spacing w:before="40" w:after="40"/>
            </w:pPr>
            <w:r>
              <w:rPr>
                <w:sz w:val="18"/>
              </w:rPr>
              <w:t xml:space="preserve">Vanilla tanh RNN</w:t>
            </w:r>
          </w:p>
        </w:tc>
        <w:tc>
          <w:tcPr>
            <w:tcW w:w="3932" w:type="dxa"/>
            <w:vAlign w:val="center"/>
          </w:tcPr>
          <w:p>
            <w:pPr>
              <w:spacing w:before="40" w:after="40"/>
            </w:pPr>
            <w:r>
              <w:rPr>
                <w:sz w:val="18"/>
              </w:rPr>
              <w:t xml:space="preserve">Backpropagation through time</w:t>
            </w:r>
          </w:p>
        </w:tc>
      </w:tr>
      <w:tr>
        <w:tc>
          <w:tcPr>
            <w:tcW w:w="1684" w:type="dxa"/>
            <w:vAlign w:val="center"/>
          </w:tcPr>
          <w:p>
            <w:pPr>
              <w:spacing w:before="40" w:after="40"/>
            </w:pPr>
            <w:r>
              <w:rPr>
                <w:sz w:val="18"/>
              </w:rPr>
              <w:t xml:space="preserve">tanh PC</w:t>
            </w:r>
          </w:p>
        </w:tc>
        <w:tc>
          <w:tcPr>
            <w:tcW w:w="3744" w:type="dxa"/>
            <w:vAlign w:val="center"/>
          </w:tcPr>
          <w:p>
            <w:pPr>
              <w:spacing w:before="40" w:after="40"/>
            </w:pPr>
            <w:r>
              <w:rPr>
                <w:sz w:val="18"/>
              </w:rPr>
              <w:t xml:space="preserve">Identical tanh RNN</w:t>
            </w:r>
          </w:p>
        </w:tc>
        <w:tc>
          <w:tcPr>
            <w:tcW w:w="3932" w:type="dxa"/>
            <w:vAlign w:val="center"/>
          </w:tcPr>
          <w:p>
            <w:pPr>
              <w:spacing w:before="40" w:after="40"/>
            </w:pPr>
            <w:r>
              <w:rPr>
                <w:sz w:val="18"/>
              </w:rPr>
              <w:t xml:space="preserve">Predictive-coding credit assignment</w:t>
            </w:r>
          </w:p>
        </w:tc>
      </w:tr>
      <w:tr>
        <w:tc>
          <w:tcPr>
            <w:tcW w:w="1684" w:type="dxa"/>
            <w:vAlign w:val="center"/>
          </w:tcPr>
          <w:p>
            <w:pPr>
              <w:spacing w:before="40" w:after="40"/>
            </w:pPr>
            <w:r>
              <w:rPr>
                <w:sz w:val="18"/>
              </w:rPr>
              <w:t xml:space="preserve">GRU</w:t>
            </w:r>
          </w:p>
        </w:tc>
        <w:tc>
          <w:tcPr>
            <w:tcW w:w="3744" w:type="dxa"/>
            <w:vAlign w:val="center"/>
          </w:tcPr>
          <w:p>
            <w:pPr>
              <w:spacing w:before="40" w:after="40"/>
            </w:pPr>
            <w:r>
              <w:rPr>
                <w:sz w:val="18"/>
              </w:rPr>
              <w:t xml:space="preserve">Gated recurrent unit</w:t>
            </w:r>
          </w:p>
        </w:tc>
        <w:tc>
          <w:tcPr>
            <w:tcW w:w="3932" w:type="dxa"/>
            <w:vAlign w:val="center"/>
          </w:tcPr>
          <w:p>
            <w:pPr>
              <w:spacing w:before="40" w:after="40"/>
            </w:pPr>
            <w:r>
              <w:rPr>
                <w:sz w:val="18"/>
              </w:rPr>
              <w:t xml:space="preserve">Backpropagation through time</w:t>
            </w:r>
          </w:p>
        </w:tc>
      </w:tr>
      <w:tr>
        <w:tc>
          <w:tcPr>
            <w:tcW w:w="1684" w:type="dxa"/>
            <w:vAlign w:val="center"/>
          </w:tcPr>
          <w:p>
            <w:pPr>
              <w:spacing w:before="40" w:after="40"/>
            </w:pPr>
            <w:r>
              <w:rPr>
                <w:sz w:val="18"/>
              </w:rPr>
              <w:t xml:space="preserve">Bayes</w:t>
            </w:r>
          </w:p>
        </w:tc>
        <w:tc>
          <w:tcPr>
            <w:tcW w:w="3744" w:type="dxa"/>
            <w:vAlign w:val="center"/>
          </w:tcPr>
          <w:p>
            <w:pPr>
              <w:spacing w:before="40" w:after="40"/>
            </w:pPr>
            <w:r>
              <w:rPr>
                <w:sz w:val="18"/>
              </w:rPr>
              <w:t xml:space="preserve">Explicit online prior + stimulus readout</w:t>
            </w:r>
          </w:p>
        </w:tc>
        <w:tc>
          <w:tcPr>
            <w:tcW w:w="3932" w:type="dxa"/>
            <w:vAlign w:val="center"/>
          </w:tcPr>
          <w:p>
            <w:pPr>
              <w:spacing w:before="40" w:after="40"/>
            </w:pPr>
            <w:r>
              <w:rPr>
                <w:sz w:val="18"/>
              </w:rPr>
              <w:t xml:space="preserve">Likelihood / parameter gradients</w:t>
            </w:r>
          </w:p>
        </w:tc>
      </w:tr>
    </w:tbl>
    <w:p>
      <w:pPr/>
      <w:r>
        <w:t xml:space="preserve"/>
      </w:r>
    </w:p>
    <w:p>
      <w:pPr/>
      <w:r>
        <w:t xml:space="preserve">All models share the same input channels and are scored against the correct stimulus side. Training uses synthetic sessions only. Weights are frozen for real transfer. On real rollouts, mouse actions and rewards are history inputs; they are never the training target.</w:t>
      </w:r>
    </w:p>
    <w:p>
      <w:pPr>
        <w:pStyle w:val="Heading1"/>
        <w:spacing w:before="240" w:after="120"/>
      </w:pPr>
      <w:r>
        <w:rPr>
          <w:b/>
          <w:sz w:val="32"/>
        </w:rPr>
        <w:t xml:space="preserve">6. Behavioral metrics</w:t>
      </w:r>
    </w:p>
    <w:p>
      <w:pPr>
        <w:pStyle w:val="ListParagraph"/>
        <w:ind w:left="360" w:hanging="180"/>
      </w:pPr>
      <w:r>
        <w:t xml:space="preserve">• Correctness: fraction of trials where the model choice equals the correct stimulus side.</w:t>
      </w:r>
    </w:p>
    <w:p>
      <w:pPr>
        <w:pStyle w:val="ListParagraph"/>
        <w:ind w:left="360" w:hanging="180"/>
      </w:pPr>
      <w:r>
        <w:t xml:space="preserve">• Balanced correctness: equal-weight mean of correctness in blocks with P(right) = 0.2, 0.5, and 0.8.</w:t>
      </w:r>
    </w:p>
    <w:p>
      <w:pPr>
        <w:pStyle w:val="ListParagraph"/>
        <w:ind w:left="360" w:hanging="180"/>
      </w:pPr>
      <w:r>
        <w:t xml:space="preserve">• History gap: mean zero-evidence P(right) in 0.8 blocks minus that in 0.2 blocks. Zero-evidence is a counterfactual probe with sensory contrast held at zero.</w:t>
      </w:r>
    </w:p>
    <w:p>
      <w:pPr>
        <w:pStyle w:val="ListParagraph"/>
        <w:ind w:left="360" w:hanging="180"/>
      </w:pPr>
      <w:r>
        <w:t xml:space="preserve">• Switch-centered curves: zero-evidence belief aligned to block transitions.</w:t>
      </w:r>
    </w:p>
    <w:p>
      <w:pPr>
        <w:pStyle w:val="Heading1"/>
        <w:spacing w:before="240" w:after="120"/>
      </w:pPr>
      <w:r>
        <w:rPr>
          <w:b/>
          <w:sz w:val="32"/>
        </w:rPr>
        <w:t xml:space="preserve">7. Neural prior comparison</w:t>
      </w:r>
    </w:p>
    <w:p>
      <w:pPr/>
      <w:r>
        <w:t xml:space="preserve">This section asks a different question from the behavioral scorecards. Behavior asks: which model chooses more like the task (or more like the mouse)? Neural comparison asks: once we have built a one-dimensional summary of how a brain region tracks the mouse’s trial-by-trial prior, which model’s latent belief best tracks that same neural summary? The goal is not to claim that the model is the brain, but to test which model’s internal belief trajectory is most aligned with a behavior-defined neural prior axis in regions previously linked to prior encoding.</w:t>
      </w:r>
    </w:p>
    <w:p>
      <w:pPr>
        <w:pStyle w:val="Heading2"/>
        <w:spacing w:before="240" w:after="120"/>
      </w:pPr>
      <w:r>
        <w:rPr>
          <w:b/>
          <w:sz w:val="26"/>
        </w:rPr>
        <w:t xml:space="preserve">7.1 Intuition: from spikes to a neural prior axis</w:t>
      </w:r>
    </w:p>
    <w:p>
      <w:pPr/>
      <w:r>
        <w:t xml:space="preserve">On each trial, many neurons in a region fire at different rates. Those rates likely mix sensory, motor, and cognitive signals. We do not compare the full population vector to a model. Instead we construct a single number per trial that is meant to capture the region’s encoding of the mouse’s subjective prior — call this the neural prior axis, denoted û_t. Conceptually:</w:t>
      </w:r>
    </w:p>
    <w:p>
      <w:pPr>
        <w:pStyle w:val="ListParagraph"/>
        <w:ind w:left="360" w:hanging="180"/>
      </w:pPr>
      <w:r>
        <w:t xml:space="preserve">• Step A — estimate what prior the mouse appears to be using from behavior alone (mouse prior p̂_t).</w:t>
      </w:r>
    </w:p>
    <w:p>
      <w:pPr>
        <w:pStyle w:val="ListParagraph"/>
        <w:ind w:left="360" w:hanging="180"/>
      </w:pPr>
      <w:r>
        <w:t xml:space="preserve">• Step B — learn a linear map from the region’s peri-stimulus spike counts to that mouse prior, using cross-validated ridge regression, yielding û_t on held-out trials.</w:t>
      </w:r>
    </w:p>
    <w:p>
      <w:pPr>
        <w:pStyle w:val="ListParagraph"/>
        <w:ind w:left="360" w:hanging="180"/>
      </w:pPr>
      <w:r>
        <w:t xml:space="preserve">• Step C — ask how well each model’s belief q_t explains û_t on the same trials.</w:t>
      </w:r>
    </w:p>
    <w:p>
      <w:pPr>
        <w:pStyle w:val="ListParagraph"/>
        <w:ind w:left="360" w:hanging="180"/>
      </w:pPr>
      <w:r>
        <w:t xml:space="preserve">• Step D — only after models are matched on history-only choice quality do we treat a neural advantage as confirmatory (behavior-matched survival).</w:t>
      </w:r>
    </w:p>
    <w:p>
      <w:pPr/>
      <w:r>
        <w:t xml:space="preserve">This design separates three ideas that are easy to confuse: (i) the mouse’s behavioral prior estimate, (ii) the neural readout of that prior, and (iii) the model’s latent belief. The primary comparison is between (ii) and (iii), with (i) used only to define the neural axis.</w:t>
      </w:r>
    </w:p>
    <w:p>
      <w:pPr>
        <w:pStyle w:val="Heading2"/>
        <w:spacing w:before="240" w:after="120"/>
      </w:pPr>
      <w:r>
        <w:rPr>
          <w:b/>
          <w:sz w:val="26"/>
        </w:rPr>
        <w:t xml:space="preserve">7.2 Behavior-derived mouse prior (target for the neural axis)</w:t>
      </w:r>
    </w:p>
    <w:p>
      <w:pPr/>
      <w:r>
        <w:t xml:space="preserve">The mouse prior is not the true block probabilityLeft from the experimenter. It is a compact history-only estimate of the mouse’s subjective P(right) used as a bias in a logistic choice model. Concretely:</w:t>
      </w:r>
    </w:p>
    <w:p>
      <w:pPr>
        <w:pStyle w:val="ListParagraph"/>
        <w:ind w:left="360" w:hanging="180"/>
      </w:pPr>
      <w:r>
        <w:t xml:space="preserve">• Within each session, a leaky online estimate is updated from experienced stimulus sides: p_{t+1} = (1−α) p_t + α · 1{stimulus_right on trial t}, with p_t reported before the update (causal: p_t depends only on history before trial t).</w:t>
      </w:r>
    </w:p>
    <w:p>
      <w:pPr>
        <w:pStyle w:val="ListParagraph"/>
        <w:ind w:left="360" w:hanging="180"/>
      </w:pPr>
      <w:r>
        <w:t xml:space="preserve">• α is selected by grid search to minimize choice negative log-likelihood of a logistic model logit P(choice_right) = β0 + β_c · signed_contrast + β_p · (2p_t − 1).</w:t>
      </w:r>
    </w:p>
    <w:p>
      <w:pPr>
        <w:pStyle w:val="ListParagraph"/>
        <w:ind w:left="360" w:hanging="180"/>
      </w:pPr>
      <w:r>
        <w:t xml:space="preserve">• The resulting p_t series is the regression target for neural decoding. It is a behavior-derived proxy for subjective prior, not ground truth for neural state.</w:t>
      </w:r>
    </w:p>
    <w:p>
      <w:pPr>
        <w:pStyle w:val="Heading2"/>
        <w:spacing w:before="240" w:after="120"/>
      </w:pPr>
      <w:r>
        <w:rPr>
          <w:b/>
          <w:sz w:val="26"/>
        </w:rPr>
        <w:t xml:space="preserve">7.3 Neural features: peri-stimulus spike counts</w:t>
      </w:r>
    </w:p>
    <w:p>
      <w:pPr/>
      <w:r>
        <w:t xml:space="preserve">For each session and each primary region that contains sorted units in that session:</w:t>
      </w:r>
    </w:p>
    <w:p>
      <w:pPr>
        <w:pStyle w:val="ListParagraph"/>
        <w:ind w:left="360" w:hanging="180"/>
      </w:pPr>
      <w:r>
        <w:t xml:space="preserve">• Units are assigned to regions by Allen acronym mapping (MOs, ORBvl→vlOFC, ACAd, MOp).</w:t>
      </w:r>
    </w:p>
    <w:p>
      <w:pPr>
        <w:pStyle w:val="ListParagraph"/>
        <w:ind w:left="360" w:hanging="180"/>
      </w:pPr>
      <w:r>
        <w:t xml:space="preserve">• Spikes are aligned to stimulus onset (stimOn_times).</w:t>
      </w:r>
    </w:p>
    <w:p>
      <w:pPr>
        <w:pStyle w:val="ListParagraph"/>
        <w:ind w:left="360" w:hanging="180"/>
      </w:pPr>
      <w:r>
        <w:t xml:space="preserve">• For each trial and unit, we count spikes in the half-open window [−0.1, 0.3) seconds relative to stimulus onset (400 ms total). This is the locked peri-stimulus analysis window.</w:t>
      </w:r>
    </w:p>
    <w:p>
      <w:pPr>
        <w:pStyle w:val="ListParagraph"/>
        <w:ind w:left="360" w:hanging="180"/>
      </w:pPr>
      <w:r>
        <w:t xml:space="preserve">• The result is a matrix X of shape (n_trials × n_units) of raw spike counts for that session×region. Sessions without units in a region are skipped for that region (coverage is by cohort union, not every session in every ROI).</w:t>
      </w:r>
    </w:p>
    <w:p>
      <w:pPr>
        <w:pStyle w:val="Heading2"/>
        <w:spacing w:before="240" w:after="120"/>
      </w:pPr>
      <w:r>
        <w:rPr>
          <w:b/>
          <w:sz w:val="26"/>
        </w:rPr>
        <w:t xml:space="preserve">7.4 Building the neural prior axis (cross-validated ridge)</w:t>
      </w:r>
    </w:p>
    <w:p>
      <w:pPr/>
      <w:r>
        <w:t xml:space="preserve">We map X → mouse prior p̂ with ridge regression, always evaluating predictions out-of-fold so the axis is not trivially overfit to noise:</w:t>
      </w:r>
    </w:p>
    <w:p>
      <w:pPr>
        <w:pStyle w:val="ListParagraph"/>
        <w:ind w:left="360" w:hanging="180"/>
      </w:pPr>
      <w:r>
        <w:t xml:space="preserve">• Predictors X are z-scored within each training fold (StandardScaler fit on train, applied to test).</w:t>
      </w:r>
    </w:p>
    <w:p>
      <w:pPr>
        <w:pStyle w:val="ListParagraph"/>
        <w:ind w:left="360" w:hanging="180"/>
      </w:pPr>
      <w:r>
        <w:t xml:space="preserve">• Regressor: RidgeCV with a log-spaced grid of regularization strengths α ∈ {10^{−2} … 10^3} (12 values).</w:t>
      </w:r>
    </w:p>
    <w:p>
      <w:pPr>
        <w:pStyle w:val="ListParagraph"/>
        <w:ind w:left="360" w:hanging="180"/>
      </w:pPr>
      <w:r>
        <w:t xml:space="preserve">• Cross-validation: K-fold with K = 5 when enough trials exist (otherwise fewer folds), with shuffling and a fixed random seed for reproducibility. Each trial receives exactly one out-of-fold prediction û_t.</w:t>
      </w:r>
    </w:p>
    <w:p>
      <w:pPr>
        <w:pStyle w:val="ListParagraph"/>
        <w:ind w:left="360" w:hanging="180"/>
      </w:pPr>
      <w:r>
        <w:t xml:space="preserve">• Minimum data: if too few finite trials or zero units, that session×region is skipped (NaN VE).</w:t>
      </w:r>
    </w:p>
    <w:p>
      <w:pPr>
        <w:pStyle w:val="ListParagraph"/>
        <w:ind w:left="360" w:hanging="180"/>
      </w:pPr>
      <w:r>
        <w:t xml:space="preserve">• Optional diagnostics stored alongside: cross-validated variance explained of p̂ by û (how well the region can be read out to the mouse prior) and correlation(p̂, û).</w:t>
      </w:r>
    </w:p>
    <w:p>
      <w:pPr/>
      <w:r>
        <w:t xml:space="preserve">Importantly, û_t is defined from neural activity and the mouse prior only. Model beliefs do not enter the construction of the neural axis. This prevents circularity when later asking which model explains û.</w:t>
      </w:r>
    </w:p>
    <w:p>
      <w:pPr>
        <w:pStyle w:val="Heading2"/>
        <w:spacing w:before="240" w:after="120"/>
      </w:pPr>
      <w:r>
        <w:rPr>
          <w:b/>
          <w:sz w:val="26"/>
        </w:rPr>
        <w:t xml:space="preserve">7.5 Model belief as a predictor of the neural axis</w:t>
      </w:r>
    </w:p>
    <w:p>
      <w:pPr/>
      <w:r>
        <w:t xml:space="preserve">On the same trials, each frozen model produces a scalar belief q_t (zero-evidence P(right) under the evaluation regime of interest; neural analyses use the history-only real-transfer rollouts). We ask how much of the variance in û_t is explained by q_t.</w:t>
      </w:r>
    </w:p>
    <w:p>
      <w:pPr/>
      <w:r>
        <w:t xml:space="preserve">Variance explained is VE = 1 − SSE/SST, where SST is the total sum of squares of û around its mean and SSE is the residual sum of squares after a prediction. Two variants are computed:</w:t>
      </w:r>
    </w:p>
    <w:p>
      <w:pPr>
        <w:pStyle w:val="ListParagraph"/>
        <w:ind w:left="360" w:hanging="180"/>
      </w:pPr>
      <w:r>
        <w:t xml:space="preserve">• ve_raw: use q_t directly as the prediction of û_t. This penalizes scale and offset mismatches (a model that tracks the shape of û but lives on a different numeric scale can look worse).</w:t>
      </w:r>
    </w:p>
    <w:p>
      <w:pPr>
        <w:pStyle w:val="ListParagraph"/>
        <w:ind w:left="360" w:hanging="180"/>
      </w:pPr>
      <w:r>
        <w:t xml:space="preserve">• ve_linear_recal (primary): first fit a simple linear map û ≈ a · q + b by ordinary least squares on the same trials, then compute VE of û by that recalibrated prediction. This asks whether q and û share a linear relationship up to affine transform — the scientifically relevant notion of “tracks the same latent,” without requiring identical units or calibration.</w:t>
      </w:r>
    </w:p>
    <w:p>
      <w:pPr>
        <w:pStyle w:val="ListParagraph"/>
        <w:ind w:left="360" w:hanging="180"/>
      </w:pPr>
      <w:r>
        <w:t xml:space="preserve">• corr: Pearson correlation between û and q (secondary).</w:t>
      </w:r>
    </w:p>
    <w:p>
      <w:pPr/>
      <w:r>
        <w:t xml:space="preserve">Primary reported neural metric: ve_linear_recal, computed once per (session, region, model).</w:t>
      </w:r>
    </w:p>
    <w:p>
      <w:pPr>
        <w:pStyle w:val="Heading2"/>
        <w:spacing w:before="240" w:after="120"/>
      </w:pPr>
      <w:r>
        <w:rPr>
          <w:b/>
          <w:sz w:val="26"/>
        </w:rPr>
        <w:t xml:space="preserve">7.6 Aggregation across sessions</w:t>
      </w:r>
    </w:p>
    <w:p>
      <w:pPr/>
      <w:r>
        <w:t xml:space="preserve">For each region and model, we average ve_linear_recal across sessions that contribute that region. This session-mean is the ranking quantity plotted in the unmatched and matched neural boards. Using sessions as the unit of aggregation (rather than pooling all trials) respects that sessions differ in unit counts, noise, and coverage, and matches the resampling unit used in survival tests.</w:t>
      </w:r>
    </w:p>
    <w:p>
      <w:pPr>
        <w:pStyle w:val="Heading2"/>
        <w:spacing w:before="240" w:after="120"/>
      </w:pPr>
      <w:r>
        <w:rPr>
          <w:b/>
          <w:sz w:val="26"/>
        </w:rPr>
        <w:t xml:space="preserve">7.7 Why behavior matching? Unmatched vs confirmatory claims</w:t>
      </w:r>
    </w:p>
    <w:p>
      <w:pPr/>
      <w:r>
        <w:t xml:space="preserve">A model that fails at history-only choice may still correlate with a neural prior axis for incidental reasons, or a behaviorally superior model may look better neurally simply because it is a better behavioral model. Confirmatory neural claims therefore restrict attention to models that are approximately matched on the same shared cohort’s history-only choice quality.</w:t>
      </w:r>
    </w:p>
    <w:p>
      <w:pPr/>
      <w:r>
        <w:t xml:space="preserve">Matching rule (choice-primary ε-ball):</w:t>
      </w:r>
    </w:p>
    <w:p>
      <w:pPr>
        <w:pStyle w:val="ListParagraph"/>
        <w:ind w:left="360" w:hanging="180"/>
      </w:pPr>
      <w:r>
        <w:t xml:space="preserve">• Compute each model’s mean trial cross-entropy (choice NLL) on the shared behavior+neural cohort under real history-only evaluation.</w:t>
      </w:r>
    </w:p>
    <w:p>
      <w:pPr>
        <w:pStyle w:val="ListParagraph"/>
        <w:ind w:left="360" w:hanging="180"/>
      </w:pPr>
      <w:r>
        <w:t xml:space="preserve">• Let CE★ be the best (lowest) CE among models.</w:t>
      </w:r>
    </w:p>
    <w:p>
      <w:pPr>
        <w:pStyle w:val="ListParagraph"/>
        <w:ind w:left="360" w:hanging="180"/>
      </w:pPr>
      <w:r>
        <w:t xml:space="preserve">• Retain model m if CE_m − CE★ ≤ ε with ε = 0.05 (nats per trial).</w:t>
      </w:r>
    </w:p>
    <w:p>
      <w:pPr>
        <w:pStyle w:val="ListParagraph"/>
        <w:ind w:left="360" w:hanging="180"/>
      </w:pPr>
      <w:r>
        <w:t xml:space="preserve">• An RT NLL floor exists in code but is set non-binding in the current pipeline (RT is not used to gate neural confirmatory claims).</w:t>
      </w:r>
    </w:p>
    <w:p>
      <w:pPr>
        <w:pStyle w:val="ListParagraph"/>
        <w:ind w:left="360" w:hanging="180"/>
      </w:pPr>
      <w:r>
        <w:t xml:space="preserve">• Unmatched tables/figures still show all models for transparency; matched tables/figures and survival tests use only the ε-ball set.</w:t>
      </w:r>
    </w:p>
    <w:p>
      <w:pPr>
        <w:pStyle w:val="Heading2"/>
        <w:spacing w:before="240" w:after="120"/>
      </w:pPr>
      <w:r>
        <w:rPr>
          <w:b/>
          <w:sz w:val="26"/>
        </w:rPr>
        <w:t xml:space="preserve">7.8 Survival testing of a matched neural advantage</w:t>
      </w:r>
    </w:p>
    <w:p>
      <w:pPr/>
      <w:r>
        <w:t xml:space="preserve">Within each region, among matched models, identify the best and second-best by session-mean ve_linear_recal. The quantity of interest is the paired session advantage Δ = mean_s VE(best, s) − mean_s VE(second, s), where s indexes sessions that have both models’ VE.</w:t>
      </w:r>
    </w:p>
    <w:p>
      <w:pPr/>
      <w:r>
        <w:t xml:space="preserve">Session bootstrap (per region):</w:t>
      </w:r>
    </w:p>
    <w:p>
      <w:pPr>
        <w:pStyle w:val="ListParagraph"/>
        <w:ind w:left="360" w:hanging="180"/>
      </w:pPr>
      <w:r>
        <w:t xml:space="preserve">• Resample sessions with replacement (B = 2000), recompute Δ each time.</w:t>
      </w:r>
    </w:p>
    <w:p>
      <w:pPr>
        <w:pStyle w:val="ListParagraph"/>
        <w:ind w:left="360" w:hanging="180"/>
      </w:pPr>
      <w:r>
        <w:t xml:space="preserve">• Report the observed Δ, a percentile 95% confidence interval [2.5%, 97.5%], and a two-sided bootstrap p-value: twice the fraction of bootstrap Δ’s that have opposite sign to the observed Δ (capped at 1).</w:t>
      </w:r>
    </w:p>
    <w:p>
      <w:pPr>
        <w:pStyle w:val="ListParagraph"/>
        <w:ind w:left="360" w:hanging="180"/>
      </w:pPr>
      <w:r>
        <w:t xml:space="preserve">• Sessions are the resampling unit because VE is already a session-level summary and sessions are the natural independent replicate for this cohort size.</w:t>
      </w:r>
    </w:p>
    <w:p>
      <w:pPr/>
      <w:r>
        <w:t xml:space="preserve">Multiple regions (Holm correction):</w:t>
      </w:r>
    </w:p>
    <w:p>
      <w:pPr>
        <w:pStyle w:val="ListParagraph"/>
        <w:ind w:left="360" w:hanging="180"/>
      </w:pPr>
      <w:r>
        <w:t xml:space="preserve">• Each primary region yields one bootstrap p-value for best-vs-second among matched models.</w:t>
      </w:r>
    </w:p>
    <w:p>
      <w:pPr>
        <w:pStyle w:val="ListParagraph"/>
        <w:ind w:left="360" w:hanging="180"/>
      </w:pPr>
      <w:r>
        <w:t xml:space="preserve">• These p-values are adjusted by the Holm–Bonferroni step-down procedure across the tested regions.</w:t>
      </w:r>
    </w:p>
    <w:p>
      <w:pPr>
        <w:pStyle w:val="ListParagraph"/>
        <w:ind w:left="360" w:hanging="180"/>
      </w:pPr>
      <w:r>
        <w:t xml:space="preserve">• We say the advantage “survives” in a region if the Holm-adjusted p-value is below 0.05 (equivalently: the matched VE gap remains credible after correcting for testing multiple ROIs).</w:t>
      </w:r>
    </w:p>
    <w:p>
      <w:pPr/>
      <w:r>
        <w:t xml:space="preserve">Interpretation for non-experts: surviving means — after restricting to models that are similarly good at history-only choices, and after accounting for session-to-session variability and the fact that we look at several brain regions — the top model’s edge in explaining the neural prior axis over the next-best matched model is still statistically supported in that region. Non-survival (e.g. in a sparsely covered ROI) means the gap is not yet trustworthy under these corrections, not that neural encoding is absent.</w:t>
      </w:r>
    </w:p>
    <w:p>
      <w:pPr>
        <w:pStyle w:val="Heading2"/>
        <w:spacing w:before="240" w:after="120"/>
      </w:pPr>
      <w:r>
        <w:rPr>
          <w:b/>
          <w:sz w:val="26"/>
        </w:rPr>
        <w:t xml:space="preserve">7.9 What this analysis does and does not claim</w:t>
      </w:r>
    </w:p>
    <w:p>
      <w:pPr>
        <w:pStyle w:val="ListParagraph"/>
        <w:ind w:left="360" w:hanging="180"/>
      </w:pPr>
      <w:r>
        <w:t xml:space="preserve">• Does claim: relative alignment of model belief trajectories with a behavior-defined neural prior axis under a fixed peri-stimulus window and linear readout.</w:t>
      </w:r>
    </w:p>
    <w:p>
      <w:pPr>
        <w:pStyle w:val="ListParagraph"/>
        <w:ind w:left="360" w:hanging="180"/>
      </w:pPr>
      <w:r>
        <w:t xml:space="preserve">• Does not claim: that û is the unique or true neural prior; that ridge is the brain’s readout; that VE proves causal encoding; or that unmatched VE rankings alone are confirmatory.</w:t>
      </w:r>
    </w:p>
    <w:p>
      <w:pPr>
        <w:pStyle w:val="ListParagraph"/>
        <w:ind w:left="360" w:hanging="180"/>
      </w:pPr>
      <w:r>
        <w:t xml:space="preserve">• Known gaps: no embodied-prior controls (video / eye) yet; peri-stimulus window only; ROI coverage uneven across sessions; mouse prior is itself a model of behavior.</w:t>
      </w:r>
    </w:p>
    <w:p>
      <w:pPr>
        <w:pStyle w:val="Heading1"/>
        <w:spacing w:before="240" w:after="120"/>
      </w:pPr>
      <w:r>
        <w:rPr>
          <w:b/>
          <w:sz w:val="32"/>
        </w:rPr>
        <w:t xml:space="preserve">8. Limitations</w:t>
      </w:r>
    </w:p>
    <w:p>
      <w:pPr>
        <w:pStyle w:val="ListParagraph"/>
        <w:ind w:left="360" w:hanging="180"/>
      </w:pPr>
      <w:r>
        <w:t xml:space="preserve">• ROI coverage is by cohort union; some regions have few sessions (survival underpowered there).</w:t>
      </w:r>
    </w:p>
    <w:p>
      <w:pPr>
        <w:pStyle w:val="ListParagraph"/>
        <w:ind w:left="360" w:hanging="180"/>
      </w:pPr>
      <w:r>
        <w:t xml:space="preserve">• Embodied-prior controls (video / eye position) are not yet applied.</w:t>
      </w:r>
    </w:p>
    <w:p>
      <w:pPr>
        <w:pStyle w:val="ListParagraph"/>
        <w:ind w:left="360" w:hanging="180"/>
      </w:pPr>
      <w:r>
        <w:t xml:space="preserve">• The neural window is peri-stimulus; complementary inter-trial decoding is left for later work.</w:t>
      </w:r>
    </w:p>
    <w:p>
      <w:pPr>
        <w:pStyle w:val="ListParagraph"/>
        <w:ind w:left="360" w:hanging="180"/>
      </w:pPr>
      <w:r>
        <w:t xml:space="preserve">• Synthetic training distribution approximates but does not replay individual mice.</w:t>
      </w:r>
    </w:p>
    <w:p>
      <w:pPr>
        <w:pStyle w:val="ListParagraph"/>
        <w:ind w:left="360" w:hanging="180"/>
      </w:pPr>
      <w:r>
        <w:t xml:space="preserve">• Mouse prior and neural axis are estimated quantities; errors in either reduce neural VE for all models and can shrink detectable advantages.</w:t>
      </w:r>
    </w:p>
    <w:sectPr>
      <w:pgSz w:w="12240" w:h="15840"/>
      <w:pgMar w:top="1080" w:right="1080" w:bottom="1080" w:left="1080"/>
    </w:sectPr>
  </w:body>
</w:document>
</file>

<file path=word/styles.xml><?xml version="1.0" encoding="utf-8"?>
<w:styles xmlns:w="http://schemas.openxmlformats.org/wordprocessingml/2006/main">
  <w:style w:type="paragraph" w:styleId="Normal" w:default="1">
    <w:name w:val="Normal"/>
    <w:rPr>
      <w:sz w:val="22"/>
    </w:rPr>
  </w:style>
  <w:style w:type="paragraph" w:styleId="Heading1">
    <w:name w:val="heading 1"/>
    <w:basedOn w:val="Normal"/>
    <w:rPr>
      <w:b/>
      <w:sz w:val="32"/>
    </w:rPr>
  </w:style>
  <w:style w:type="paragraph" w:styleId="Heading2">
    <w:name w:val="heading 2"/>
    <w:basedOn w:val="Normal"/>
    <w:rPr>
      <w:b/>
      <w:sz w:val="26"/>
    </w:rPr>
  </w:style>
  <w:style w:type="paragraph" w:styleId="Heading3">
    <w:name w:val="heading 3"/>
    <w:basedOn w:val="Normal"/>
    <w:rPr>
      <w:b/>
      <w:sz w:val="24"/>
    </w:rPr>
  </w:style>
  <w:style w:type="paragraph" w:styleId="ListParagraph">
    <w:name w:val="List Paragraph"/>
    <w:basedOn w:val="Normal"/>
  </w:style>
  <w:style w:type="paragraph" w:styleId="Title">
    <w:name w:val="Title"/>
    <w:basedOn w:val="Normal"/>
    <w:rPr>
      <w:b/>
      <w:sz w:val="40"/>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s>
</file>