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jc w:val="center"/>
      </w:pPr>
      <w:r>
        <w:rPr>
          <w:b/>
          <w:sz w:val="40"/>
          <w:szCs w:val="40"/>
        </w:rPr>
        <w:t xml:space="preserve">Detailed methods</w:t>
      </w:r>
    </w:p>
    <w:p>
      <w:pPr>
        <w:jc w:val="center"/>
      </w:pPr>
      <w:r>
        <w:rPr>
          <w:sz w:val="26"/>
          <w:szCs w:val="26"/>
        </w:rPr>
        <w:t xml:space="preserve">Latent prior updating in the International Brain Laboratory decision task</w:t>
      </w:r>
    </w:p>
    <w:p>
      <w:pPr/>
      <w:r>
        <w:t xml:space="preserve"/>
      </w:r>
    </w:p>
    <w:p>
      <w:pPr>
        <w:pStyle w:val="Heading1"/>
        <w:spacing w:before="240" w:after="120"/>
      </w:pPr>
      <w:r>
        <w:rPr>
          <w:b/>
          <w:sz w:val="32"/>
        </w:rPr>
        <w:t xml:space="preserve">1. Aim</w:t>
      </w:r>
    </w:p>
    <w:p>
      <w:pPr>
        <w:pStyle w:val="Heading2"/>
        <w:spacing w:before="240" w:after="120"/>
      </w:pPr>
      <w:r>
        <w:rPr>
          <w:b/>
          <w:sz w:val="26"/>
        </w:rPr>
        <w:t xml:space="preserve">1.1 Scientific question</w:t>
      </w:r>
    </w:p>
    <w:p>
      <w:pPr/>
      <w:r>
        <w:t xml:space="preserve">In the International Brain Laboratory (IBL) visuospatial decision task, the probability that the stimulus appears on the right versus left changes across blocks, but that block probability is hidden from the animal. Mice behave as if they maintain and update a subjective prior over stimulus side. We ask which computational model best accounts for that trial-by-trial prior updating.</w:t>
      </w:r>
    </w:p>
    <w:p>
      <w:pPr/>
      <w:r>
        <w:t xml:space="preserve">Four model classes are compared side by side:</w:t>
      </w:r>
    </w:p>
    <w:p>
      <w:pPr>
        <w:pStyle w:val="ListParagraph"/>
        <w:ind w:left="360" w:hanging="180"/>
      </w:pPr>
      <w:r>
        <w:t xml:space="preserve">• tanh BPTT — a standard tanh recurrent network trained with backpropagation through time.</w:t>
      </w:r>
    </w:p>
    <w:p>
      <w:pPr>
        <w:pStyle w:val="ListParagraph"/>
        <w:ind w:left="360" w:hanging="180"/>
      </w:pPr>
      <w:r>
        <w:t xml:space="preserve">• tanh PC — an architecturally identical tanh network, trained with corrected predictive-coding credit assignment (local inference + local synaptic updates), not BPTT.</w:t>
      </w:r>
    </w:p>
    <w:p>
      <w:pPr>
        <w:pStyle w:val="ListParagraph"/>
        <w:ind w:left="360" w:hanging="180"/>
      </w:pPr>
      <w:r>
        <w:t xml:space="preserve">• GRU — a gated recurrent unit trained with BPTT.</w:t>
      </w:r>
    </w:p>
    <w:p>
      <w:pPr>
        <w:pStyle w:val="ListParagraph"/>
        <w:ind w:left="360" w:hanging="180"/>
      </w:pPr>
      <w:r>
        <w:t xml:space="preserve">• GRU PC — an architecturally identical GRU, trained with gate-aware corrected PC credit assignment.</w:t>
      </w:r>
    </w:p>
    <w:p>
      <w:pPr>
        <w:pStyle w:val="Heading2"/>
        <w:spacing w:before="240" w:after="120"/>
      </w:pPr>
      <w:r>
        <w:rPr>
          <w:b/>
          <w:sz w:val="26"/>
        </w:rPr>
        <w:t xml:space="preserve">1.2 Evaluation hierarchy</w:t>
      </w:r>
    </w:p>
    <w:p>
      <w:pPr/>
      <w:r>
        <w:t xml:space="preserve">The project intentionally separates what is learned from where it is tested:</w:t>
      </w:r>
    </w:p>
    <w:p>
      <w:pPr>
        <w:pStyle w:val="ListParagraph"/>
        <w:ind w:left="360" w:hanging="180"/>
      </w:pPr>
      <w:r>
        <w:t xml:space="preserve">• Training uses only synthetic IBL-like sessions (never mouse choice as a supervised target).</w:t>
      </w:r>
    </w:p>
    <w:p>
      <w:pPr>
        <w:pStyle w:val="ListParagraph"/>
        <w:ind w:left="360" w:hanging="180"/>
      </w:pPr>
      <w:r>
        <w:t xml:space="preserve">• Primary ranking uses held-out synthetic sessions from the same generator (fair, matched statistics).</w:t>
      </w:r>
    </w:p>
    <w:p>
      <w:pPr>
        <w:pStyle w:val="ListParagraph"/>
        <w:ind w:left="360" w:hanging="180"/>
      </w:pPr>
      <w:r>
        <w:t xml:space="preserve">• Secondary check 1: freeze weights and transfer to real mouse sessions (same tick/channel schema).</w:t>
      </w:r>
    </w:p>
    <w:p>
      <w:pPr>
        <w:pStyle w:val="ListParagraph"/>
        <w:ind w:left="360" w:hanging="180"/>
      </w:pPr>
      <w:r>
        <w:t xml:space="preserve">• Secondary check 2: ask whether model belief aligns with neural prior readouts in prior-linked regions, with confirmatory claims based on all-model VE rankings plus session-bootstrap survival (§7).</w:t>
      </w:r>
    </w:p>
    <w:p>
      <w:pPr/>
      <w:r>
        <w:t xml:space="preserve">This hierarchy matters for interpretation. A model that wins on synthetic held-out has learned the generative task. Transfer asks whether that solution generalizes to real mice. Neural alignment asks whether the model’s internal belief resembles a behavior-defined neural prior axis — not whether the model is the brain.</w:t>
      </w:r>
    </w:p>
    <w:p>
      <w:pPr>
        <w:pStyle w:val="Heading2"/>
        <w:spacing w:before="240" w:after="120"/>
      </w:pPr>
      <w:r>
        <w:rPr>
          <w:b/>
          <w:sz w:val="26"/>
        </w:rPr>
        <w:t xml:space="preserve">1.3 Primary scientific questions</w:t>
      </w:r>
    </w:p>
    <w:p>
      <w:pPr/>
      <w:r>
        <w:t xml:space="preserve">The analyses are organized around three linked questions (behavior first, then neural):</w:t>
      </w:r>
    </w:p>
    <w:p>
      <w:pPr>
        <w:pStyle w:val="ListParagraph"/>
        <w:ind w:left="360" w:hanging="180"/>
      </w:pPr>
      <w:r>
        <w:t xml:space="preserve">• Q1 — Correctness: Which model best reproduces trial-by-trial correctness (accuracy vs the correct stimulus side), both across the full task and in trials surrounding block switches, where online updating of the hidden prior is most evident? Includes overall-versus-peri-switch (−30…+30) boards with Wilcoxon+Holm tests across history-only, full-information, and fixed-prior regimes.</w:t>
      </w:r>
    </w:p>
    <w:p>
      <w:pPr>
        <w:pStyle w:val="ListParagraph"/>
        <w:ind w:left="360" w:hanging="180"/>
      </w:pPr>
      <w:r>
        <w:t xml:space="preserve">• Q2 — Belief updating dynamics: In the history-only condition, does each model’s inferred prior (zero-evidence belief) update at a similar rate and with similar asymmetries around 0.2↔0.8 switches, and how does that compare to the mouse subjective prior? Operational probes: history gap, switch-centered belief curves, and the three-panel MLP block-decode (A2: mouse prior + model q_t).</w:t>
      </w:r>
    </w:p>
    <w:p>
      <w:pPr>
        <w:pStyle w:val="ListParagraph"/>
        <w:ind w:left="360" w:hanging="180"/>
      </w:pPr>
      <w:r>
        <w:t xml:space="preserve">• Q3 — Neural prior alignment: In prior-encoding regions (MOs, vlOFC/ORBvl, ACAd, MOp), which model’s belief better matches neural prior readouts? Complementarily, can an MLP decode true block identity around switches from neural û (panel A3)? Survival tests ask whether best-vs-second VE gaps are stable across sessions (Holm across regions).</w:t>
      </w:r>
    </w:p>
    <w:p>
      <w:pPr/>
      <w:r>
        <w:t xml:space="preserve">Reporting order follows the science and the locked working-manuscript figure layout: overall correctness → switch-centered correctness (0.2→0.8 and 0.8→0.2) → belief / history-gap dynamics → three-panel MLP decode (Figure 15 with Q2) → supporting boards → neural VE → overall-versus-peri-switch boards (Figures 16–21).</w:t>
      </w:r>
    </w:p>
    <w:p>
      <w:pPr/>
      <w:r>
        <w:rPr>
          <w:i/>
        </w:rPr>
        <w:t xml:space="preserve">Note. v2 amendment: active models are tanh BPTT, corrected tanh PC, GRU BPTT, and gate-aware GRU PC. Explicit Bayes and meta-RL RNNs are parked (literature-motivated follow-ups). Display order is always tanh BPTT → tanh PC → GRU → GRU PC with twin-complement colors. Behavior-matching before neural claims is parked; primary neural analysis uses all models.</w:t>
      </w:r>
    </w:p>
    <w:p>
      <w:pPr>
        <w:pStyle w:val="Heading1"/>
        <w:spacing w:before="240" w:after="120"/>
      </w:pPr>
      <w:r>
        <w:rPr>
          <w:b/>
          <w:sz w:val="32"/>
        </w:rPr>
        <w:t xml:space="preserve">2. Task and data</w:t>
      </w:r>
    </w:p>
    <w:p>
      <w:pPr>
        <w:pStyle w:val="Heading2"/>
        <w:spacing w:before="240" w:after="120"/>
      </w:pPr>
      <w:r>
        <w:rPr>
          <w:b/>
          <w:sz w:val="26"/>
        </w:rPr>
        <w:t xml:space="preserve">2.1 IBL biased-block task (intuition)</w:t>
      </w:r>
    </w:p>
    <w:p>
      <w:pPr/>
      <w:r>
        <w:t xml:space="preserve">Mice perform a two-choice visual decision task. On each trial, a grating appears on either the left or right side of the screen, and the mouse reports its choice by turning a wheel to bring the grating to the center. The mouse is rewarded when it makes the correct choice, and it receives no reward or negative feedback when it makes the wrong choice.</w:t>
      </w:r>
    </w:p>
    <w:p>
      <w:pPr/>
      <w:r>
        <w:t xml:space="preserve">The task is not perfectly balanced. Stimulus location is biased in blocks: for a while the grating is more likely to appear on one side, then the bias switches. In the IBL task that prior is typically described by probabilityLeft ∈ {0.2, 0.5, 0.8} (equivalently P(stimulus right) ∈ {0.8, 0.5, 0.2}). Block changes are not explicitly signaled; the mouse must infer the current bias from recent trial history. When the stimulus is weak or ambiguous, that inferred prior improves decisions by combining current sensory evidence with past experience.</w:t>
      </w:r>
    </w:p>
    <w:p>
      <w:pPr/>
      <w:r>
        <w:t xml:space="preserve">Reward feedback is tightly linked to correctness and shapes future choices: outcomes of previous trials update the animal’s internal estimate of the current prior, especially after a block switch. That inferred bias is what we call the latent / subjective prior.</w:t>
      </w:r>
    </w:p>
    <w:p>
      <w:pPr>
        <w:pStyle w:val="Heading2"/>
        <w:spacing w:before="240" w:after="120"/>
      </w:pPr>
      <w:r>
        <w:rPr>
          <w:b/>
          <w:sz w:val="26"/>
        </w:rPr>
        <w:t xml:space="preserve">2.1b Brain-wide data scale (context)</w:t>
      </w:r>
    </w:p>
    <w:p>
      <w:pPr/>
      <w:r>
        <w:t xml:space="preserve">The brain-wide release aggregates recordings from 699 Neuropixels probe insertions across 139 mice and 12 laboratories, with 621,733 neurons recorded overall (documentation also describes 459 sessions and 75,708 good-quality units after quality control). For this project we intentionally do not analyze all regions at once: we lock a focused primary ROI set and a shared behavior+neural session subset (§2.3–§3).</w:t>
      </w:r>
    </w:p>
    <w:p>
      <w:pPr>
        <w:pStyle w:val="Heading2"/>
        <w:spacing w:before="240" w:after="120"/>
      </w:pPr>
      <w:r>
        <w:rPr>
          <w:b/>
          <w:sz w:val="26"/>
        </w:rPr>
        <w:t xml:space="preserve">2.2 Synthetic generator (training and held-out)</w:t>
      </w:r>
    </w:p>
    <w:p>
      <w:pPr/>
      <w:r>
        <w:t xml:space="preserve">Synthetic sessions are not replays of individual mouse sessions. They are drawn from empirical distributions fitted on a behavior-quality cohort (block lengths, prior transitions, contrast frequencies, session length), then painted into the shared tick schema (§4). This keeps transfer meaningful: models must generalize structure, not memorize particular eids.</w:t>
      </w:r>
    </w:p>
    <w:p>
      <w:pPr>
        <w:pStyle w:val="ListParagraph"/>
        <w:ind w:left="360" w:hanging="180"/>
      </w:pPr>
      <w:r>
        <w:t xml:space="preserve">• Block priors: {0.2, 0.5, 0.8} with an empirical transition matrix (sessions typically start near 0.5).</w:t>
      </w:r>
    </w:p>
    <w:p>
      <w:pPr>
        <w:pStyle w:val="ListParagraph"/>
        <w:ind w:left="360" w:hanging="180"/>
      </w:pPr>
      <w:r>
        <w:t xml:space="preserve">• Block lengths: empirical PMF clipped to roughly 10–100 trials (median ≈ 45).</w:t>
      </w:r>
    </w:p>
    <w:p>
      <w:pPr>
        <w:pStyle w:val="ListParagraph"/>
        <w:ind w:left="360" w:hanging="180"/>
      </w:pPr>
      <w:r>
        <w:t xml:space="preserve">• Contrasts: empirical levels {0, 0.0625, 0.125, 0.25, 1.0} with fitted frequencies (no 0.5 contrast in the current fit).</w:t>
      </w:r>
    </w:p>
    <w:p>
      <w:pPr>
        <w:pStyle w:val="ListParagraph"/>
        <w:ind w:left="360" w:hanging="180"/>
      </w:pPr>
      <w:r>
        <w:t xml:space="preserve">• Default synthetic session length ≈ 929 completed trials (median of the fitting cohort).</w:t>
      </w:r>
    </w:p>
    <w:p>
      <w:pPr>
        <w:pStyle w:val="ListParagraph"/>
        <w:ind w:left="360" w:hanging="180"/>
      </w:pPr>
      <w:r>
        <w:t xml:space="preserve">• Config / stats: configs/synthetic_v2.yaml and data/manifests/synthetic_stats_v2.json.</w:t>
      </w:r>
    </w:p>
    <w:p>
      <w:pPr>
        <w:pStyle w:val="Heading2"/>
        <w:spacing w:before="240" w:after="120"/>
      </w:pPr>
      <w:r>
        <w:rPr>
          <w:b/>
          <w:sz w:val="26"/>
        </w:rPr>
        <w:t xml:space="preserve">2.3 Shared real cohort (behavior transfer + neural)</w:t>
      </w:r>
    </w:p>
    <w:p>
      <w:pPr/>
      <w:r>
        <w:t xml:space="preserve">Behavior transfer and neural analyses use the same locked set of 8 real sessions (manifest: data/manifests/shared_behavior_neural_eids.json). Using one shared cohort prevents the confound of ranking models on one set of mice and testing neural alignment on another.</w:t>
      </w:r>
    </w:p>
    <w:p>
      <w:pPr/>
      <w:r>
        <w:t xml:space="preserve">Inclusion and selection logic:</w:t>
      </w:r>
    </w:p>
    <w:p>
      <w:pPr>
        <w:pStyle w:val="ListParagraph"/>
        <w:ind w:left="360" w:hanging="180"/>
      </w:pPr>
      <w:r>
        <w:t xml:space="preserve">• Each session passes almost-perfect behavior quality control (high fraction of trials surviving standard IBL choice/RT rules after RT trimming).</w:t>
      </w:r>
    </w:p>
    <w:p>
      <w:pPr>
        <w:pStyle w:val="ListParagraph"/>
        <w:ind w:left="360" w:hanging="180"/>
      </w:pPr>
      <w:r>
        <w:t xml:space="preserve">• Each session has Neuropixels spikes in at least one primary region of interest.</w:t>
      </w:r>
    </w:p>
    <w:p>
      <w:pPr>
        <w:pStyle w:val="ListParagraph"/>
        <w:ind w:left="360" w:hanging="180"/>
      </w:pPr>
      <w:r>
        <w:t xml:space="preserve">• No single insertion covers all ROIs. Sessions are therefore chosen by greedy set cover so that the union of the cohort covers the full primary ROI set, preferring sessions that add new ROIs, then primary cortical coverage, then multi-ROI count, then behavior QC rank.</w:t>
      </w:r>
    </w:p>
    <w:p>
      <w:pPr>
        <w:pStyle w:val="ListParagraph"/>
        <w:ind w:left="360" w:hanging="180"/>
      </w:pPr>
      <w:r>
        <w:t xml:space="preserve">• Regions covered in the locked cohort union: ACAd, MOp, MOs, vlOFC_orbvl.</w:t>
      </w:r>
    </w:p>
    <w:p>
      <w:pPr/>
      <w:r>
        <w:rPr>
          <w:i/>
        </w:rPr>
        <w:t xml:space="preserve">Note. Per-region neural statistics use only the sessions that contain units in that region. A region with few sessions is underpowered for survival testing even if the cohort as a whole is locked.</w:t>
      </w:r>
    </w:p>
    <w:p>
      <w:pPr/>
      <w:r>
        <w:t xml:space="preserve">Legacy note: an older behavior-only core list (data/manifests/behavior_core_eids.json) lacks Neuropixels insertions and is not used for v2 real+neural claims.</w:t>
      </w:r>
    </w:p>
    <w:p>
      <w:pPr>
        <w:pStyle w:val="Heading1"/>
        <w:spacing w:before="240" w:after="120"/>
      </w:pPr>
      <w:r>
        <w:rPr>
          <w:b/>
          <w:sz w:val="32"/>
        </w:rPr>
        <w:t xml:space="preserve">3. Regions of interest</w:t>
      </w:r>
    </w:p>
    <w:p>
      <w:pPr>
        <w:pStyle w:val="Heading2"/>
        <w:spacing w:before="240" w:after="120"/>
      </w:pPr>
      <w:r>
        <w:rPr>
          <w:b/>
          <w:sz w:val="26"/>
        </w:rPr>
        <w:t xml:space="preserve">3.1 Why these regions</w:t>
      </w:r>
    </w:p>
    <w:p>
      <w:pPr/>
      <w:r>
        <w:t xml:space="preserve">Region choice follows published IBL analyses rather than an ad hoc cortical wishlist. The standardized behavior paper establishes that mice use block structure. The brain-wide map paper reports stimulus, choice, action, and reward maps and points prior analyses to its companion. That companion (Findling et al.) reports widespread decoding of a Bayes-optimal subjective prior, including high-level and motor cortical sites that motivate our primary ROI set.</w:t>
      </w:r>
    </w:p>
    <w:p>
      <w:pPr/>
      <w:r>
        <w:rPr>
          <w:b/>
          <w:i/>
        </w:rPr>
        <w:t xml:space="preserve">Source papers</w:t>
      </w:r>
    </w:p>
    <w:tbl>
      <w:tblPr>
        <w:tblW w:w="9360" w:type="dxa"/>
        <w:tblLayout w:type="fixed"/>
        <w:tblBorders>
          <w:top w:val="single" w:sz="4" w:space="0" w:color="666666"/>
          <w:left w:val="single" w:sz="4" w:space="0" w:color="666666"/>
          <w:bottom w:val="single" w:sz="4" w:space="0" w:color="666666"/>
          <w:right w:val="single" w:sz="4" w:space="0" w:color="666666"/>
          <w:insideH w:val="single" w:sz="4" w:space="0" w:color="AAAAAA"/>
          <w:insideV w:val="single" w:sz="4" w:space="0" w:color="AAAAAA"/>
        </w:tblBorders>
      </w:tblPr>
      <w:tblGrid>
        <w:gridCol w:w="2620"/>
        <w:gridCol w:w="3931"/>
        <w:gridCol w:w="2809"/>
      </w:tblGrid>
      <w:tr>
        <w:tc>
          <w:tcPr>
            <w:tcW w:w="2620" w:type="dxa"/>
            <w:shd w:val="clear" w:fill="EEEEEE"/>
            <w:vAlign w:val="center"/>
          </w:tcPr>
          <w:p>
            <w:pPr>
              <w:spacing w:before="40" w:after="40"/>
            </w:pPr>
            <w:r>
              <w:rPr>
                <w:b/>
                <w:sz w:val="18"/>
              </w:rPr>
              <w:t xml:space="preserve">Paper</w:t>
            </w:r>
          </w:p>
        </w:tc>
        <w:tc>
          <w:tcPr>
            <w:tcW w:w="3931" w:type="dxa"/>
            <w:shd w:val="clear" w:fill="EEEEEE"/>
            <w:vAlign w:val="center"/>
          </w:tcPr>
          <w:p>
            <w:pPr>
              <w:spacing w:before="40" w:after="40"/>
            </w:pPr>
            <w:r>
              <w:rPr>
                <w:b/>
                <w:sz w:val="18"/>
              </w:rPr>
              <w:t xml:space="preserve">Link</w:t>
            </w:r>
          </w:p>
        </w:tc>
        <w:tc>
          <w:tcPr>
            <w:tcW w:w="2809" w:type="dxa"/>
            <w:shd w:val="clear" w:fill="EEEEEE"/>
            <w:vAlign w:val="center"/>
          </w:tcPr>
          <w:p>
            <w:pPr>
              <w:spacing w:before="40" w:after="40"/>
            </w:pPr>
            <w:r>
              <w:rPr>
                <w:b/>
                <w:sz w:val="18"/>
              </w:rPr>
              <w:t xml:space="preserve">Role</w:t>
            </w:r>
          </w:p>
        </w:tc>
      </w:tr>
      <w:tr>
        <w:tc>
          <w:tcPr>
            <w:tcW w:w="2620" w:type="dxa"/>
            <w:vAlign w:val="center"/>
          </w:tcPr>
          <w:p>
            <w:pPr>
              <w:spacing w:before="40" w:after="40"/>
            </w:pPr>
            <w:r>
              <w:rPr>
                <w:sz w:val="18"/>
              </w:rPr>
              <w:t xml:space="preserve">Findling et al., Nature 2025</w:t>
            </w:r>
          </w:p>
        </w:tc>
        <w:tc>
          <w:tcPr>
            <w:tcW w:w="3931" w:type="dxa"/>
            <w:vAlign w:val="center"/>
          </w:tcPr>
          <w:p>
            <w:pPr>
              <w:spacing w:before="40" w:after="40"/>
            </w:pPr>
            <w:r>
              <w:rPr>
                <w:sz w:val="18"/>
              </w:rPr>
              <w:t xml:space="preserve">https://www.nature.com/articles/s41586-025-09226-1</w:t>
            </w:r>
          </w:p>
        </w:tc>
        <w:tc>
          <w:tcPr>
            <w:tcW w:w="2809" w:type="dxa"/>
            <w:vAlign w:val="center"/>
          </w:tcPr>
          <w:p>
            <w:pPr>
              <w:spacing w:before="40" w:after="40"/>
            </w:pPr>
            <w:r>
              <w:rPr>
                <w:sz w:val="18"/>
              </w:rPr>
              <w:t xml:space="preserve">Primary source for subjective-prior anatomy</w:t>
            </w:r>
          </w:p>
        </w:tc>
      </w:tr>
      <w:tr>
        <w:tc>
          <w:tcPr>
            <w:tcW w:w="2620" w:type="dxa"/>
            <w:vAlign w:val="center"/>
          </w:tcPr>
          <w:p>
            <w:pPr>
              <w:spacing w:before="40" w:after="40"/>
            </w:pPr>
            <w:r>
              <w:rPr>
                <w:sz w:val="18"/>
              </w:rPr>
              <w:t xml:space="preserve">IBL brain-wide map, Nature 2025</w:t>
            </w:r>
          </w:p>
        </w:tc>
        <w:tc>
          <w:tcPr>
            <w:tcW w:w="3931" w:type="dxa"/>
            <w:vAlign w:val="center"/>
          </w:tcPr>
          <w:p>
            <w:pPr>
              <w:spacing w:before="40" w:after="40"/>
            </w:pPr>
            <w:r>
              <w:rPr>
                <w:sz w:val="18"/>
              </w:rPr>
              <w:t xml:space="preserve">https://www.nature.com/articles/s41586-025-09235-0</w:t>
            </w:r>
          </w:p>
        </w:tc>
        <w:tc>
          <w:tcPr>
            <w:tcW w:w="2809" w:type="dxa"/>
            <w:vAlign w:val="center"/>
          </w:tcPr>
          <w:p>
            <w:pPr>
              <w:spacing w:before="40" w:after="40"/>
            </w:pPr>
            <w:r>
              <w:rPr>
                <w:sz w:val="18"/>
              </w:rPr>
              <w:t xml:space="preserve">BWM context; prior analyses in companion</w:t>
            </w:r>
          </w:p>
        </w:tc>
      </w:tr>
      <w:tr>
        <w:tc>
          <w:tcPr>
            <w:tcW w:w="2620" w:type="dxa"/>
            <w:vAlign w:val="center"/>
          </w:tcPr>
          <w:p>
            <w:pPr>
              <w:spacing w:before="40" w:after="40"/>
            </w:pPr>
            <w:r>
              <w:rPr>
                <w:sz w:val="18"/>
              </w:rPr>
              <w:t xml:space="preserve">IBL standardized behavior, eLife 2021</w:t>
            </w:r>
          </w:p>
        </w:tc>
        <w:tc>
          <w:tcPr>
            <w:tcW w:w="3931" w:type="dxa"/>
            <w:vAlign w:val="center"/>
          </w:tcPr>
          <w:p>
            <w:pPr>
              <w:spacing w:before="40" w:after="40"/>
            </w:pPr>
            <w:r>
              <w:rPr>
                <w:sz w:val="18"/>
              </w:rPr>
              <w:t xml:space="preserve">https://elifesciences.org/articles/63711</w:t>
            </w:r>
          </w:p>
        </w:tc>
        <w:tc>
          <w:tcPr>
            <w:tcW w:w="2809" w:type="dxa"/>
            <w:vAlign w:val="center"/>
          </w:tcPr>
          <w:p>
            <w:pPr>
              <w:spacing w:before="40" w:after="40"/>
            </w:pPr>
            <w:r>
              <w:rPr>
                <w:sz w:val="18"/>
              </w:rPr>
              <w:t xml:space="preserve">Task and behavioral prior use</w:t>
            </w:r>
          </w:p>
        </w:tc>
      </w:tr>
    </w:tbl>
    <w:p>
      <w:pPr/>
      <w:r>
        <w:t xml:space="preserve"/>
      </w:r>
    </w:p>
    <w:p>
      <w:pPr>
        <w:pStyle w:val="Heading2"/>
        <w:spacing w:before="240" w:after="120"/>
      </w:pPr>
      <w:r>
        <w:rPr>
          <w:b/>
          <w:sz w:val="26"/>
        </w:rPr>
        <w:t xml:space="preserve">3.2 Primary analysis scope (locked)</w:t>
      </w:r>
    </w:p>
    <w:p>
      <w:pPr/>
      <w:r>
        <w:rPr>
          <w:b/>
          <w:i/>
        </w:rPr>
        <w:t xml:space="preserve">Primary regions of interest</w:t>
      </w:r>
    </w:p>
    <w:tbl>
      <w:tblPr>
        <w:tblW w:w="9360" w:type="dxa"/>
        <w:tblLayout w:type="fixed"/>
        <w:tblBorders>
          <w:top w:val="single" w:sz="4" w:space="0" w:color="666666"/>
          <w:left w:val="single" w:sz="4" w:space="0" w:color="666666"/>
          <w:bottom w:val="single" w:sz="4" w:space="0" w:color="666666"/>
          <w:right w:val="single" w:sz="4" w:space="0" w:color="666666"/>
          <w:insideH w:val="single" w:sz="4" w:space="0" w:color="AAAAAA"/>
          <w:insideV w:val="single" w:sz="4" w:space="0" w:color="AAAAAA"/>
        </w:tblBorders>
      </w:tblPr>
      <w:tblGrid>
        <w:gridCol w:w="2433"/>
        <w:gridCol w:w="1123"/>
        <w:gridCol w:w="1684"/>
        <w:gridCol w:w="4120"/>
      </w:tblGrid>
      <w:tr>
        <w:tc>
          <w:tcPr>
            <w:tcW w:w="2433" w:type="dxa"/>
            <w:shd w:val="clear" w:fill="EEEEEE"/>
            <w:vAlign w:val="center"/>
          </w:tcPr>
          <w:p>
            <w:pPr>
              <w:spacing w:before="40" w:after="40"/>
            </w:pPr>
            <w:r>
              <w:rPr>
                <w:b/>
                <w:sz w:val="18"/>
              </w:rPr>
              <w:t xml:space="preserve">Region</w:t>
            </w:r>
          </w:p>
        </w:tc>
        <w:tc>
          <w:tcPr>
            <w:tcW w:w="1123" w:type="dxa"/>
            <w:shd w:val="clear" w:fill="EEEEEE"/>
            <w:vAlign w:val="center"/>
          </w:tcPr>
          <w:p>
            <w:pPr>
              <w:spacing w:before="40" w:after="40"/>
            </w:pPr>
            <w:r>
              <w:rPr>
                <w:b/>
                <w:sz w:val="18"/>
              </w:rPr>
              <w:t xml:space="preserve">Allen</w:t>
            </w:r>
          </w:p>
        </w:tc>
        <w:tc>
          <w:tcPr>
            <w:tcW w:w="1684" w:type="dxa"/>
            <w:shd w:val="clear" w:fill="EEEEEE"/>
            <w:vAlign w:val="center"/>
          </w:tcPr>
          <w:p>
            <w:pPr>
              <w:spacing w:before="40" w:after="40"/>
            </w:pPr>
            <w:r>
              <w:rPr>
                <w:b/>
                <w:sz w:val="18"/>
              </w:rPr>
              <w:t xml:space="preserve">Tier</w:t>
            </w:r>
          </w:p>
        </w:tc>
        <w:tc>
          <w:tcPr>
            <w:tcW w:w="4120" w:type="dxa"/>
            <w:shd w:val="clear" w:fill="EEEEEE"/>
            <w:vAlign w:val="center"/>
          </w:tcPr>
          <w:p>
            <w:pPr>
              <w:spacing w:before="40" w:after="40"/>
            </w:pPr>
            <w:r>
              <w:rPr>
                <w:b/>
                <w:sz w:val="18"/>
              </w:rPr>
              <w:t xml:space="preserve">Why included</w:t>
            </w:r>
          </w:p>
        </w:tc>
      </w:tr>
      <w:tr>
        <w:tc>
          <w:tcPr>
            <w:tcW w:w="2433" w:type="dxa"/>
            <w:vAlign w:val="center"/>
          </w:tcPr>
          <w:p>
            <w:pPr>
              <w:spacing w:before="40" w:after="40"/>
            </w:pPr>
            <w:r>
              <w:rPr>
                <w:sz w:val="18"/>
              </w:rPr>
              <w:t xml:space="preserve">Secondary motor</w:t>
            </w:r>
          </w:p>
        </w:tc>
        <w:tc>
          <w:tcPr>
            <w:tcW w:w="1123" w:type="dxa"/>
            <w:vAlign w:val="center"/>
          </w:tcPr>
          <w:p>
            <w:pPr>
              <w:spacing w:before="40" w:after="40"/>
            </w:pPr>
            <w:r>
              <w:rPr>
                <w:sz w:val="18"/>
              </w:rPr>
              <w:t xml:space="preserve">MOs</w:t>
            </w:r>
          </w:p>
        </w:tc>
        <w:tc>
          <w:tcPr>
            <w:tcW w:w="1684" w:type="dxa"/>
            <w:vAlign w:val="center"/>
          </w:tcPr>
          <w:p>
            <w:pPr>
              <w:spacing w:before="40" w:after="40"/>
            </w:pPr>
            <w:r>
              <w:rPr>
                <w:sz w:val="18"/>
              </w:rPr>
              <w:t xml:space="preserve">Primary cortex</w:t>
            </w:r>
          </w:p>
        </w:tc>
        <w:tc>
          <w:tcPr>
            <w:tcW w:w="4120" w:type="dxa"/>
            <w:vAlign w:val="center"/>
          </w:tcPr>
          <w:p>
            <w:pPr>
              <w:spacing w:before="40" w:after="40"/>
            </w:pPr>
            <w:r>
              <w:rPr>
                <w:sz w:val="18"/>
              </w:rPr>
              <w:t xml:space="preserve">Strong prior decoding; core claim site</w:t>
            </w:r>
          </w:p>
        </w:tc>
      </w:tr>
      <w:tr>
        <w:tc>
          <w:tcPr>
            <w:tcW w:w="2433" w:type="dxa"/>
            <w:vAlign w:val="center"/>
          </w:tcPr>
          <w:p>
            <w:pPr>
              <w:spacing w:before="40" w:after="40"/>
            </w:pPr>
            <w:r>
              <w:rPr>
                <w:sz w:val="18"/>
              </w:rPr>
              <w:t xml:space="preserve">Ventrolateral OFC</w:t>
            </w:r>
          </w:p>
        </w:tc>
        <w:tc>
          <w:tcPr>
            <w:tcW w:w="1123" w:type="dxa"/>
            <w:vAlign w:val="center"/>
          </w:tcPr>
          <w:p>
            <w:pPr>
              <w:spacing w:before="40" w:after="40"/>
            </w:pPr>
            <w:r>
              <w:rPr>
                <w:sz w:val="18"/>
              </w:rPr>
              <w:t xml:space="preserve">ORBvl</w:t>
            </w:r>
          </w:p>
        </w:tc>
        <w:tc>
          <w:tcPr>
            <w:tcW w:w="1684" w:type="dxa"/>
            <w:vAlign w:val="center"/>
          </w:tcPr>
          <w:p>
            <w:pPr>
              <w:spacing w:before="40" w:after="40"/>
            </w:pPr>
            <w:r>
              <w:rPr>
                <w:sz w:val="18"/>
              </w:rPr>
              <w:t xml:space="preserve">Primary cortex</w:t>
            </w:r>
          </w:p>
        </w:tc>
        <w:tc>
          <w:tcPr>
            <w:tcW w:w="4120" w:type="dxa"/>
            <w:vAlign w:val="center"/>
          </w:tcPr>
          <w:p>
            <w:pPr>
              <w:spacing w:before="40" w:after="40"/>
            </w:pPr>
            <w:r>
              <w:rPr>
                <w:sz w:val="18"/>
              </w:rPr>
              <w:t xml:space="preserve">High-level prior example site</w:t>
            </w:r>
          </w:p>
        </w:tc>
      </w:tr>
      <w:tr>
        <w:tc>
          <w:tcPr>
            <w:tcW w:w="2433" w:type="dxa"/>
            <w:vAlign w:val="center"/>
          </w:tcPr>
          <w:p>
            <w:pPr>
              <w:spacing w:before="40" w:after="40"/>
            </w:pPr>
            <w:r>
              <w:rPr>
                <w:sz w:val="18"/>
              </w:rPr>
              <w:t xml:space="preserve">Dorsal ACC</w:t>
            </w:r>
          </w:p>
        </w:tc>
        <w:tc>
          <w:tcPr>
            <w:tcW w:w="1123" w:type="dxa"/>
            <w:vAlign w:val="center"/>
          </w:tcPr>
          <w:p>
            <w:pPr>
              <w:spacing w:before="40" w:after="40"/>
            </w:pPr>
            <w:r>
              <w:rPr>
                <w:sz w:val="18"/>
              </w:rPr>
              <w:t xml:space="preserve">ACAd</w:t>
            </w:r>
          </w:p>
        </w:tc>
        <w:tc>
          <w:tcPr>
            <w:tcW w:w="1684" w:type="dxa"/>
            <w:vAlign w:val="center"/>
          </w:tcPr>
          <w:p>
            <w:pPr>
              <w:spacing w:before="40" w:after="40"/>
            </w:pPr>
            <w:r>
              <w:rPr>
                <w:sz w:val="18"/>
              </w:rPr>
              <w:t xml:space="preserve">Primary cortex</w:t>
            </w:r>
          </w:p>
        </w:tc>
        <w:tc>
          <w:tcPr>
            <w:tcW w:w="4120" w:type="dxa"/>
            <w:vAlign w:val="center"/>
          </w:tcPr>
          <w:p>
            <w:pPr>
              <w:spacing w:before="40" w:after="40"/>
            </w:pPr>
            <w:r>
              <w:rPr>
                <w:sz w:val="18"/>
              </w:rPr>
              <w:t xml:space="preserve">Named high-level cortical prior site</w:t>
            </w:r>
          </w:p>
        </w:tc>
      </w:tr>
      <w:tr>
        <w:tc>
          <w:tcPr>
            <w:tcW w:w="2433" w:type="dxa"/>
            <w:vAlign w:val="center"/>
          </w:tcPr>
          <w:p>
            <w:pPr>
              <w:spacing w:before="40" w:after="40"/>
            </w:pPr>
            <w:r>
              <w:rPr>
                <w:sz w:val="18"/>
              </w:rPr>
              <w:t xml:space="preserve">Primary motor</w:t>
            </w:r>
          </w:p>
        </w:tc>
        <w:tc>
          <w:tcPr>
            <w:tcW w:w="1123" w:type="dxa"/>
            <w:vAlign w:val="center"/>
          </w:tcPr>
          <w:p>
            <w:pPr>
              <w:spacing w:before="40" w:after="40"/>
            </w:pPr>
            <w:r>
              <w:rPr>
                <w:sz w:val="18"/>
              </w:rPr>
              <w:t xml:space="preserve">MOp</w:t>
            </w:r>
          </w:p>
        </w:tc>
        <w:tc>
          <w:tcPr>
            <w:tcW w:w="1684" w:type="dxa"/>
            <w:vAlign w:val="center"/>
          </w:tcPr>
          <w:p>
            <w:pPr>
              <w:spacing w:before="40" w:after="40"/>
            </w:pPr>
            <w:r>
              <w:rPr>
                <w:sz w:val="18"/>
              </w:rPr>
              <w:t xml:space="preserve">Motor</w:t>
            </w:r>
          </w:p>
        </w:tc>
        <w:tc>
          <w:tcPr>
            <w:tcW w:w="4120" w:type="dxa"/>
            <w:vAlign w:val="center"/>
          </w:tcPr>
          <w:p>
            <w:pPr>
              <w:spacing w:before="40" w:after="40"/>
            </w:pPr>
            <w:r>
              <w:rPr>
                <w:sz w:val="18"/>
              </w:rPr>
              <w:t xml:space="preserve">Motor partner of MOs</w:t>
            </w:r>
          </w:p>
        </w:tc>
      </w:tr>
    </w:tbl>
    <w:p>
      <w:pPr/>
      <w:r>
        <w:t xml:space="preserve"/>
      </w:r>
    </w:p>
    <w:p>
      <w:pPr/>
      <w:r>
        <w:t xml:space="preserve">In code, ORBvl is named vlOFC_orbvl; figures and tables use the Allen acronym ORBvl or the label vlOFC interchangeably for readability.</w:t>
      </w:r>
    </w:p>
    <w:p>
      <w:pPr>
        <w:pStyle w:val="Heading2"/>
        <w:spacing w:before="240" w:after="120"/>
      </w:pPr>
      <w:r>
        <w:rPr>
          <w:b/>
          <w:sz w:val="26"/>
        </w:rPr>
        <w:t xml:space="preserve">3.3 Deferred / optional ROIs</w:t>
      </w:r>
    </w:p>
    <w:p>
      <w:pPr/>
      <w:r>
        <w:t xml:space="preserve">A broader Findling-inspired list (CP, VISp, LGd, SCm, GRN, ORBm, PL, ILA) is documented but not in the current analysis loop. Early sensory sites are especially sensitive to embodied priors (posture / eye position) that we have not yet controlled for; expanding there without those controls would invite false positives. Deferral is a design choice, not a claim that those regions lack prior information.</w:t>
      </w:r>
    </w:p>
    <w:p>
      <w:pPr>
        <w:pStyle w:val="Heading1"/>
        <w:spacing w:before="240" w:after="120"/>
      </w:pPr>
      <w:r>
        <w:rPr>
          <w:b/>
          <w:sz w:val="32"/>
        </w:rPr>
        <w:t xml:space="preserve">4. Trial encoding and evaluation regimes</w:t>
      </w:r>
    </w:p>
    <w:p>
      <w:pPr>
        <w:pStyle w:val="Heading2"/>
        <w:spacing w:before="240" w:after="120"/>
      </w:pPr>
      <w:r>
        <w:rPr>
          <w:b/>
          <w:sz w:val="26"/>
        </w:rPr>
        <w:t xml:space="preserve">4.1 Shared tick-and-channel interface</w:t>
      </w:r>
    </w:p>
    <w:p>
      <w:pPr/>
      <w:r>
        <w:t xml:space="preserve">All models see the same discrete-time interface. Continuous trial events are binned into 100 ms ticks. Phase order follows a causal within-trial schedule (baseline → stimulus → go → response → feedback); phase durations are integer ticks fitted from empirical IBL event-time medians, not a toy fixed schedule. Loss / choice readout occurs only on the response tick.</w:t>
      </w:r>
    </w:p>
    <w:p>
      <w:pPr/>
      <w:r>
        <w:t xml:space="preserve">Current frozen phase layout (9 ticks per trial):</w:t>
      </w:r>
    </w:p>
    <w:p>
      <w:pPr>
        <w:pStyle w:val="ListParagraph"/>
        <w:ind w:left="360" w:hanging="180"/>
      </w:pPr>
      <w:r>
        <w:t xml:space="preserve">• Ticks 0–1: baseline (all channels 0; recurrent state carries cross-trial history).</w:t>
      </w:r>
    </w:p>
    <w:p>
      <w:pPr>
        <w:pStyle w:val="ListParagraph"/>
        <w:ind w:left="360" w:hanging="180"/>
      </w:pPr>
      <w:r>
        <w:t xml:space="preserve">• Tick 2: stimulus onset and go cue in the same bin (empirical go−stim median ≈ 16 ms → 0 ticks).</w:t>
      </w:r>
    </w:p>
    <w:p>
      <w:pPr>
        <w:pStyle w:val="ListParagraph"/>
        <w:ind w:left="360" w:hanging="180"/>
      </w:pPr>
      <w:r>
        <w:t xml:space="preserve">• Ticks 3–5: stimulus held; go off.</w:t>
      </w:r>
    </w:p>
    <w:p>
      <w:pPr>
        <w:pStyle w:val="ListParagraph"/>
        <w:ind w:left="360" w:hanging="180"/>
      </w:pPr>
      <w:r>
        <w:t xml:space="preserve">• Tick 6: response / readout (visual off on this tick by convention; supervised target = correct side).</w:t>
      </w:r>
    </w:p>
    <w:p>
      <w:pPr>
        <w:pStyle w:val="ListParagraph"/>
        <w:ind w:left="360" w:hanging="180"/>
      </w:pPr>
      <w:r>
        <w:t xml:space="preserve">• Ticks 7–8: feedback (action and reward channels).</w:t>
      </w:r>
    </w:p>
    <w:p>
      <w:pPr/>
      <w:r>
        <w:t xml:space="preserve">Seven input channels (fixed order):</w:t>
      </w:r>
    </w:p>
    <w:p>
      <w:pPr>
        <w:pStyle w:val="ListParagraph"/>
        <w:ind w:left="360" w:hanging="180"/>
      </w:pPr>
      <w:r>
        <w:t xml:space="preserve">• visual_right, visual_left — continuous contrast magnitude on the corresponding side (else 0).</w:t>
      </w:r>
    </w:p>
    <w:p>
      <w:pPr>
        <w:pStyle w:val="ListParagraph"/>
        <w:ind w:left="360" w:hanging="180"/>
      </w:pPr>
      <w:r>
        <w:t xml:space="preserve">• go_cue — binary, on only at the go tick.</w:t>
      </w:r>
    </w:p>
    <w:p>
      <w:pPr>
        <w:pStyle w:val="ListParagraph"/>
        <w:ind w:left="360" w:hanging="180"/>
      </w:pPr>
      <w:r>
        <w:t xml:space="preserve">• action_left, action_right — binary feedback of the executed/teacher action.</w:t>
      </w:r>
    </w:p>
    <w:p>
      <w:pPr>
        <w:pStyle w:val="ListParagraph"/>
        <w:ind w:left="360" w:hanging="180"/>
      </w:pPr>
      <w:r>
        <w:t xml:space="preserve">• rewarded, not_rewarded — binary outcome (exactly one on during feedback).</w:t>
      </w:r>
    </w:p>
    <w:p>
      <w:pPr/>
      <w:r>
        <w:t xml:space="preserve">Sensory coding: right stimulus of contrast c → (visual_right, visual_left) = (c, 0); left → (0, c). Synthetic training may add Gaussian noise to the two visual channels (sensory_noise_std_synth = 0.15). Real transfer turns that noise off.</w:t>
      </w:r>
    </w:p>
    <w:p>
      <w:pPr>
        <w:pStyle w:val="Heading2"/>
        <w:spacing w:before="240" w:after="120"/>
      </w:pPr>
      <w:r>
        <w:rPr>
          <w:b/>
          <w:sz w:val="26"/>
        </w:rPr>
        <w:t xml:space="preserve">4.2 What differs between synthetic training, synthetic eval, and real transfer</w:t>
      </w:r>
    </w:p>
    <w:p>
      <w:pPr>
        <w:pStyle w:val="ListParagraph"/>
        <w:ind w:left="360" w:hanging="180"/>
      </w:pPr>
      <w:r>
        <w:t xml:space="preserve">• Synthetic train: teacher-forced action/reward on feedback ticks, with a configurable action-error rate (training_feedback_error_rate = 0.2) so the model sees occasional incorrect feedback.</w:t>
      </w:r>
    </w:p>
    <w:p>
      <w:pPr>
        <w:pStyle w:val="ListParagraph"/>
        <w:ind w:left="360" w:hanging="180"/>
      </w:pPr>
      <w:r>
        <w:t xml:space="preserve">• Synthetic held-out eval: closed-loop — the model’s own sampled/chosen action determines feedback.</w:t>
      </w:r>
    </w:p>
    <w:p>
      <w:pPr>
        <w:pStyle w:val="ListParagraph"/>
        <w:ind w:left="360" w:hanging="180"/>
      </w:pPr>
      <w:r>
        <w:t xml:space="preserve">• Real transfer: frozen weights; ALF trials mapped into the same schema; feedback ticks use the mouse’s actual action and reward as history inputs only. The supervised / scored target remains the correct stimulus side, never the mouse’s choice.</w:t>
      </w:r>
    </w:p>
    <w:p>
      <w:pPr/>
      <w:r>
        <w:t xml:space="preserve">This last point is easy to miss. Scoring against correct side asks whether the model solves the task. Using mouse action/reward as inputs lets the model’s recurrent state track the same history stream the mouse experienced, which is required for fair prior-updating comparisons on real data.</w:t>
      </w:r>
    </w:p>
    <w:p>
      <w:pPr>
        <w:pStyle w:val="Heading2"/>
        <w:spacing w:before="240" w:after="120"/>
      </w:pPr>
      <w:r>
        <w:rPr>
          <w:b/>
          <w:sz w:val="26"/>
        </w:rPr>
        <w:t xml:space="preserve">4.3 Evaluation regimes</w:t>
      </w:r>
    </w:p>
    <w:p>
      <w:pPr/>
      <w:r>
        <w:t xml:space="preserve">Three regimes probe different computational demands. All use the same trained weights; only evaluation-time inputs or trial subsets change.</w:t>
      </w:r>
    </w:p>
    <w:p>
      <w:pPr>
        <w:pStyle w:val="ListParagraph"/>
        <w:ind w:left="360" w:hanging="180"/>
      </w:pPr>
      <w:r>
        <w:t xml:space="preserve">• history_only (primary): closed-loop (or mouse-history on real); no oracle block information. The model must infer the prior from experience. This is the main ranking regime.</w:t>
      </w:r>
    </w:p>
    <w:p>
      <w:pPr>
        <w:pStyle w:val="ListParagraph"/>
        <w:ind w:left="360" w:hanging="180"/>
      </w:pPr>
      <w:r>
        <w:t xml:space="preserve">• full_information (control): same dynamics, but at evaluation an additive logit bias from the true block log-odds is injected (fi_oracle_logit_gain). This asks whether a model can use prior information when it is provided, even if it fails to infer it from history alone (informative for tanh PC in particular).</w:t>
      </w:r>
    </w:p>
    <w:p>
      <w:pPr>
        <w:pStyle w:val="ListParagraph"/>
        <w:ind w:left="360" w:hanging="180"/>
      </w:pPr>
      <w:r>
        <w:t xml:space="preserve">• fixed_prior: evaluate only on unbiased blocks (true P(right) ≈ 0.5), removing block-bias demands.</w:t>
      </w:r>
    </w:p>
    <w:p>
      <w:pPr>
        <w:pStyle w:val="Heading1"/>
        <w:spacing w:before="240" w:after="120"/>
      </w:pPr>
      <w:r>
        <w:rPr>
          <w:b/>
          <w:sz w:val="32"/>
        </w:rPr>
        <w:t xml:space="preserve">5. Models and training</w:t>
      </w:r>
    </w:p>
    <w:p>
      <w:pPr>
        <w:pStyle w:val="Heading2"/>
        <w:spacing w:before="240" w:after="120"/>
      </w:pPr>
      <w:r>
        <w:rPr>
          <w:b/>
          <w:sz w:val="26"/>
        </w:rPr>
        <w:t xml:space="preserve">5.1 Common interface and fairness rules</w:t>
      </w:r>
    </w:p>
    <w:p>
      <w:pPr/>
      <w:r>
        <w:t xml:space="preserve">Fair comparison requires holding fixed what can be held fixed, and documenting intentional differences:</w:t>
      </w:r>
    </w:p>
    <w:p>
      <w:pPr>
        <w:pStyle w:val="ListParagraph"/>
        <w:ind w:left="360" w:hanging="180"/>
      </w:pPr>
      <w:r>
        <w:t xml:space="preserve">• Shared: input channels, phase ticks, synthetic generator, choice objective (correct stimulus side), and (for RNNs) default hidden size 48 with session-contiguous state.</w:t>
      </w:r>
    </w:p>
    <w:p>
      <w:pPr>
        <w:pStyle w:val="ListParagraph"/>
        <w:ind w:left="360" w:hanging="180"/>
      </w:pPr>
      <w:r>
        <w:t xml:space="preserve">• Intentional difference within architecture pairs: identical test-time tanh (or GRU) dynamics; BPTT versus corrected predictive-coding credit assignment at train time.</w:t>
      </w:r>
    </w:p>
    <w:p>
      <w:pPr>
        <w:pStyle w:val="ListParagraph"/>
        <w:ind w:left="360" w:hanging="180"/>
      </w:pPr>
      <w:r>
        <w:t xml:space="preserve">• Both PC models share the corrected inference recipe (32 rounds, output precision 0.025, nudge-normalized updates, 929 trials/session). GRU PC is gate-aware.</w:t>
      </w:r>
    </w:p>
    <w:p>
      <w:pPr>
        <w:pStyle w:val="ListParagraph"/>
        <w:ind w:left="360" w:hanging="180"/>
      </w:pPr>
      <w:r>
        <w:t xml:space="preserve">• No mouse fine-tuning in v2. No reaction-time primary loss in v2 ranking. Explicit Bayes is legacy only (not in the active four-model set).</w:t>
      </w:r>
    </w:p>
    <w:p>
      <w:pPr>
        <w:pStyle w:val="Heading2"/>
        <w:spacing w:before="240" w:after="120"/>
      </w:pPr>
      <w:r>
        <w:rPr>
          <w:b/>
          <w:sz w:val="26"/>
        </w:rPr>
        <w:t xml:space="preserve">5.2 Model definitions</w:t>
      </w:r>
    </w:p>
    <w:tbl>
      <w:tblPr>
        <w:tblW w:w="9360" w:type="dxa"/>
        <w:tblLayout w:type="fixed"/>
        <w:tblBorders>
          <w:top w:val="single" w:sz="4" w:space="0" w:color="666666"/>
          <w:left w:val="single" w:sz="4" w:space="0" w:color="666666"/>
          <w:bottom w:val="single" w:sz="4" w:space="0" w:color="666666"/>
          <w:right w:val="single" w:sz="4" w:space="0" w:color="666666"/>
          <w:insideH w:val="single" w:sz="4" w:space="0" w:color="AAAAAA"/>
          <w:insideV w:val="single" w:sz="4" w:space="0" w:color="AAAAAA"/>
        </w:tblBorders>
      </w:tblPr>
      <w:tblGrid>
        <w:gridCol w:w="1684"/>
        <w:gridCol w:w="3744"/>
        <w:gridCol w:w="3932"/>
      </w:tblGrid>
      <w:tr>
        <w:tc>
          <w:tcPr>
            <w:tcW w:w="1684" w:type="dxa"/>
            <w:shd w:val="clear" w:fill="EEEEEE"/>
            <w:vAlign w:val="center"/>
          </w:tcPr>
          <w:p>
            <w:pPr>
              <w:spacing w:before="40" w:after="40"/>
            </w:pPr>
            <w:r>
              <w:rPr>
                <w:b/>
                <w:sz w:val="18"/>
              </w:rPr>
              <w:t xml:space="preserve">Model</w:t>
            </w:r>
          </w:p>
        </w:tc>
        <w:tc>
          <w:tcPr>
            <w:tcW w:w="3744" w:type="dxa"/>
            <w:shd w:val="clear" w:fill="EEEEEE"/>
            <w:vAlign w:val="center"/>
          </w:tcPr>
          <w:p>
            <w:pPr>
              <w:spacing w:before="40" w:after="40"/>
            </w:pPr>
            <w:r>
              <w:rPr>
                <w:b/>
                <w:sz w:val="18"/>
              </w:rPr>
              <w:t xml:space="preserve">Test-time computation</w:t>
            </w:r>
          </w:p>
        </w:tc>
        <w:tc>
          <w:tcPr>
            <w:tcW w:w="3932" w:type="dxa"/>
            <w:shd w:val="clear" w:fill="EEEEEE"/>
            <w:vAlign w:val="center"/>
          </w:tcPr>
          <w:p>
            <w:pPr>
              <w:spacing w:before="40" w:after="40"/>
            </w:pPr>
            <w:r>
              <w:rPr>
                <w:b/>
                <w:sz w:val="18"/>
              </w:rPr>
              <w:t xml:space="preserve">Training</w:t>
            </w:r>
          </w:p>
        </w:tc>
      </w:tr>
      <w:tr>
        <w:tc>
          <w:tcPr>
            <w:tcW w:w="1684" w:type="dxa"/>
            <w:vAlign w:val="center"/>
          </w:tcPr>
          <w:p>
            <w:pPr>
              <w:spacing w:before="40" w:after="40"/>
            </w:pPr>
            <w:r>
              <w:rPr>
                <w:sz w:val="18"/>
              </w:rPr>
              <w:t xml:space="preserve">tanh BPTT</w:t>
            </w:r>
          </w:p>
        </w:tc>
        <w:tc>
          <w:tcPr>
            <w:tcW w:w="3744" w:type="dxa"/>
            <w:vAlign w:val="center"/>
          </w:tcPr>
          <w:p>
            <w:pPr>
              <w:spacing w:before="40" w:after="40"/>
            </w:pPr>
            <w:r>
              <w:rPr>
                <w:sz w:val="18"/>
              </w:rPr>
              <w:t xml:space="preserve">Vanilla tanh RNN over ticks</w:t>
            </w:r>
          </w:p>
        </w:tc>
        <w:tc>
          <w:tcPr>
            <w:tcW w:w="3932" w:type="dxa"/>
            <w:vAlign w:val="center"/>
          </w:tcPr>
          <w:p>
            <w:pPr>
              <w:spacing w:before="40" w:after="40"/>
            </w:pPr>
            <w:r>
              <w:rPr>
                <w:sz w:val="18"/>
              </w:rPr>
              <w:t xml:space="preserve">Backpropagation through time</w:t>
            </w:r>
          </w:p>
        </w:tc>
      </w:tr>
      <w:tr>
        <w:tc>
          <w:tcPr>
            <w:tcW w:w="1684" w:type="dxa"/>
            <w:vAlign w:val="center"/>
          </w:tcPr>
          <w:p>
            <w:pPr>
              <w:spacing w:before="40" w:after="40"/>
            </w:pPr>
            <w:r>
              <w:rPr>
                <w:sz w:val="18"/>
              </w:rPr>
              <w:t xml:space="preserve">tanh PC</w:t>
            </w:r>
          </w:p>
        </w:tc>
        <w:tc>
          <w:tcPr>
            <w:tcW w:w="3744" w:type="dxa"/>
            <w:vAlign w:val="center"/>
          </w:tcPr>
          <w:p>
            <w:pPr>
              <w:spacing w:before="40" w:after="40"/>
            </w:pPr>
            <w:r>
              <w:rPr>
                <w:sz w:val="18"/>
              </w:rPr>
              <w:t xml:space="preserve">Identical tanh RNN</w:t>
            </w:r>
          </w:p>
        </w:tc>
        <w:tc>
          <w:tcPr>
            <w:tcW w:w="3932" w:type="dxa"/>
            <w:vAlign w:val="center"/>
          </w:tcPr>
          <w:p>
            <w:pPr>
              <w:spacing w:before="40" w:after="40"/>
            </w:pPr>
            <w:r>
              <w:rPr>
                <w:sz w:val="18"/>
              </w:rPr>
              <w:t xml:space="preserve">Corrected PC credit assignment</w:t>
            </w:r>
          </w:p>
        </w:tc>
      </w:tr>
      <w:tr>
        <w:tc>
          <w:tcPr>
            <w:tcW w:w="1684" w:type="dxa"/>
            <w:vAlign w:val="center"/>
          </w:tcPr>
          <w:p>
            <w:pPr>
              <w:spacing w:before="40" w:after="40"/>
            </w:pPr>
            <w:r>
              <w:rPr>
                <w:sz w:val="18"/>
              </w:rPr>
              <w:t xml:space="preserve">GRU</w:t>
            </w:r>
          </w:p>
        </w:tc>
        <w:tc>
          <w:tcPr>
            <w:tcW w:w="3744" w:type="dxa"/>
            <w:vAlign w:val="center"/>
          </w:tcPr>
          <w:p>
            <w:pPr>
              <w:spacing w:before="40" w:after="40"/>
            </w:pPr>
            <w:r>
              <w:rPr>
                <w:sz w:val="18"/>
              </w:rPr>
              <w:t xml:space="preserve">Gated recurrent unit over ticks</w:t>
            </w:r>
          </w:p>
        </w:tc>
        <w:tc>
          <w:tcPr>
            <w:tcW w:w="3932" w:type="dxa"/>
            <w:vAlign w:val="center"/>
          </w:tcPr>
          <w:p>
            <w:pPr>
              <w:spacing w:before="40" w:after="40"/>
            </w:pPr>
            <w:r>
              <w:rPr>
                <w:sz w:val="18"/>
              </w:rPr>
              <w:t xml:space="preserve">Backpropagation through time</w:t>
            </w:r>
          </w:p>
        </w:tc>
      </w:tr>
      <w:tr>
        <w:tc>
          <w:tcPr>
            <w:tcW w:w="1684" w:type="dxa"/>
            <w:vAlign w:val="center"/>
          </w:tcPr>
          <w:p>
            <w:pPr>
              <w:spacing w:before="40" w:after="40"/>
            </w:pPr>
            <w:r>
              <w:rPr>
                <w:sz w:val="18"/>
              </w:rPr>
              <w:t xml:space="preserve">GRU PC</w:t>
            </w:r>
          </w:p>
        </w:tc>
        <w:tc>
          <w:tcPr>
            <w:tcW w:w="3744" w:type="dxa"/>
            <w:vAlign w:val="center"/>
          </w:tcPr>
          <w:p>
            <w:pPr>
              <w:spacing w:before="40" w:after="40"/>
            </w:pPr>
            <w:r>
              <w:rPr>
                <w:sz w:val="18"/>
              </w:rPr>
              <w:t xml:space="preserve">Identical GRU</w:t>
            </w:r>
          </w:p>
        </w:tc>
        <w:tc>
          <w:tcPr>
            <w:tcW w:w="3932" w:type="dxa"/>
            <w:vAlign w:val="center"/>
          </w:tcPr>
          <w:p>
            <w:pPr>
              <w:spacing w:before="40" w:after="40"/>
            </w:pPr>
            <w:r>
              <w:rPr>
                <w:sz w:val="18"/>
              </w:rPr>
              <w:t xml:space="preserve">Gate-aware corrected PC credit assignment</w:t>
            </w:r>
          </w:p>
        </w:tc>
      </w:tr>
    </w:tbl>
    <w:p>
      <w:pPr/>
      <w:r>
        <w:t xml:space="preserve"/>
      </w:r>
    </w:p>
    <w:p>
      <w:pPr/>
      <w:r>
        <w:t xml:space="preserve">Naming caution: tanh PC / GRU PC mean credit-assignment training of the corresponding cell. They are not v1 prediction-error dynamics cells. At test time, each PC model shares its BPTT twin’s computational graph; only the learned weights differ. Bayes is legacy and not in the active comparison.</w:t>
      </w:r>
    </w:p>
    <w:p>
      <w:pPr/>
      <w:r>
        <w:t xml:space="preserve">PC inference (both cells): free activities are iteratively optimized under a prediction-error energy with a weak output nudge (precision 0.025). Synchronous rounds (32) are long enough for the response nudge to reach the previous trial’s feedback window. Local weight updates use presynaptic activity × postsynaptic prediction error and are divided by the nudge magnitude so changing precision does not silently rescale the synaptic learning rate. GRU PC applies the same recipe through the full gate Jacobian (z, r, candidate).</w:t>
      </w:r>
    </w:p>
    <w:p>
      <w:pPr>
        <w:pStyle w:val="Heading2"/>
        <w:spacing w:before="240" w:after="120"/>
      </w:pPr>
      <w:r>
        <w:rPr>
          <w:b/>
          <w:sz w:val="26"/>
        </w:rPr>
        <w:t xml:space="preserve">5.3 Training protocol</w:t>
      </w:r>
    </w:p>
    <w:p>
      <w:pPr>
        <w:pStyle w:val="ListParagraph"/>
        <w:ind w:left="360" w:hanging="180"/>
      </w:pPr>
      <w:r>
        <w:t xml:space="preserve">• Optimizer / loop: NumPy implementations with Adam; truncated BPTT (or PC chunks) over sessions while keeping empirical phase ticks.</w:t>
      </w:r>
    </w:p>
    <w:p>
      <w:pPr>
        <w:pStyle w:val="ListParagraph"/>
        <w:ind w:left="360" w:hanging="180"/>
      </w:pPr>
      <w:r>
        <w:t xml:space="preserve">• Default exposure (all active models): 60 epochs × 24 sessions/epoch × ≈929 trials/session, in chunks of 32 trials (bptt_trials).</w:t>
      </w:r>
    </w:p>
    <w:p>
      <w:pPr>
        <w:pStyle w:val="ListParagraph"/>
        <w:ind w:left="360" w:hanging="180"/>
      </w:pPr>
      <w:r>
        <w:t xml:space="preserve">• Corrected PC (tanh_pc and gru_pc): same 929-trial sessions as BPTT models. Training uses iterative predictive-coding inference (32 rounds; minimum 9 to reach previous-trial feedback), weak output precision 0.025 during inference, and nudge-normalized local synaptic updates. Between chunks, only the pre-update forward state is carried (never the label-nudged inferred state). gru_pc uses gate-aware prediction errors through the full GRU step.</w:t>
      </w:r>
    </w:p>
    <w:p>
      <w:pPr>
        <w:pStyle w:val="ListParagraph"/>
        <w:ind w:left="360" w:hanging="180"/>
      </w:pPr>
      <w:r>
        <w:t xml:space="preserve">• Checkpoints live under artifacts/v2/models/{model_id}/; real and regime evals load frozen weights.</w:t>
      </w:r>
    </w:p>
    <w:p>
      <w:pPr>
        <w:pStyle w:val="Heading2"/>
        <w:spacing w:before="240" w:after="120"/>
      </w:pPr>
      <w:r>
        <w:rPr>
          <w:b/>
          <w:sz w:val="26"/>
        </w:rPr>
        <w:t xml:space="preserve">5.4 Belief extraction (used in metrics and neural analyses)</w:t>
      </w:r>
    </w:p>
    <w:p>
      <w:pPr/>
      <w:r>
        <w:t xml:space="preserve">Behavioral “belief” is not the on-path choice probability under the actual stimulus. The primary prior probe is a counterfactual zero-evidence query: from the post-baseline recurrent (or Bayes) state, run to the response tick with visual contrast held at zero but go cue on, and read P(choose right). That quantity isolates history-dependent bias from immediate sensory evidence. History gap and switch-centered curves are built from this probe (§6).</w:t>
      </w:r>
    </w:p>
    <w:p>
      <w:pPr>
        <w:pStyle w:val="Heading1"/>
        <w:spacing w:before="240" w:after="120"/>
      </w:pPr>
      <w:r>
        <w:rPr>
          <w:b/>
          <w:sz w:val="32"/>
        </w:rPr>
        <w:t xml:space="preserve">6. Behavioral metrics</w:t>
      </w:r>
    </w:p>
    <w:p>
      <w:pPr>
        <w:pStyle w:val="Heading2"/>
        <w:spacing w:before="240" w:after="120"/>
      </w:pPr>
      <w:r>
        <w:rPr>
          <w:b/>
          <w:sz w:val="26"/>
        </w:rPr>
        <w:t xml:space="preserve">6.1 What we optimize versus what we report</w:t>
      </w:r>
    </w:p>
    <w:p>
      <w:pPr/>
      <w:r>
        <w:t xml:space="preserve">Training minimizes choice cross-entropy against the correct stimulus side on response ticks. Reported scorecards emphasize interpretable summaries of the same objective and of prior updating, separately for synthetic held-out and real transfer, and separately by regime.</w:t>
      </w:r>
    </w:p>
    <w:p>
      <w:pPr>
        <w:pStyle w:val="Heading2"/>
        <w:spacing w:before="240" w:after="120"/>
      </w:pPr>
      <w:r>
        <w:rPr>
          <w:b/>
          <w:sz w:val="26"/>
        </w:rPr>
        <w:t xml:space="preserve">6.2 Correctness and balanced correctness</w:t>
      </w:r>
    </w:p>
    <w:p>
      <w:pPr>
        <w:pStyle w:val="ListParagraph"/>
        <w:ind w:left="360" w:hanging="180"/>
      </w:pPr>
      <w:r>
        <w:t xml:space="preserve">• Correctness (accuracy): fraction of evaluated trials where argmax model choice equals the correct stimulus side. On real data this is still correct-side scoring, not mouse-choice matching.</w:t>
      </w:r>
    </w:p>
    <w:p>
      <w:pPr>
        <w:pStyle w:val="ListParagraph"/>
        <w:ind w:left="360" w:hanging="180"/>
      </w:pPr>
      <w:r>
        <w:t xml:space="preserve">• Cross-entropy / choice NLL: mean negative log probability of the correct side under the model’s choice distribution; used for ranking (legacy behavior-matching ε-ball is parked; §7.7).</w:t>
      </w:r>
    </w:p>
    <w:p>
      <w:pPr>
        <w:pStyle w:val="ListParagraph"/>
        <w:ind w:left="360" w:hanging="180"/>
      </w:pPr>
      <w:r>
        <w:t xml:space="preserve">• Balanced correctness: equal-weight mean of correctness within blocks with true P(right) ∈ {0.2, 0.5, 0.8}. This prevents a model that is only good in one block type from dominating an unbalanced session mix.</w:t>
      </w:r>
    </w:p>
    <w:p>
      <w:pPr>
        <w:pStyle w:val="Heading2"/>
        <w:spacing w:before="240" w:after="120"/>
      </w:pPr>
      <w:r>
        <w:rPr>
          <w:b/>
          <w:sz w:val="26"/>
        </w:rPr>
        <w:t xml:space="preserve">6.3 Psychometrics by block prior</w:t>
      </w:r>
    </w:p>
    <w:p>
      <w:pPr/>
      <w:r>
        <w:t xml:space="preserve">For each model and regime we plot P(choose right) against signed contrast, stratified by true block P(right). Primary display uses the biased blocks 0.2 and 0.8 (the 0.5 block is reserved for the fixed-prior regime and for balanced summaries). A model that updates priors should show horizontal shifts of the psychometric: higher P(right) curves in 0.8 blocks than in 0.2 blocks at matched contrast.</w:t>
      </w:r>
    </w:p>
    <w:p>
      <w:pPr>
        <w:pStyle w:val="Heading2"/>
        <w:spacing w:before="240" w:after="120"/>
      </w:pPr>
      <w:r>
        <w:rPr>
          <w:b/>
          <w:sz w:val="26"/>
        </w:rPr>
        <w:t xml:space="preserve">6.4 History gap (prior updating summary)</w:t>
      </w:r>
    </w:p>
    <w:p>
      <w:pPr/>
      <w:r>
        <w:t xml:space="preserve">History gap = mean zero-evidence P(right) among trials in true 0.8 blocks minus the same mean in true 0.2 blocks. Large positive gaps mean the model’s counterfactual belief tracks block identity. Gaps near zero mean little history-dependent bias (typical of a model that relies on sensory evidence or an oracle prior rather than inferred history).</w:t>
      </w:r>
    </w:p>
    <w:p>
      <w:pPr>
        <w:pStyle w:val="Heading2"/>
        <w:spacing w:before="240" w:after="120"/>
      </w:pPr>
      <w:r>
        <w:rPr>
          <w:b/>
          <w:sz w:val="26"/>
        </w:rPr>
        <w:t xml:space="preserve">6.5 Switch-centered adaptation (belief)</w:t>
      </w:r>
    </w:p>
    <w:p>
      <w:pPr/>
      <w:r>
        <w:t xml:space="preserve">Block transitions between biased blocks (0.2→0.8 and 0.8→0.2; 0.5 transitions excluded) are aligned at trial 0. Zero-evidence belief is averaged in a window around the switch (approximately −30 to +30 trials), separately by switch direction, then summarized as session means with SEM bands across sessions. These curves show how quickly belief re-centers after a hidden prior change.</w:t>
      </w:r>
    </w:p>
    <w:p>
      <w:pPr>
        <w:pStyle w:val="Heading2"/>
        <w:spacing w:before="240" w:after="120"/>
      </w:pPr>
      <w:r>
        <w:rPr>
          <w:b/>
          <w:sz w:val="26"/>
        </w:rPr>
        <w:t xml:space="preserve">6.6 Switch-centered correctness (accuracy around updates)</w:t>
      </w:r>
    </w:p>
    <w:p>
      <w:pPr/>
      <w:r>
        <w:t xml:space="preserve">The same switch alignment is applied to trial correctness (1 if model choice equals the correct stimulus side, else 0). This answers Q1’s second half: models can have similar overall accuracy yet differ where updating is hardest — immediately after a block switch. We report:</w:t>
      </w:r>
    </w:p>
    <w:p>
      <w:pPr>
        <w:pStyle w:val="ListParagraph"/>
        <w:ind w:left="360" w:hanging="180"/>
      </w:pPr>
      <w:r>
        <w:t xml:space="preserve">• Full switch-centered correctness curves by direction (mean ± SEM across sessions).</w:t>
      </w:r>
    </w:p>
    <w:p>
      <w:pPr>
        <w:pStyle w:val="ListParagraph"/>
        <w:ind w:left="360" w:hanging="180"/>
      </w:pPr>
      <w:r>
        <w:t xml:space="preserve">• A post-switch summary: mean correctness on trials 0–15 after the switch, with session-level 95% CIs, separately for 0.2→0.8 and 0.8→0.2.</w:t>
      </w:r>
    </w:p>
    <w:p>
      <w:pPr>
        <w:pStyle w:val="ListParagraph"/>
        <w:ind w:left="360" w:hanging="180"/>
      </w:pPr>
      <w:r>
        <w:t xml:space="preserve">• A story board that places overall correctness above the two switch-direction curves so the narrative runs from steady-state ranking to online-updating ranking.</w:t>
      </w:r>
    </w:p>
    <w:p>
      <w:pPr>
        <w:pStyle w:val="Heading2"/>
        <w:spacing w:before="240" w:after="120"/>
      </w:pPr>
      <w:r>
        <w:rPr>
          <w:b/>
          <w:sz w:val="26"/>
        </w:rPr>
        <w:t xml:space="preserve">6.7 Example-session diagnostics</w:t>
      </w:r>
    </w:p>
    <w:p>
      <w:pPr/>
      <w:r>
        <w:t xml:space="preserve">Per-model multipanels also show an example session timeline: true block P(right) versus zero-evidence belief across trials (and psychometric / switch panels). Prefer sessions that contain 0.2, 0.5, and 0.8 blocks when available so the timeline illustrates all prior contexts. These figures are qualitative checks that the scalar metrics summarize real dynamics.</w:t>
      </w:r>
    </w:p>
    <w:p>
      <w:pPr>
        <w:pStyle w:val="Heading1"/>
        <w:spacing w:before="240" w:after="120"/>
      </w:pPr>
      <w:r>
        <w:rPr>
          <w:b/>
          <w:sz w:val="32"/>
        </w:rPr>
        <w:t xml:space="preserve">7. Neural prior comparison</w:t>
      </w:r>
    </w:p>
    <w:p>
      <w:pPr/>
      <w:r>
        <w:t xml:space="preserve">This section asks a different question from the behavioral scorecards. Behavior asks: which model chooses more like the task (or more like the mouse)? Neural comparison asks: once we have built a one-dimensional summary of how a brain region tracks the mouse’s trial-by-trial prior, which model’s latent belief best tracks that same neural summary? The goal is not to claim that the model is the brain, but to test which model’s internal belief trajectory is most aligned with a behavior-defined neural prior axis in regions previously linked to prior encoding.</w:t>
      </w:r>
    </w:p>
    <w:p>
      <w:pPr>
        <w:pStyle w:val="Heading2"/>
        <w:spacing w:before="240" w:after="120"/>
      </w:pPr>
      <w:r>
        <w:rPr>
          <w:b/>
          <w:sz w:val="26"/>
        </w:rPr>
        <w:t xml:space="preserve">7.1 Intuition: from spikes to a neural prior axis</w:t>
      </w:r>
    </w:p>
    <w:p>
      <w:pPr/>
      <w:r>
        <w:t xml:space="preserve">On each trial, many neurons in a region fire at different rates. Those rates likely mix sensory, motor, and cognitive signals. We do not compare the full population vector to a model. Instead we construct a single number per trial that is meant to capture the region’s encoding of the mouse’s subjective prior — call this the neural prior axis, denoted û_t. Conceptually:</w:t>
      </w:r>
    </w:p>
    <w:p>
      <w:pPr>
        <w:pStyle w:val="ListParagraph"/>
        <w:ind w:left="360" w:hanging="180"/>
      </w:pPr>
      <w:r>
        <w:t xml:space="preserve">• Step A — estimate what prior the mouse appears to be using from behavior alone (mouse prior p̂_t).</w:t>
      </w:r>
    </w:p>
    <w:p>
      <w:pPr>
        <w:pStyle w:val="ListParagraph"/>
        <w:ind w:left="360" w:hanging="180"/>
      </w:pPr>
      <w:r>
        <w:t xml:space="preserve">• Step B — learn a linear map from the region’s peri-stimulus spike counts to that mouse prior, using cross-validated ridge regression, yielding û_t on held-out trials.</w:t>
      </w:r>
    </w:p>
    <w:p>
      <w:pPr>
        <w:pStyle w:val="ListParagraph"/>
        <w:ind w:left="360" w:hanging="180"/>
      </w:pPr>
      <w:r>
        <w:t xml:space="preserve">• Step C — ask how well each model’s belief q_t explains û_t on the same trials (variance explained; all models shown).</w:t>
      </w:r>
    </w:p>
    <w:p>
      <w:pPr>
        <w:pStyle w:val="ListParagraph"/>
        <w:ind w:left="360" w:hanging="180"/>
      </w:pPr>
      <w:r>
        <w:t xml:space="preserve">• Step D — ask whether the top model’s neural edge over the next-best model is statistically reliable across sessions (survival test; plain-language explanation in §7.8).</w:t>
      </w:r>
    </w:p>
    <w:p>
      <w:pPr/>
      <w:r>
        <w:t xml:space="preserve">This design separates three ideas that are easy to confuse: (i) the mouse’s behavioral prior estimate, (ii) the neural readout of that prior, and (iii) the model’s latent belief. The primary comparison is between (ii) and (iii), with (i) used only to define the neural axis.</w:t>
      </w:r>
    </w:p>
    <w:p>
      <w:pPr/>
      <w:r>
        <w:rPr>
          <w:i/>
        </w:rPr>
        <w:t xml:space="preserve">Note. v2 current-phase amendment: behavior-matching (ε-ball filtering before neural claims) is parked. Primary neural figures and survival tests use all active models. Legacy matched CSVs remain on disk for archive only.</w:t>
      </w:r>
    </w:p>
    <w:p>
      <w:pPr>
        <w:pStyle w:val="Heading2"/>
        <w:spacing w:before="240" w:after="120"/>
      </w:pPr>
      <w:r>
        <w:rPr>
          <w:b/>
          <w:sz w:val="26"/>
        </w:rPr>
        <w:t xml:space="preserve">7.2 Behavior-derived mouse prior (target for the neural axis)</w:t>
      </w:r>
    </w:p>
    <w:p>
      <w:pPr/>
      <w:r>
        <w:t xml:space="preserve">The mouse prior is not the true block probabilityLeft from the experimenter. It is a compact history-only estimate of the mouse’s subjective P(right) used as a bias in a logistic choice model. Concretely:</w:t>
      </w:r>
    </w:p>
    <w:p>
      <w:pPr>
        <w:pStyle w:val="ListParagraph"/>
        <w:ind w:left="360" w:hanging="180"/>
      </w:pPr>
      <w:r>
        <w:t xml:space="preserve">• Within each session, a leaky online estimate is updated from experienced stimulus sides: p_{t+1} = (1−α) p_t + α · 1{stimulus_right on trial t}, with p_t reported before the update (causal: p_t depends only on history before trial t).</w:t>
      </w:r>
    </w:p>
    <w:p>
      <w:pPr>
        <w:pStyle w:val="ListParagraph"/>
        <w:ind w:left="360" w:hanging="180"/>
      </w:pPr>
      <w:r>
        <w:t xml:space="preserve">• α is selected by grid search to minimize choice negative log-likelihood of a logistic model logit P(choice_right) = β0 + β_c · signed_contrast + β_p · (2p_t − 1).</w:t>
      </w:r>
    </w:p>
    <w:p>
      <w:pPr>
        <w:pStyle w:val="ListParagraph"/>
        <w:ind w:left="360" w:hanging="180"/>
      </w:pPr>
      <w:r>
        <w:t xml:space="preserve">• The resulting p_t series is the regression target for neural decoding. It is a behavior-derived proxy for subjective prior, not ground truth for neural state.</w:t>
      </w:r>
    </w:p>
    <w:p>
      <w:pPr>
        <w:pStyle w:val="Heading2"/>
        <w:spacing w:before="240" w:after="120"/>
      </w:pPr>
      <w:r>
        <w:rPr>
          <w:b/>
          <w:sz w:val="26"/>
        </w:rPr>
        <w:t xml:space="preserve">7.3 Neural features: peri-stimulus spike counts</w:t>
      </w:r>
    </w:p>
    <w:p>
      <w:pPr/>
      <w:r>
        <w:t xml:space="preserve">For each session and each primary region that contains sorted units in that session:</w:t>
      </w:r>
    </w:p>
    <w:p>
      <w:pPr>
        <w:pStyle w:val="ListParagraph"/>
        <w:ind w:left="360" w:hanging="180"/>
      </w:pPr>
      <w:r>
        <w:t xml:space="preserve">• Units are assigned to regions by Allen acronym mapping (MOs, ORBvl→vlOFC, ACAd, MOp).</w:t>
      </w:r>
    </w:p>
    <w:p>
      <w:pPr>
        <w:pStyle w:val="ListParagraph"/>
        <w:ind w:left="360" w:hanging="180"/>
      </w:pPr>
      <w:r>
        <w:t xml:space="preserve">• Spikes are aligned to stimulus onset (stimOn_times).</w:t>
      </w:r>
    </w:p>
    <w:p>
      <w:pPr>
        <w:pStyle w:val="ListParagraph"/>
        <w:ind w:left="360" w:hanging="180"/>
      </w:pPr>
      <w:r>
        <w:t xml:space="preserve">• For each trial and unit, we count spikes in the half-open window [−0.1, 0.3) seconds relative to stimulus onset (400 ms total). This is the locked peri-stimulus analysis window.</w:t>
      </w:r>
    </w:p>
    <w:p>
      <w:pPr>
        <w:pStyle w:val="ListParagraph"/>
        <w:ind w:left="360" w:hanging="180"/>
      </w:pPr>
      <w:r>
        <w:t xml:space="preserve">• The result is a matrix X of shape (n_trials × n_units) of raw spike counts for that session×region. Sessions without units in a region are skipped for that region (coverage is by cohort union, not every session in every ROI).</w:t>
      </w:r>
    </w:p>
    <w:p>
      <w:pPr>
        <w:pStyle w:val="Heading2"/>
        <w:spacing w:before="240" w:after="120"/>
      </w:pPr>
      <w:r>
        <w:rPr>
          <w:b/>
          <w:sz w:val="26"/>
        </w:rPr>
        <w:t xml:space="preserve">7.4 Building the neural prior axis (cross-validated ridge)</w:t>
      </w:r>
    </w:p>
    <w:p>
      <w:pPr/>
      <w:r>
        <w:t xml:space="preserve">We map X → mouse prior p̂ with ridge regression, always evaluating predictions out-of-fold so the axis is not trivially overfit to noise:</w:t>
      </w:r>
    </w:p>
    <w:p>
      <w:pPr>
        <w:pStyle w:val="ListParagraph"/>
        <w:ind w:left="360" w:hanging="180"/>
      </w:pPr>
      <w:r>
        <w:t xml:space="preserve">• Predictors X are z-scored within each training fold (StandardScaler fit on train, applied to test).</w:t>
      </w:r>
    </w:p>
    <w:p>
      <w:pPr>
        <w:pStyle w:val="ListParagraph"/>
        <w:ind w:left="360" w:hanging="180"/>
      </w:pPr>
      <w:r>
        <w:t xml:space="preserve">• Regressor: RidgeCV with a log-spaced grid of regularization strengths α ∈ {10^{−2} … 10^3} (12 values).</w:t>
      </w:r>
    </w:p>
    <w:p>
      <w:pPr>
        <w:pStyle w:val="ListParagraph"/>
        <w:ind w:left="360" w:hanging="180"/>
      </w:pPr>
      <w:r>
        <w:t xml:space="preserve">• Cross-validation: K-fold with K = 5 when enough trials exist (otherwise fewer folds), with shuffling and a fixed random seed for reproducibility. Each trial receives exactly one out-of-fold prediction û_t.</w:t>
      </w:r>
    </w:p>
    <w:p>
      <w:pPr>
        <w:pStyle w:val="ListParagraph"/>
        <w:ind w:left="360" w:hanging="180"/>
      </w:pPr>
      <w:r>
        <w:t xml:space="preserve">• Minimum data: if too few finite trials or zero units, that session×region is skipped (NaN VE).</w:t>
      </w:r>
    </w:p>
    <w:p>
      <w:pPr>
        <w:pStyle w:val="ListParagraph"/>
        <w:ind w:left="360" w:hanging="180"/>
      </w:pPr>
      <w:r>
        <w:t xml:space="preserve">• Optional diagnostics stored alongside: cross-validated variance explained of p̂ by û (how well the region can be read out to the mouse prior) and correlation(p̂, û).</w:t>
      </w:r>
    </w:p>
    <w:p>
      <w:pPr/>
      <w:r>
        <w:t xml:space="preserve">Importantly, û_t is defined from neural activity and the mouse prior only. Model beliefs do not enter the construction of the neural axis. This prevents circularity when later asking which model explains û.</w:t>
      </w:r>
    </w:p>
    <w:p>
      <w:pPr>
        <w:pStyle w:val="Heading2"/>
        <w:spacing w:before="240" w:after="120"/>
      </w:pPr>
      <w:r>
        <w:rPr>
          <w:b/>
          <w:sz w:val="26"/>
        </w:rPr>
        <w:t xml:space="preserve">7.5 Model belief as a predictor of the neural axis</w:t>
      </w:r>
    </w:p>
    <w:p>
      <w:pPr/>
      <w:r>
        <w:t xml:space="preserve">On the same trials, each frozen model produces a scalar belief q_t (zero-evidence P(right) under the evaluation regime of interest; neural analyses use the history-only real-transfer rollouts). We ask how much of the variance in û_t is explained by q_t.</w:t>
      </w:r>
    </w:p>
    <w:p>
      <w:pPr/>
      <w:r>
        <w:t xml:space="preserve">Variance explained is VE = 1 − SSE/SST, where SST is the total sum of squares of û around its mean and SSE is the residual sum of squares after a prediction. Two variants are computed:</w:t>
      </w:r>
    </w:p>
    <w:p>
      <w:pPr>
        <w:pStyle w:val="ListParagraph"/>
        <w:ind w:left="360" w:hanging="180"/>
      </w:pPr>
      <w:r>
        <w:t xml:space="preserve">• ve_raw: use q_t directly as the prediction of û_t. This penalizes scale and offset mismatches (a model that tracks the shape of û but lives on a different numeric scale can look worse).</w:t>
      </w:r>
    </w:p>
    <w:p>
      <w:pPr>
        <w:pStyle w:val="ListParagraph"/>
        <w:ind w:left="360" w:hanging="180"/>
      </w:pPr>
      <w:r>
        <w:t xml:space="preserve">• ve_linear_recal (primary): first fit a simple linear map û ≈ a · q + b by ordinary least squares on the same trials, then compute VE of û by that recalibrated prediction. This asks whether q and û share a linear relationship up to affine transform — the scientifically relevant notion of “tracks the same latent,” without requiring identical units or calibration.</w:t>
      </w:r>
    </w:p>
    <w:p>
      <w:pPr>
        <w:pStyle w:val="ListParagraph"/>
        <w:ind w:left="360" w:hanging="180"/>
      </w:pPr>
      <w:r>
        <w:t xml:space="preserve">• corr: Pearson correlation between û and q (secondary).</w:t>
      </w:r>
    </w:p>
    <w:p>
      <w:pPr/>
      <w:r>
        <w:t xml:space="preserve">Primary reported neural metric: ve_linear_recal, computed once per (session, region, model).</w:t>
      </w:r>
    </w:p>
    <w:p>
      <w:pPr>
        <w:pStyle w:val="Heading2"/>
        <w:spacing w:before="240" w:after="120"/>
      </w:pPr>
      <w:r>
        <w:rPr>
          <w:b/>
          <w:sz w:val="26"/>
        </w:rPr>
        <w:t xml:space="preserve">7.6 Aggregation across sessions</w:t>
      </w:r>
    </w:p>
    <w:p>
      <w:pPr/>
      <w:r>
        <w:t xml:space="preserve">For each region and model, we average ve_linear_recal across sessions that contribute that region. This session-mean is the ranking quantity plotted in the neural VE boards. Using sessions as the unit of aggregation (rather than pooling all trials) respects that sessions differ in unit counts, noise, and coverage, and matches the resampling unit used in survival tests.</w:t>
      </w:r>
    </w:p>
    <w:p>
      <w:pPr>
        <w:pStyle w:val="Heading2"/>
        <w:spacing w:before="240" w:after="120"/>
      </w:pPr>
      <w:r>
        <w:rPr>
          <w:b/>
          <w:sz w:val="26"/>
        </w:rPr>
        <w:t xml:space="preserve">7.7 Behavior matching (parked in this phase)</w:t>
      </w:r>
    </w:p>
    <w:p>
      <w:pPr/>
      <w:r>
        <w:t xml:space="preserve">An earlier pipeline gated confirmatory neural claims on a choice-primary ε-ball: keep only models whose real history-only cross-entropy is within ε = 0.05 of the best model. That filter is no longer part of the primary current-phase analysis. All four active models are shown in VE boards, and survival tests compare best vs second among all models. The ε-ball code and matched CSV/JSON artifacts remain available as a legacy archive only.</w:t>
      </w:r>
    </w:p>
    <w:p>
      <w:pPr>
        <w:pStyle w:val="Heading2"/>
        <w:spacing w:before="240" w:after="120"/>
      </w:pPr>
      <w:r>
        <w:rPr>
          <w:b/>
          <w:sz w:val="26"/>
        </w:rPr>
        <w:t xml:space="preserve">7.8 Survival testing — what it is, in plain language</w:t>
      </w:r>
    </w:p>
    <w:p>
      <w:pPr/>
      <w:r>
        <w:t xml:space="preserve">The VE bars answer: “On average, which model’s belief lines up best with this brain region’s prior axis?” The survival test answers a tougher follow-up: “Is the winner’s lead over the runner-up big enough that we should trust it, given that we only have a handful of sessions and we look at several regions?”</w:t>
      </w:r>
    </w:p>
    <w:p>
      <w:pPr/>
      <w:r>
        <w:t xml:space="preserve">How it is done (current phase):</w:t>
      </w:r>
    </w:p>
    <w:p>
      <w:pPr>
        <w:pStyle w:val="ListParagraph"/>
        <w:ind w:left="360" w:hanging="180"/>
      </w:pPr>
      <w:r>
        <w:t xml:space="preserve">• Within each brain region, rank all active models by session-mean VE and pick the best and the second-best.</w:t>
      </w:r>
    </w:p>
    <w:p>
      <w:pPr>
        <w:pStyle w:val="ListParagraph"/>
        <w:ind w:left="360" w:hanging="180"/>
      </w:pPr>
      <w:r>
        <w:t xml:space="preserve">• Compute the gap Δ = (average VE of the best) − (average VE of the second-best), averaging over sessions that have both.</w:t>
      </w:r>
    </w:p>
    <w:p>
      <w:pPr>
        <w:pStyle w:val="ListParagraph"/>
        <w:ind w:left="360" w:hanging="180"/>
      </w:pPr>
      <w:r>
        <w:t xml:space="preserve">• Ask how stable that gap is by resampling sessions with replacement many times (bootstrap, B = 2000). Each resample recomputes Δ. If many resamples flip the sign of Δ, the lead is fragile.</w:t>
      </w:r>
    </w:p>
    <w:p>
      <w:pPr>
        <w:pStyle w:val="ListParagraph"/>
        <w:ind w:left="360" w:hanging="180"/>
      </w:pPr>
      <w:r>
        <w:t xml:space="preserve">• From the bootstrap we get a confidence interval for Δ and a p-value for whether Δ is consistent with zero.</w:t>
      </w:r>
    </w:p>
    <w:p>
      <w:pPr>
        <w:pStyle w:val="ListParagraph"/>
        <w:ind w:left="360" w:hanging="180"/>
      </w:pPr>
      <w:r>
        <w:t xml:space="preserve">• Because we test several regions, we adjust the p-values with the Holm–Bonferroni procedure so that looking at four ROIs does not inflate false positives.</w:t>
      </w:r>
    </w:p>
    <w:p>
      <w:pPr>
        <w:pStyle w:val="ListParagraph"/>
        <w:ind w:left="360" w:hanging="180"/>
      </w:pPr>
      <w:r>
        <w:t xml:space="preserve">• We say the advantage “survives” in a region when the Holm-adjusted p-value is below 0.05. Green bars in the survival figure mark regions that survive; gray bars mark regions that do not.</w:t>
      </w:r>
    </w:p>
    <w:p>
      <w:pPr/>
      <w:r>
        <w:t xml:space="preserve">Non-technical takeaway: surviving means “the top model’s edge over the next-best model in explaining this region’s prior signal looks real after we account for session-to-session luck and for testing multiple regions.” Not surviving does not mean the region has no prior signal — it means the best-vs-second gap is not yet trustworthy under these corrections (often because few sessions cover that ROI).</w:t>
      </w:r>
    </w:p>
    <w:p>
      <w:pPr>
        <w:pStyle w:val="Heading2"/>
        <w:spacing w:before="240" w:after="120"/>
      </w:pPr>
      <w:r>
        <w:rPr>
          <w:b/>
          <w:sz w:val="26"/>
        </w:rPr>
        <w:t xml:space="preserve">7.9 What this analysis does and does not claim</w:t>
      </w:r>
    </w:p>
    <w:p>
      <w:pPr>
        <w:pStyle w:val="ListParagraph"/>
        <w:ind w:left="360" w:hanging="180"/>
      </w:pPr>
      <w:r>
        <w:t xml:space="preserve">• Does claim: relative alignment of model belief trajectories with a behavior-defined neural prior axis under a fixed peri-stimulus window and linear readout, plus whether the top-vs-second gap is stable across sessions after multi-region correction.</w:t>
      </w:r>
    </w:p>
    <w:p>
      <w:pPr>
        <w:pStyle w:val="ListParagraph"/>
        <w:ind w:left="360" w:hanging="180"/>
      </w:pPr>
      <w:r>
        <w:t xml:space="preserve">• Does not claim: that û is the unique or true neural prior; that ridge is the brain’s readout; that VE proves causal encoding; or that a surviving gap proves the model is implemented in that region.</w:t>
      </w:r>
    </w:p>
    <w:p>
      <w:pPr>
        <w:pStyle w:val="ListParagraph"/>
        <w:ind w:left="360" w:hanging="180"/>
      </w:pPr>
      <w:r>
        <w:t xml:space="preserve">• Known gaps: no embodied-prior controls (video / eye) yet; peri-stimulus window only; ROI coverage uneven across sessions; mouse prior is itself a model of behavior; behavior-matching is parked (not used to filter models in this phase).</w:t>
      </w:r>
    </w:p>
    <w:p>
      <w:pPr>
        <w:pStyle w:val="Heading1"/>
        <w:spacing w:before="240" w:after="120"/>
      </w:pPr>
      <w:r>
        <w:rPr>
          <w:b/>
          <w:sz w:val="32"/>
        </w:rPr>
        <w:t xml:space="preserve">8. MLP switch-centered block decoding (Q2 three-way probe)</w:t>
      </w:r>
    </w:p>
    <w:p>
      <w:pPr/>
      <w:r>
        <w:t xml:space="preserve">A complementary probe asks whether true biased-block identity (P(right) = 0.2 vs 0.8) can be decoded around genuine block switches from (A1) synth model latents, (A2) real mouse prior and model zero-evidence belief, and (A3) neural prior readouts. Implemented in scripts/16_plot_mlp_switch_block_decoding.py and src/models_v2/block_decode.py (spec: docs/spec_switch_block_decoding.md). Panel A2 is the primary Q2 three-way scalar comparison.</w:t>
      </w:r>
    </w:p>
    <w:p>
      <w:pPr>
        <w:pStyle w:val="Heading2"/>
        <w:spacing w:before="240" w:after="120"/>
      </w:pPr>
      <w:r>
        <w:rPr>
          <w:b/>
          <w:sz w:val="26"/>
        </w:rPr>
        <w:t xml:space="preserve">8.1 What is decoded</w:t>
      </w:r>
    </w:p>
    <w:p>
      <w:pPr>
        <w:pStyle w:val="ListParagraph"/>
        <w:ind w:left="360" w:hanging="180"/>
      </w:pPr>
      <w:r>
        <w:t xml:space="preserve">• Target label: biased-block identity on each trial in an isolated genuine 0.2↔0.8 switch window (−30 … +30 trials relative to the switch; transitions involving 0.5 are excluded).</w:t>
      </w:r>
    </w:p>
    <w:p>
      <w:pPr>
        <w:pStyle w:val="ListParagraph"/>
        <w:ind w:left="360" w:hanging="180"/>
      </w:pPr>
      <w:r>
        <w:t xml:space="preserve">• A1 (synth, history-only): concatenated within-trial hidden states under a zero-current-evidence probe (visual / action / reward channels zeroed; go cue retained). Capacity / latent readability.</w:t>
      </w:r>
    </w:p>
    <w:p>
      <w:pPr>
        <w:pStyle w:val="ListParagraph"/>
        <w:ind w:left="360" w:hanging="180"/>
      </w:pPr>
      <w:r>
        <w:t xml:space="preserve">• A2 (real shared cohort): scalar mouse_prior_hat and each model’s zero-evidence belief q_t from history-only real rollouts (same n=8 eids / session order as the neural cohort). Primary Q2 panel.</w:t>
      </w:r>
    </w:p>
    <w:p>
      <w:pPr>
        <w:pStyle w:val="ListParagraph"/>
        <w:ind w:left="360" w:hanging="180"/>
      </w:pPr>
      <w:r>
        <w:t xml:space="preserve">• A3 (real shared cohort): scalar out-of-fold CV-Ridge neural prior readout û_t in each primary ROI (same construction as §7). One decode curve per region.</w:t>
      </w:r>
    </w:p>
    <w:p>
      <w:pPr>
        <w:pStyle w:val="Heading2"/>
        <w:spacing w:before="240" w:after="120"/>
      </w:pPr>
      <w:r>
        <w:rPr>
          <w:b/>
          <w:sz w:val="26"/>
        </w:rPr>
        <w:t xml:space="preserve">8.2 Decoder and evaluation protocol</w:t>
      </w:r>
    </w:p>
    <w:p>
      <w:pPr>
        <w:pStyle w:val="ListParagraph"/>
        <w:ind w:left="360" w:hanging="180"/>
      </w:pPr>
      <w:r>
        <w:t xml:space="preserve">• Decoder: one-hidden-layer MLP (hidden size 64) trained with early stopping on a validation split (settings shared across panels; see DecoderSettings).</w:t>
      </w:r>
    </w:p>
    <w:p>
      <w:pPr>
        <w:pStyle w:val="ListParagraph"/>
        <w:ind w:left="360" w:hanging="180"/>
      </w:pPr>
      <w:r>
        <w:t xml:space="preserve">• A1: held-out synthetic sessions (48 × 929 trials) with a deterministic train / validation / test session split; matched inputs across models; accuracy on the test split vs trials-from-switch.</w:t>
      </w:r>
    </w:p>
    <w:p>
      <w:pPr>
        <w:pStyle w:val="ListParagraph"/>
        <w:ind w:left="360" w:hanging="180"/>
      </w:pPr>
      <w:r>
        <w:t xml:space="preserve">• A2–A3: leave-one-session-out evaluation on the shared behavior+neural cohort (n=8).</w:t>
      </w:r>
    </w:p>
    <w:p>
      <w:pPr>
        <w:pStyle w:val="ListParagraph"/>
        <w:ind w:left="360" w:hanging="180"/>
      </w:pPr>
      <w:r>
        <w:t xml:space="preserve">• Uncertainty bands: A1 — sample SD across available task-model seeds (canonical seed 7 if no replicates); A2–A3 — sample SD across held-out sessions.</w:t>
      </w:r>
    </w:p>
    <w:p>
      <w:pPr>
        <w:pStyle w:val="ListParagraph"/>
        <w:ind w:left="360" w:hanging="180"/>
      </w:pPr>
      <w:r>
        <w:t xml:space="preserve">• Primary figure: reports/v2/figures/switch_block_decoding/mlp_rnn_vs_pc_switch_decoding.png (three panels). Metrics JSON: reports/v2/switch_block_decoding/mlp_switch_block_decode_metrics.json.</w:t>
      </w:r>
    </w:p>
    <w:p>
      <w:pPr>
        <w:pStyle w:val="Heading2"/>
        <w:spacing w:before="240" w:after="120"/>
      </w:pPr>
      <w:r>
        <w:rPr>
          <w:b/>
          <w:sz w:val="26"/>
        </w:rPr>
        <w:t xml:space="preserve">8.3 How to read the curves</w:t>
      </w:r>
    </w:p>
    <w:p>
      <w:pPr/>
      <w:r>
        <w:t xml:space="preserve">Decode accuracy near 1.0 far from the switch means block identity is strongly represented in the features. A dip at trial 0 is expected: the label changes while beliefs / latents / neural readouts update with a delay. A1 asks which latent supports readable block identity without current evidence; A2 asks whether mouse prior and model q_t track block identity similarly around switches; A3 asks where neural prior readouts carry readable block information. Related to, but distinct from, neural VE (§7): VE asks whether model belief explains û; block decoding asks whether û, mouse prior, or model belief explain true block identity around switches.</w:t>
      </w:r>
    </w:p>
    <w:p>
      <w:pPr>
        <w:pStyle w:val="Heading1"/>
        <w:spacing w:before="240" w:after="120"/>
      </w:pPr>
      <w:r>
        <w:rPr>
          <w:b/>
          <w:sz w:val="32"/>
        </w:rPr>
        <w:t xml:space="preserve">9. Limitations and open risks</w:t>
      </w:r>
    </w:p>
    <w:p>
      <w:pPr>
        <w:pStyle w:val="Heading2"/>
        <w:spacing w:before="240" w:after="120"/>
      </w:pPr>
      <w:r>
        <w:rPr>
          <w:b/>
          <w:sz w:val="26"/>
        </w:rPr>
        <w:t xml:space="preserve">9.1 Cohort and coverage</w:t>
      </w:r>
    </w:p>
    <w:p>
      <w:pPr>
        <w:pStyle w:val="ListParagraph"/>
        <w:ind w:left="360" w:hanging="180"/>
      </w:pPr>
      <w:r>
        <w:t xml:space="preserve">• ROI coverage is by cohort union; individual sessions typically contribute 1–few regions. Survival tests are underpowered where n_sessions is small (e.g. ACAd in the current lock).</w:t>
      </w:r>
    </w:p>
    <w:p>
      <w:pPr>
        <w:pStyle w:val="ListParagraph"/>
        <w:ind w:left="360" w:hanging="180"/>
      </w:pPr>
      <w:r>
        <w:t xml:space="preserve">• Almost-perfect QC plus ephys requirements yield a small n; results should be read as a locked pilot cohort, not a brain-wide census.</w:t>
      </w:r>
    </w:p>
    <w:p>
      <w:pPr>
        <w:pStyle w:val="Heading2"/>
        <w:spacing w:before="240" w:after="120"/>
      </w:pPr>
      <w:r>
        <w:rPr>
          <w:b/>
          <w:sz w:val="26"/>
        </w:rPr>
        <w:t xml:space="preserve">9.2 Modeling and transfer</w:t>
      </w:r>
    </w:p>
    <w:p>
      <w:pPr>
        <w:pStyle w:val="ListParagraph"/>
        <w:ind w:left="360" w:hanging="180"/>
      </w:pPr>
      <w:r>
        <w:t xml:space="preserve">• Synthetic training approximates empirical statistics but does not replay individual mice (intentional; still a distribution shift risk on transfer).</w:t>
      </w:r>
    </w:p>
    <w:p>
      <w:pPr>
        <w:pStyle w:val="ListParagraph"/>
        <w:ind w:left="360" w:hanging="180"/>
      </w:pPr>
      <w:r>
        <w:t xml:space="preserve">• Teacher-forced training feedback versus mouse feedback on transfer is a known shift (V2-R4).</w:t>
      </w:r>
    </w:p>
    <w:p>
      <w:pPr>
        <w:pStyle w:val="ListParagraph"/>
        <w:ind w:left="360" w:hanging="180"/>
      </w:pPr>
      <w:r>
        <w:t xml:space="preserve">• tanh PC / GRU PC use the same session length as BPTT; compute cost is higher due to 32 inference rounds.</w:t>
      </w:r>
    </w:p>
    <w:p>
      <w:pPr>
        <w:pStyle w:val="ListParagraph"/>
        <w:ind w:left="360" w:hanging="180"/>
      </w:pPr>
      <w:r>
        <w:t xml:space="preserve">• Explicit Bayes is parked (legacy module retained) and is not part of the active ranking.</w:t>
      </w:r>
    </w:p>
    <w:p>
      <w:pPr>
        <w:pStyle w:val="Heading2"/>
        <w:spacing w:before="240" w:after="120"/>
      </w:pPr>
      <w:r>
        <w:rPr>
          <w:b/>
          <w:sz w:val="26"/>
        </w:rPr>
        <w:t xml:space="preserve">9.3 Neural analysis</w:t>
      </w:r>
    </w:p>
    <w:p>
      <w:pPr>
        <w:pStyle w:val="ListParagraph"/>
        <w:ind w:left="360" w:hanging="180"/>
      </w:pPr>
      <w:r>
        <w:t xml:space="preserve">• Embodied-prior controls (video / eye position) are not yet applied.</w:t>
      </w:r>
    </w:p>
    <w:p>
      <w:pPr>
        <w:pStyle w:val="ListParagraph"/>
        <w:ind w:left="360" w:hanging="180"/>
      </w:pPr>
      <w:r>
        <w:t xml:space="preserve">• The neural window is peri-stimulus only; complementary inter-trial decoding is left for later work.</w:t>
      </w:r>
    </w:p>
    <w:p>
      <w:pPr>
        <w:pStyle w:val="ListParagraph"/>
        <w:ind w:left="360" w:hanging="180"/>
      </w:pPr>
      <w:r>
        <w:t xml:space="preserve">• Mouse prior and neural axis are estimated quantities; errors in either reduce neural VE for all models and can shrink detectable advantages.</w:t>
      </w:r>
    </w:p>
    <w:p>
      <w:pPr>
        <w:pStyle w:val="ListParagraph"/>
        <w:ind w:left="360" w:hanging="180"/>
      </w:pPr>
      <w:r>
        <w:t xml:space="preserve">• Linear ridge + affine recalibration cannot capture nonlinear neural–belief relationships.</w:t>
      </w:r>
    </w:p>
    <w:p>
      <w:pPr>
        <w:pStyle w:val="ListParagraph"/>
        <w:ind w:left="360" w:hanging="180"/>
      </w:pPr>
      <w:r>
        <w:t xml:space="preserve">• MLP block decoding on scalar mouse prior / model q_t / neural û is nearly a calibrated threshold; few sessions per ROI widen session SD and thin far-window switches.</w:t>
      </w:r>
    </w:p>
    <w:p>
      <w:pPr>
        <w:pStyle w:val="Heading2"/>
        <w:spacing w:before="240" w:after="120"/>
      </w:pPr>
      <w:r>
        <w:rPr>
          <w:b/>
          <w:sz w:val="26"/>
        </w:rPr>
        <w:t xml:space="preserve">9.4 Out of v2 scope</w:t>
      </w:r>
    </w:p>
    <w:p>
      <w:pPr>
        <w:pStyle w:val="ListParagraph"/>
        <w:ind w:left="360" w:hanging="180"/>
      </w:pPr>
      <w:r>
        <w:t xml:space="preserve">• Mouse fine-tuning, reaction-time primary losses, meta-RL, and Bayesian+credit-assignment twins are parked.</w:t>
      </w:r>
    </w:p>
    <w:p>
      <w:pPr>
        <w:pStyle w:val="ListParagraph"/>
        <w:ind w:left="360" w:hanging="180"/>
      </w:pPr>
      <w:r>
        <w:t xml:space="preserve">• Expanded Findling ROIs remain optional until embodied controls and larger coverage exist.</w:t>
      </w:r>
    </w:p>
    <w:p>
      <w:pPr>
        <w:pStyle w:val="ListParagraph"/>
        <w:ind w:left="360" w:hanging="180"/>
      </w:pPr>
      <w:r>
        <w:t xml:space="preserve">• Trajectory-distance matching of model belief to mouse prior (beyond shared MLP block-decode curves in panel A2) remains an explicit follow-up.</w:t>
      </w:r>
    </w:p>
    <w:sectPr>
      <w:pgSz w:w="12240" w:h="15840"/>
      <w:pgMar w:top="1080" w:right="1080" w:bottom="1080" w:left="1080"/>
    </w:sectPr>
  </w:body>
</w:document>
</file>

<file path=word/styles.xml><?xml version="1.0" encoding="utf-8"?>
<w:styles xmlns:w="http://schemas.openxmlformats.org/wordprocessingml/2006/main">
  <w:style w:type="paragraph" w:styleId="Normal" w:default="1">
    <w:name w:val="Normal"/>
    <w:rPr>
      <w:sz w:val="22"/>
    </w:rPr>
  </w:style>
  <w:style w:type="paragraph" w:styleId="Heading1">
    <w:name w:val="heading 1"/>
    <w:basedOn w:val="Normal"/>
    <w:rPr>
      <w:b/>
      <w:sz w:val="32"/>
    </w:rPr>
  </w:style>
  <w:style w:type="paragraph" w:styleId="Heading2">
    <w:name w:val="heading 2"/>
    <w:basedOn w:val="Normal"/>
    <w:rPr>
      <w:b/>
      <w:sz w:val="26"/>
    </w:rPr>
  </w:style>
  <w:style w:type="paragraph" w:styleId="Heading3">
    <w:name w:val="heading 3"/>
    <w:basedOn w:val="Normal"/>
    <w:rPr>
      <w:b/>
      <w:sz w:val="24"/>
    </w:rPr>
  </w:style>
  <w:style w:type="paragraph" w:styleId="ListParagraph">
    <w:name w:val="List Paragraph"/>
    <w:basedOn w:val="Normal"/>
  </w:style>
  <w:style w:type="paragraph" w:styleId="Title">
    <w:name w:val="Title"/>
    <w:basedOn w:val="Normal"/>
    <w:rPr>
      <w:b/>
      <w:sz w:val="40"/>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s>
</file>