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pPr>
      <w:r>
        <w:rPr>
          <w:b/>
          <w:sz w:val="40"/>
          <w:szCs w:val="40"/>
        </w:rPr>
        <w:t xml:space="preserve">Detailed methods</w:t>
      </w:r>
    </w:p>
    <w:p>
      <w:pPr>
        <w:jc w:val="center"/>
      </w:pPr>
      <w:r>
        <w:rPr>
          <w:sz w:val="26"/>
          <w:szCs w:val="26"/>
        </w:rPr>
        <w:t xml:space="preserve">Latent prior updating in the International Brain Laboratory decision task</w:t>
      </w:r>
    </w:p>
    <w:p>
      <w:pPr/>
      <w:r>
        <w:t xml:space="preserve"/>
      </w:r>
    </w:p>
    <w:p>
      <w:pPr>
        <w:pStyle w:val="Heading1"/>
        <w:spacing w:before="240" w:after="120"/>
      </w:pPr>
      <w:r>
        <w:rPr>
          <w:b/>
          <w:sz w:val="32"/>
        </w:rPr>
        <w:t xml:space="preserve">1. Aim</w:t>
      </w:r>
    </w:p>
    <w:p>
      <w:pPr/>
      <w:r>
        <w:t xml:space="preserve">We ask which model class best explains trial-by-trial updating of a hidden block prior in the IBL visuospatial decision task: a standard tanh recurrent network trained with backpropagation through time (tanh BPTT), an architecturally identical tanh network trained with predictive-coding credit assignment (tanh PC), a gated recurrent unit (GRU), or an explicit online Bayesian prior model (Bayes).</w:t>
      </w:r>
    </w:p>
    <w:p>
      <w:pPr/>
      <w:r>
        <w:t xml:space="preserve">Models are trained only on synthetic IBL-like sessions. Primary ranking uses held-out synthetic data. Secondary checks are frozen transfer to real mouse behavior and neural alignment in regions previously linked to subjective prior coding.</w:t>
      </w:r>
    </w:p>
    <w:p>
      <w:pPr>
        <w:pStyle w:val="Heading1"/>
        <w:spacing w:before="240" w:after="120"/>
      </w:pPr>
      <w:r>
        <w:rPr>
          <w:b/>
          <w:sz w:val="32"/>
        </w:rPr>
        <w:t xml:space="preserve">2. Data and shared cohort</w:t>
      </w:r>
    </w:p>
    <w:p>
      <w:pPr/>
      <w:r>
        <w:t xml:space="preserve">Behavior transfer and neural analyses use the same 8 sessions. Each session passes almost-perfect behavior quality control and has Neuropixels spikes in at least one region of interest. Because no single insertion covers all regions, sessions are selected so that the union of the cohort covers the full ROI set (greedy set cover, preferring multi-region and primary cortical sessions).</w:t>
      </w:r>
    </w:p>
    <w:p>
      <w:pPr/>
      <w:r>
        <w:t xml:space="preserve">Regions covered in the locked cohort: ACAd, MOp, MOs, vlOFC_orbvl.</w:t>
      </w:r>
    </w:p>
    <w:p>
      <w:pPr/>
      <w:r>
        <w:rPr>
          <w:i/>
        </w:rPr>
        <w:t xml:space="preserve">Note. Per-region neural statistics use only the sessions that contain that region. Sparse regions (for example LGd or SCm with one session) are exploratory.</w:t>
      </w:r>
    </w:p>
    <w:p>
      <w:pPr>
        <w:pStyle w:val="Heading1"/>
        <w:spacing w:before="240" w:after="120"/>
      </w:pPr>
      <w:r>
        <w:rPr>
          <w:b/>
          <w:sz w:val="32"/>
        </w:rPr>
        <w:t xml:space="preserve">3. Regions of interest</w:t>
      </w:r>
    </w:p>
    <w:p>
      <w:pPr/>
      <w:r>
        <w:t xml:space="preserve">Region choice follows published IBL analyses of block priors and brain-wide coding. The standardized behavior paper establishes that mice use block structure. The brain-wide map paper reports stimulus, choice, action, and reward maps and refers prior analyses to its companion. That companion reports widespread decoding of a Bayes-optimal subjective prior, including early sensory, motor, and high-level cortical sites.</w:t>
      </w:r>
    </w:p>
    <w:p>
      <w:pPr/>
      <w:r>
        <w:rPr>
          <w:b/>
          <w:i/>
        </w:rPr>
        <w:t xml:space="preserve">Source papers</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AAAAAA"/>
          <w:insideV w:val="single" w:sz="4" w:space="0" w:color="AAAAAA"/>
        </w:tblBorders>
      </w:tblPr>
      <w:tblGrid>
        <w:gridCol w:w="2620"/>
        <w:gridCol w:w="3931"/>
        <w:gridCol w:w="2809"/>
      </w:tblGrid>
      <w:tr>
        <w:tc>
          <w:tcPr>
            <w:tcW w:w="2620" w:type="dxa"/>
            <w:shd w:val="clear" w:fill="EEEEEE"/>
            <w:vAlign w:val="center"/>
          </w:tcPr>
          <w:p>
            <w:pPr>
              <w:spacing w:before="40" w:after="40"/>
            </w:pPr>
            <w:r>
              <w:rPr>
                <w:b/>
                <w:sz w:val="18"/>
              </w:rPr>
              <w:t xml:space="preserve">Paper</w:t>
            </w:r>
          </w:p>
        </w:tc>
        <w:tc>
          <w:tcPr>
            <w:tcW w:w="3931" w:type="dxa"/>
            <w:shd w:val="clear" w:fill="EEEEEE"/>
            <w:vAlign w:val="center"/>
          </w:tcPr>
          <w:p>
            <w:pPr>
              <w:spacing w:before="40" w:after="40"/>
            </w:pPr>
            <w:r>
              <w:rPr>
                <w:b/>
                <w:sz w:val="18"/>
              </w:rPr>
              <w:t xml:space="preserve">Link</w:t>
            </w:r>
          </w:p>
        </w:tc>
        <w:tc>
          <w:tcPr>
            <w:tcW w:w="2809" w:type="dxa"/>
            <w:shd w:val="clear" w:fill="EEEEEE"/>
            <w:vAlign w:val="center"/>
          </w:tcPr>
          <w:p>
            <w:pPr>
              <w:spacing w:before="40" w:after="40"/>
            </w:pPr>
            <w:r>
              <w:rPr>
                <w:b/>
                <w:sz w:val="18"/>
              </w:rPr>
              <w:t xml:space="preserve">Role</w:t>
            </w:r>
          </w:p>
        </w:tc>
      </w:tr>
      <w:tr>
        <w:tc>
          <w:tcPr>
            <w:tcW w:w="2620" w:type="dxa"/>
            <w:vAlign w:val="center"/>
          </w:tcPr>
          <w:p>
            <w:pPr>
              <w:spacing w:before="40" w:after="40"/>
            </w:pPr>
            <w:r>
              <w:rPr>
                <w:sz w:val="18"/>
              </w:rPr>
              <w:t xml:space="preserve">Findling et al., Nature 2025</w:t>
            </w:r>
          </w:p>
        </w:tc>
        <w:tc>
          <w:tcPr>
            <w:tcW w:w="3931" w:type="dxa"/>
            <w:vAlign w:val="center"/>
          </w:tcPr>
          <w:p>
            <w:pPr>
              <w:spacing w:before="40" w:after="40"/>
            </w:pPr>
            <w:r>
              <w:rPr>
                <w:sz w:val="18"/>
              </w:rPr>
              <w:t xml:space="preserve">https://www.nature.com/articles/s41586-025-09226-1</w:t>
            </w:r>
          </w:p>
        </w:tc>
        <w:tc>
          <w:tcPr>
            <w:tcW w:w="2809" w:type="dxa"/>
            <w:vAlign w:val="center"/>
          </w:tcPr>
          <w:p>
            <w:pPr>
              <w:spacing w:before="40" w:after="40"/>
            </w:pPr>
            <w:r>
              <w:rPr>
                <w:sz w:val="18"/>
              </w:rPr>
              <w:t xml:space="preserve">Primary source for subjective-prior anatomy</w:t>
            </w:r>
          </w:p>
        </w:tc>
      </w:tr>
      <w:tr>
        <w:tc>
          <w:tcPr>
            <w:tcW w:w="2620" w:type="dxa"/>
            <w:vAlign w:val="center"/>
          </w:tcPr>
          <w:p>
            <w:pPr>
              <w:spacing w:before="40" w:after="40"/>
            </w:pPr>
            <w:r>
              <w:rPr>
                <w:sz w:val="18"/>
              </w:rPr>
              <w:t xml:space="preserve">IBL brain-wide map, Nature 2025</w:t>
            </w:r>
          </w:p>
        </w:tc>
        <w:tc>
          <w:tcPr>
            <w:tcW w:w="3931" w:type="dxa"/>
            <w:vAlign w:val="center"/>
          </w:tcPr>
          <w:p>
            <w:pPr>
              <w:spacing w:before="40" w:after="40"/>
            </w:pPr>
            <w:r>
              <w:rPr>
                <w:sz w:val="18"/>
              </w:rPr>
              <w:t xml:space="preserve">https://www.nature.com/articles/s41586-025-09235-0</w:t>
            </w:r>
          </w:p>
        </w:tc>
        <w:tc>
          <w:tcPr>
            <w:tcW w:w="2809" w:type="dxa"/>
            <w:vAlign w:val="center"/>
          </w:tcPr>
          <w:p>
            <w:pPr>
              <w:spacing w:before="40" w:after="40"/>
            </w:pPr>
            <w:r>
              <w:rPr>
                <w:sz w:val="18"/>
              </w:rPr>
              <w:t xml:space="preserve">BWM context; prior analyses in companion</w:t>
            </w:r>
          </w:p>
        </w:tc>
      </w:tr>
      <w:tr>
        <w:tc>
          <w:tcPr>
            <w:tcW w:w="2620" w:type="dxa"/>
            <w:vAlign w:val="center"/>
          </w:tcPr>
          <w:p>
            <w:pPr>
              <w:spacing w:before="40" w:after="40"/>
            </w:pPr>
            <w:r>
              <w:rPr>
                <w:sz w:val="18"/>
              </w:rPr>
              <w:t xml:space="preserve">IBL standardized behavior, eLife 2021</w:t>
            </w:r>
          </w:p>
        </w:tc>
        <w:tc>
          <w:tcPr>
            <w:tcW w:w="3931" w:type="dxa"/>
            <w:vAlign w:val="center"/>
          </w:tcPr>
          <w:p>
            <w:pPr>
              <w:spacing w:before="40" w:after="40"/>
            </w:pPr>
            <w:r>
              <w:rPr>
                <w:sz w:val="18"/>
              </w:rPr>
              <w:t xml:space="preserve">https://elifesciences.org/articles/63711</w:t>
            </w:r>
          </w:p>
        </w:tc>
        <w:tc>
          <w:tcPr>
            <w:tcW w:w="2809" w:type="dxa"/>
            <w:vAlign w:val="center"/>
          </w:tcPr>
          <w:p>
            <w:pPr>
              <w:spacing w:before="40" w:after="40"/>
            </w:pPr>
            <w:r>
              <w:rPr>
                <w:sz w:val="18"/>
              </w:rPr>
              <w:t xml:space="preserve">Task and behavioral prior use</w:t>
            </w:r>
          </w:p>
        </w:tc>
      </w:tr>
    </w:tbl>
    <w:p>
      <w:pPr/>
      <w:r>
        <w:t xml:space="preserve"/>
      </w:r>
    </w:p>
    <w:p>
      <w:pPr/>
      <w:r>
        <w:rPr>
          <w:b/>
          <w:i/>
        </w:rPr>
        <w:t xml:space="preserve">Primary regions of interest (analysis scope)</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AAAAAA"/>
          <w:insideV w:val="single" w:sz="4" w:space="0" w:color="AAAAAA"/>
        </w:tblBorders>
      </w:tblPr>
      <w:tblGrid>
        <w:gridCol w:w="2433"/>
        <w:gridCol w:w="1123"/>
        <w:gridCol w:w="1684"/>
        <w:gridCol w:w="4120"/>
      </w:tblGrid>
      <w:tr>
        <w:tc>
          <w:tcPr>
            <w:tcW w:w="2433" w:type="dxa"/>
            <w:shd w:val="clear" w:fill="EEEEEE"/>
            <w:vAlign w:val="center"/>
          </w:tcPr>
          <w:p>
            <w:pPr>
              <w:spacing w:before="40" w:after="40"/>
            </w:pPr>
            <w:r>
              <w:rPr>
                <w:b/>
                <w:sz w:val="18"/>
              </w:rPr>
              <w:t xml:space="preserve">Region</w:t>
            </w:r>
          </w:p>
        </w:tc>
        <w:tc>
          <w:tcPr>
            <w:tcW w:w="1123" w:type="dxa"/>
            <w:shd w:val="clear" w:fill="EEEEEE"/>
            <w:vAlign w:val="center"/>
          </w:tcPr>
          <w:p>
            <w:pPr>
              <w:spacing w:before="40" w:after="40"/>
            </w:pPr>
            <w:r>
              <w:rPr>
                <w:b/>
                <w:sz w:val="18"/>
              </w:rPr>
              <w:t xml:space="preserve">Allen</w:t>
            </w:r>
          </w:p>
        </w:tc>
        <w:tc>
          <w:tcPr>
            <w:tcW w:w="1684" w:type="dxa"/>
            <w:shd w:val="clear" w:fill="EEEEEE"/>
            <w:vAlign w:val="center"/>
          </w:tcPr>
          <w:p>
            <w:pPr>
              <w:spacing w:before="40" w:after="40"/>
            </w:pPr>
            <w:r>
              <w:rPr>
                <w:b/>
                <w:sz w:val="18"/>
              </w:rPr>
              <w:t xml:space="preserve">Tier</w:t>
            </w:r>
          </w:p>
        </w:tc>
        <w:tc>
          <w:tcPr>
            <w:tcW w:w="4120" w:type="dxa"/>
            <w:shd w:val="clear" w:fill="EEEEEE"/>
            <w:vAlign w:val="center"/>
          </w:tcPr>
          <w:p>
            <w:pPr>
              <w:spacing w:before="40" w:after="40"/>
            </w:pPr>
            <w:r>
              <w:rPr>
                <w:b/>
                <w:sz w:val="18"/>
              </w:rPr>
              <w:t xml:space="preserve">Why included</w:t>
            </w:r>
          </w:p>
        </w:tc>
      </w:tr>
      <w:tr>
        <w:tc>
          <w:tcPr>
            <w:tcW w:w="2433" w:type="dxa"/>
            <w:vAlign w:val="center"/>
          </w:tcPr>
          <w:p>
            <w:pPr>
              <w:spacing w:before="40" w:after="40"/>
            </w:pPr>
            <w:r>
              <w:rPr>
                <w:sz w:val="18"/>
              </w:rPr>
              <w:t xml:space="preserve">Secondary motor</w:t>
            </w:r>
          </w:p>
        </w:tc>
        <w:tc>
          <w:tcPr>
            <w:tcW w:w="1123" w:type="dxa"/>
            <w:vAlign w:val="center"/>
          </w:tcPr>
          <w:p>
            <w:pPr>
              <w:spacing w:before="40" w:after="40"/>
            </w:pPr>
            <w:r>
              <w:rPr>
                <w:sz w:val="18"/>
              </w:rPr>
              <w:t xml:space="preserve">MOs</w:t>
            </w:r>
          </w:p>
        </w:tc>
        <w:tc>
          <w:tcPr>
            <w:tcW w:w="1684" w:type="dxa"/>
            <w:vAlign w:val="center"/>
          </w:tcPr>
          <w:p>
            <w:pPr>
              <w:spacing w:before="40" w:after="40"/>
            </w:pPr>
            <w:r>
              <w:rPr>
                <w:sz w:val="18"/>
              </w:rPr>
              <w:t xml:space="preserve">Primary cortex</w:t>
            </w:r>
          </w:p>
        </w:tc>
        <w:tc>
          <w:tcPr>
            <w:tcW w:w="4120" w:type="dxa"/>
            <w:vAlign w:val="center"/>
          </w:tcPr>
          <w:p>
            <w:pPr>
              <w:spacing w:before="40" w:after="40"/>
            </w:pPr>
            <w:r>
              <w:rPr>
                <w:sz w:val="18"/>
              </w:rPr>
              <w:t xml:space="preserve">Strong prior decoding; core claim site</w:t>
            </w:r>
          </w:p>
        </w:tc>
      </w:tr>
      <w:tr>
        <w:tc>
          <w:tcPr>
            <w:tcW w:w="2433" w:type="dxa"/>
            <w:vAlign w:val="center"/>
          </w:tcPr>
          <w:p>
            <w:pPr>
              <w:spacing w:before="40" w:after="40"/>
            </w:pPr>
            <w:r>
              <w:rPr>
                <w:sz w:val="18"/>
              </w:rPr>
              <w:t xml:space="preserve">Ventrolateral OFC</w:t>
            </w:r>
          </w:p>
        </w:tc>
        <w:tc>
          <w:tcPr>
            <w:tcW w:w="1123" w:type="dxa"/>
            <w:vAlign w:val="center"/>
          </w:tcPr>
          <w:p>
            <w:pPr>
              <w:spacing w:before="40" w:after="40"/>
            </w:pPr>
            <w:r>
              <w:rPr>
                <w:sz w:val="18"/>
              </w:rPr>
              <w:t xml:space="preserve">ORBvl</w:t>
            </w:r>
          </w:p>
        </w:tc>
        <w:tc>
          <w:tcPr>
            <w:tcW w:w="1684" w:type="dxa"/>
            <w:vAlign w:val="center"/>
          </w:tcPr>
          <w:p>
            <w:pPr>
              <w:spacing w:before="40" w:after="40"/>
            </w:pPr>
            <w:r>
              <w:rPr>
                <w:sz w:val="18"/>
              </w:rPr>
              <w:t xml:space="preserve">Primary cortex</w:t>
            </w:r>
          </w:p>
        </w:tc>
        <w:tc>
          <w:tcPr>
            <w:tcW w:w="4120" w:type="dxa"/>
            <w:vAlign w:val="center"/>
          </w:tcPr>
          <w:p>
            <w:pPr>
              <w:spacing w:before="40" w:after="40"/>
            </w:pPr>
            <w:r>
              <w:rPr>
                <w:sz w:val="18"/>
              </w:rPr>
              <w:t xml:space="preserve">High-level prior example site</w:t>
            </w:r>
          </w:p>
        </w:tc>
      </w:tr>
      <w:tr>
        <w:tc>
          <w:tcPr>
            <w:tcW w:w="2433" w:type="dxa"/>
            <w:vAlign w:val="center"/>
          </w:tcPr>
          <w:p>
            <w:pPr>
              <w:spacing w:before="40" w:after="40"/>
            </w:pPr>
            <w:r>
              <w:rPr>
                <w:sz w:val="18"/>
              </w:rPr>
              <w:t xml:space="preserve">Dorsal ACC</w:t>
            </w:r>
          </w:p>
        </w:tc>
        <w:tc>
          <w:tcPr>
            <w:tcW w:w="1123" w:type="dxa"/>
            <w:vAlign w:val="center"/>
          </w:tcPr>
          <w:p>
            <w:pPr>
              <w:spacing w:before="40" w:after="40"/>
            </w:pPr>
            <w:r>
              <w:rPr>
                <w:sz w:val="18"/>
              </w:rPr>
              <w:t xml:space="preserve">ACAd</w:t>
            </w:r>
          </w:p>
        </w:tc>
        <w:tc>
          <w:tcPr>
            <w:tcW w:w="1684" w:type="dxa"/>
            <w:vAlign w:val="center"/>
          </w:tcPr>
          <w:p>
            <w:pPr>
              <w:spacing w:before="40" w:after="40"/>
            </w:pPr>
            <w:r>
              <w:rPr>
                <w:sz w:val="18"/>
              </w:rPr>
              <w:t xml:space="preserve">Primary cortex</w:t>
            </w:r>
          </w:p>
        </w:tc>
        <w:tc>
          <w:tcPr>
            <w:tcW w:w="4120" w:type="dxa"/>
            <w:vAlign w:val="center"/>
          </w:tcPr>
          <w:p>
            <w:pPr>
              <w:spacing w:before="40" w:after="40"/>
            </w:pPr>
            <w:r>
              <w:rPr>
                <w:sz w:val="18"/>
              </w:rPr>
              <w:t xml:space="preserve">Named high-level cortical prior site</w:t>
            </w:r>
          </w:p>
        </w:tc>
      </w:tr>
      <w:tr>
        <w:tc>
          <w:tcPr>
            <w:tcW w:w="2433" w:type="dxa"/>
            <w:vAlign w:val="center"/>
          </w:tcPr>
          <w:p>
            <w:pPr>
              <w:spacing w:before="40" w:after="40"/>
            </w:pPr>
            <w:r>
              <w:rPr>
                <w:sz w:val="18"/>
              </w:rPr>
              <w:t xml:space="preserve">Primary motor</w:t>
            </w:r>
          </w:p>
        </w:tc>
        <w:tc>
          <w:tcPr>
            <w:tcW w:w="1123" w:type="dxa"/>
            <w:vAlign w:val="center"/>
          </w:tcPr>
          <w:p>
            <w:pPr>
              <w:spacing w:before="40" w:after="40"/>
            </w:pPr>
            <w:r>
              <w:rPr>
                <w:sz w:val="18"/>
              </w:rPr>
              <w:t xml:space="preserve">MOp</w:t>
            </w:r>
          </w:p>
        </w:tc>
        <w:tc>
          <w:tcPr>
            <w:tcW w:w="1684" w:type="dxa"/>
            <w:vAlign w:val="center"/>
          </w:tcPr>
          <w:p>
            <w:pPr>
              <w:spacing w:before="40" w:after="40"/>
            </w:pPr>
            <w:r>
              <w:rPr>
                <w:sz w:val="18"/>
              </w:rPr>
              <w:t xml:space="preserve">Motor</w:t>
            </w:r>
          </w:p>
        </w:tc>
        <w:tc>
          <w:tcPr>
            <w:tcW w:w="4120" w:type="dxa"/>
            <w:vAlign w:val="center"/>
          </w:tcPr>
          <w:p>
            <w:pPr>
              <w:spacing w:before="40" w:after="40"/>
            </w:pPr>
            <w:r>
              <w:rPr>
                <w:sz w:val="18"/>
              </w:rPr>
              <w:t xml:space="preserve">Motor partner of MOs</w:t>
            </w:r>
          </w:p>
        </w:tc>
      </w:tr>
    </w:tbl>
    <w:p>
      <w:pPr/>
      <w:r>
        <w:t xml:space="preserve"/>
      </w:r>
    </w:p>
    <w:p>
      <w:pPr/>
      <w:r>
        <w:rPr>
          <w:i/>
        </w:rPr>
        <w:t xml:space="preserve">Note. Optional deferred ROIs (not in the current analysis loop): CP, VISp, LGd, SCm, GRN, ORBm, PL, ILA. Findling et al. also report embodied priors (posture / eye position); early sensory sites are especially control-sensitive and are deferred for that reason.</w:t>
      </w:r>
    </w:p>
    <w:p>
      <w:pPr>
        <w:pStyle w:val="Heading1"/>
        <w:spacing w:before="240" w:after="120"/>
      </w:pPr>
      <w:r>
        <w:rPr>
          <w:b/>
          <w:sz w:val="32"/>
        </w:rPr>
        <w:t xml:space="preserve">4. Trial encoding</w:t>
      </w:r>
    </w:p>
    <w:p>
      <w:pPr/>
      <w:r>
        <w:t xml:space="preserve">Each trial is mapped to 100 ms ticks with shared channels: visual right and left (side × contrast magnitude), go cue, action left and right, rewarded, and not rewarded. Synthetic phase durations follow empirical event-time statistics. Real sessions use the same schema without sensory noise.</w:t>
      </w:r>
    </w:p>
    <w:p>
      <w:pPr/>
      <w:r>
        <w:t xml:space="preserve">Three evaluation regimes are used. History-only is primary: the model must infer the block prior from experience. Full-information adds an evaluation-time oracle bias from the true block log-odds. Fixed-prior restricts analysis to unbiased blocks (P(right) ≈ 0.5).</w:t>
      </w:r>
    </w:p>
    <w:p>
      <w:pPr>
        <w:pStyle w:val="Heading1"/>
        <w:spacing w:before="240" w:after="120"/>
      </w:pPr>
      <w:r>
        <w:rPr>
          <w:b/>
          <w:sz w:val="32"/>
        </w:rPr>
        <w:t xml:space="preserve">5. Models and training</w:t>
      </w:r>
    </w:p>
    <w:tbl>
      <w:tblPr>
        <w:tblW w:w="9360" w:type="dxa"/>
        <w:tblLayout w:type="fixed"/>
        <w:tblBorders>
          <w:top w:val="single" w:sz="4" w:space="0" w:color="666666"/>
          <w:left w:val="single" w:sz="4" w:space="0" w:color="666666"/>
          <w:bottom w:val="single" w:sz="4" w:space="0" w:color="666666"/>
          <w:right w:val="single" w:sz="4" w:space="0" w:color="666666"/>
          <w:insideH w:val="single" w:sz="4" w:space="0" w:color="AAAAAA"/>
          <w:insideV w:val="single" w:sz="4" w:space="0" w:color="AAAAAA"/>
        </w:tblBorders>
      </w:tblPr>
      <w:tblGrid>
        <w:gridCol w:w="1684"/>
        <w:gridCol w:w="3744"/>
        <w:gridCol w:w="3932"/>
      </w:tblGrid>
      <w:tr>
        <w:tc>
          <w:tcPr>
            <w:tcW w:w="1684" w:type="dxa"/>
            <w:shd w:val="clear" w:fill="EEEEEE"/>
            <w:vAlign w:val="center"/>
          </w:tcPr>
          <w:p>
            <w:pPr>
              <w:spacing w:before="40" w:after="40"/>
            </w:pPr>
            <w:r>
              <w:rPr>
                <w:b/>
                <w:sz w:val="18"/>
              </w:rPr>
              <w:t xml:space="preserve">Model</w:t>
            </w:r>
          </w:p>
        </w:tc>
        <w:tc>
          <w:tcPr>
            <w:tcW w:w="3744" w:type="dxa"/>
            <w:shd w:val="clear" w:fill="EEEEEE"/>
            <w:vAlign w:val="center"/>
          </w:tcPr>
          <w:p>
            <w:pPr>
              <w:spacing w:before="40" w:after="40"/>
            </w:pPr>
            <w:r>
              <w:rPr>
                <w:b/>
                <w:sz w:val="18"/>
              </w:rPr>
              <w:t xml:space="preserve">Test-time computation</w:t>
            </w:r>
          </w:p>
        </w:tc>
        <w:tc>
          <w:tcPr>
            <w:tcW w:w="3932" w:type="dxa"/>
            <w:shd w:val="clear" w:fill="EEEEEE"/>
            <w:vAlign w:val="center"/>
          </w:tcPr>
          <w:p>
            <w:pPr>
              <w:spacing w:before="40" w:after="40"/>
            </w:pPr>
            <w:r>
              <w:rPr>
                <w:b/>
                <w:sz w:val="18"/>
              </w:rPr>
              <w:t xml:space="preserve">Training</w:t>
            </w:r>
          </w:p>
        </w:tc>
      </w:tr>
      <w:tr>
        <w:tc>
          <w:tcPr>
            <w:tcW w:w="1684" w:type="dxa"/>
            <w:vAlign w:val="center"/>
          </w:tcPr>
          <w:p>
            <w:pPr>
              <w:spacing w:before="40" w:after="40"/>
            </w:pPr>
            <w:r>
              <w:rPr>
                <w:sz w:val="18"/>
              </w:rPr>
              <w:t xml:space="preserve">tanh BPTT</w:t>
            </w:r>
          </w:p>
        </w:tc>
        <w:tc>
          <w:tcPr>
            <w:tcW w:w="3744" w:type="dxa"/>
            <w:vAlign w:val="center"/>
          </w:tcPr>
          <w:p>
            <w:pPr>
              <w:spacing w:before="40" w:after="40"/>
            </w:pPr>
            <w:r>
              <w:rPr>
                <w:sz w:val="18"/>
              </w:rPr>
              <w:t xml:space="preserve">Vanilla tanh RNN</w:t>
            </w:r>
          </w:p>
        </w:tc>
        <w:tc>
          <w:tcPr>
            <w:tcW w:w="3932" w:type="dxa"/>
            <w:vAlign w:val="center"/>
          </w:tcPr>
          <w:p>
            <w:pPr>
              <w:spacing w:before="40" w:after="40"/>
            </w:pPr>
            <w:r>
              <w:rPr>
                <w:sz w:val="18"/>
              </w:rPr>
              <w:t xml:space="preserve">Backpropagation through time</w:t>
            </w:r>
          </w:p>
        </w:tc>
      </w:tr>
      <w:tr>
        <w:tc>
          <w:tcPr>
            <w:tcW w:w="1684" w:type="dxa"/>
            <w:vAlign w:val="center"/>
          </w:tcPr>
          <w:p>
            <w:pPr>
              <w:spacing w:before="40" w:after="40"/>
            </w:pPr>
            <w:r>
              <w:rPr>
                <w:sz w:val="18"/>
              </w:rPr>
              <w:t xml:space="preserve">tanh PC</w:t>
            </w:r>
          </w:p>
        </w:tc>
        <w:tc>
          <w:tcPr>
            <w:tcW w:w="3744" w:type="dxa"/>
            <w:vAlign w:val="center"/>
          </w:tcPr>
          <w:p>
            <w:pPr>
              <w:spacing w:before="40" w:after="40"/>
            </w:pPr>
            <w:r>
              <w:rPr>
                <w:sz w:val="18"/>
              </w:rPr>
              <w:t xml:space="preserve">Identical tanh RNN</w:t>
            </w:r>
          </w:p>
        </w:tc>
        <w:tc>
          <w:tcPr>
            <w:tcW w:w="3932" w:type="dxa"/>
            <w:vAlign w:val="center"/>
          </w:tcPr>
          <w:p>
            <w:pPr>
              <w:spacing w:before="40" w:after="40"/>
            </w:pPr>
            <w:r>
              <w:rPr>
                <w:sz w:val="18"/>
              </w:rPr>
              <w:t xml:space="preserve">Predictive-coding credit assignment</w:t>
            </w:r>
          </w:p>
        </w:tc>
      </w:tr>
      <w:tr>
        <w:tc>
          <w:tcPr>
            <w:tcW w:w="1684" w:type="dxa"/>
            <w:vAlign w:val="center"/>
          </w:tcPr>
          <w:p>
            <w:pPr>
              <w:spacing w:before="40" w:after="40"/>
            </w:pPr>
            <w:r>
              <w:rPr>
                <w:sz w:val="18"/>
              </w:rPr>
              <w:t xml:space="preserve">GRU</w:t>
            </w:r>
          </w:p>
        </w:tc>
        <w:tc>
          <w:tcPr>
            <w:tcW w:w="3744" w:type="dxa"/>
            <w:vAlign w:val="center"/>
          </w:tcPr>
          <w:p>
            <w:pPr>
              <w:spacing w:before="40" w:after="40"/>
            </w:pPr>
            <w:r>
              <w:rPr>
                <w:sz w:val="18"/>
              </w:rPr>
              <w:t xml:space="preserve">Gated recurrent unit</w:t>
            </w:r>
          </w:p>
        </w:tc>
        <w:tc>
          <w:tcPr>
            <w:tcW w:w="3932" w:type="dxa"/>
            <w:vAlign w:val="center"/>
          </w:tcPr>
          <w:p>
            <w:pPr>
              <w:spacing w:before="40" w:after="40"/>
            </w:pPr>
            <w:r>
              <w:rPr>
                <w:sz w:val="18"/>
              </w:rPr>
              <w:t xml:space="preserve">Backpropagation through time</w:t>
            </w:r>
          </w:p>
        </w:tc>
      </w:tr>
      <w:tr>
        <w:tc>
          <w:tcPr>
            <w:tcW w:w="1684" w:type="dxa"/>
            <w:vAlign w:val="center"/>
          </w:tcPr>
          <w:p>
            <w:pPr>
              <w:spacing w:before="40" w:after="40"/>
            </w:pPr>
            <w:r>
              <w:rPr>
                <w:sz w:val="18"/>
              </w:rPr>
              <w:t xml:space="preserve">Bayes</w:t>
            </w:r>
          </w:p>
        </w:tc>
        <w:tc>
          <w:tcPr>
            <w:tcW w:w="3744" w:type="dxa"/>
            <w:vAlign w:val="center"/>
          </w:tcPr>
          <w:p>
            <w:pPr>
              <w:spacing w:before="40" w:after="40"/>
            </w:pPr>
            <w:r>
              <w:rPr>
                <w:sz w:val="18"/>
              </w:rPr>
              <w:t xml:space="preserve">Explicit online prior + stimulus readout</w:t>
            </w:r>
          </w:p>
        </w:tc>
        <w:tc>
          <w:tcPr>
            <w:tcW w:w="3932" w:type="dxa"/>
            <w:vAlign w:val="center"/>
          </w:tcPr>
          <w:p>
            <w:pPr>
              <w:spacing w:before="40" w:after="40"/>
            </w:pPr>
            <w:r>
              <w:rPr>
                <w:sz w:val="18"/>
              </w:rPr>
              <w:t xml:space="preserve">Likelihood / parameter gradients</w:t>
            </w:r>
          </w:p>
        </w:tc>
      </w:tr>
    </w:tbl>
    <w:p>
      <w:pPr/>
      <w:r>
        <w:t xml:space="preserve"/>
      </w:r>
    </w:p>
    <w:p>
      <w:pPr/>
      <w:r>
        <w:t xml:space="preserve">All models share the same input channels and are scored against the correct stimulus side. Training uses synthetic sessions only. Weights are frozen for real transfer. On real rollouts, mouse actions and rewards are history inputs; they are never the training target.</w:t>
      </w:r>
    </w:p>
    <w:p>
      <w:pPr>
        <w:pStyle w:val="Heading1"/>
        <w:spacing w:before="240" w:after="120"/>
      </w:pPr>
      <w:r>
        <w:rPr>
          <w:b/>
          <w:sz w:val="32"/>
        </w:rPr>
        <w:t xml:space="preserve">6. Behavioral metrics</w:t>
      </w:r>
    </w:p>
    <w:p>
      <w:pPr>
        <w:pStyle w:val="ListParagraph"/>
        <w:ind w:left="360" w:hanging="180"/>
      </w:pPr>
      <w:r>
        <w:t xml:space="preserve">• Correctness: fraction of trials where the model choice equals the correct stimulus side.</w:t>
      </w:r>
    </w:p>
    <w:p>
      <w:pPr>
        <w:pStyle w:val="ListParagraph"/>
        <w:ind w:left="360" w:hanging="180"/>
      </w:pPr>
      <w:r>
        <w:t xml:space="preserve">• Balanced correctness: equal-weight mean of correctness in blocks with P(right) = 0.2, 0.5, and 0.8.</w:t>
      </w:r>
    </w:p>
    <w:p>
      <w:pPr>
        <w:pStyle w:val="ListParagraph"/>
        <w:ind w:left="360" w:hanging="180"/>
      </w:pPr>
      <w:r>
        <w:t xml:space="preserve">• History gap: mean zero-evidence P(right) in 0.8 blocks minus that in 0.2 blocks. Zero-evidence is a counterfactual probe with sensory contrast held at zero.</w:t>
      </w:r>
    </w:p>
    <w:p>
      <w:pPr>
        <w:pStyle w:val="ListParagraph"/>
        <w:ind w:left="360" w:hanging="180"/>
      </w:pPr>
      <w:r>
        <w:t xml:space="preserve">• Switch-centered curves: zero-evidence belief aligned to block transitions.</w:t>
      </w:r>
    </w:p>
    <w:p>
      <w:pPr>
        <w:pStyle w:val="Heading1"/>
        <w:spacing w:before="240" w:after="120"/>
      </w:pPr>
      <w:r>
        <w:rPr>
          <w:b/>
          <w:sz w:val="32"/>
        </w:rPr>
        <w:t xml:space="preserve">7. Neural prior comparison</w:t>
      </w:r>
    </w:p>
    <w:p>
      <w:pPr/>
      <w:r>
        <w:t xml:space="preserve">For each region with units in a session, peri-stimulus spike counts (−0.1 to 0.3 s relative to stimulus onset) are mapped to a neural prior axis by cross-validated ridge regression onto a behavior-derived mouse prior estimate. Model belief on the same trials is then used to explain that neural axis. The primary metric is linearly recalibrated variance explained (VE), aggregated as a session mean within region.</w:t>
      </w:r>
    </w:p>
    <w:p>
      <w:pPr/>
      <w:r>
        <w:t xml:space="preserve">Behavior matching retains models whose history-only choice cross-entropy lies within an ε-ball of the best model on the shared cohort. Survival testing asks whether the matched VE advantage of the best model over the second-best survives session bootstrap confidence intervals and Holm correction across regions.</w:t>
      </w:r>
    </w:p>
    <w:p>
      <w:pPr>
        <w:pStyle w:val="Heading1"/>
        <w:spacing w:before="240" w:after="120"/>
      </w:pPr>
      <w:r>
        <w:rPr>
          <w:b/>
          <w:sz w:val="32"/>
        </w:rPr>
        <w:t xml:space="preserve">8. Limitations</w:t>
      </w:r>
    </w:p>
    <w:p>
      <w:pPr>
        <w:pStyle w:val="ListParagraph"/>
        <w:ind w:left="360" w:hanging="180"/>
      </w:pPr>
      <w:r>
        <w:t xml:space="preserve">• ROI coverage is by cohort union; some regions have few sessions.</w:t>
      </w:r>
    </w:p>
    <w:p>
      <w:pPr>
        <w:pStyle w:val="ListParagraph"/>
        <w:ind w:left="360" w:hanging="180"/>
      </w:pPr>
      <w:r>
        <w:t xml:space="preserve">• Embodied-prior controls (video / eye position) are not yet applied.</w:t>
      </w:r>
    </w:p>
    <w:p>
      <w:pPr>
        <w:pStyle w:val="ListParagraph"/>
        <w:ind w:left="360" w:hanging="180"/>
      </w:pPr>
      <w:r>
        <w:t xml:space="preserve">• The neural window is peri-stimulus; complementary inter-trial decoding is left for later work.</w:t>
      </w:r>
    </w:p>
    <w:p>
      <w:pPr>
        <w:pStyle w:val="ListParagraph"/>
        <w:ind w:left="360" w:hanging="180"/>
      </w:pPr>
      <w:r>
        <w:t xml:space="preserve">• Synthetic training distribution approximates but does not replay individual mice.</w:t>
      </w:r>
    </w:p>
    <w:sectPr>
      <w:pgSz w:w="12240" w:h="15840"/>
      <w:pgMar w:top="1080" w:right="1080" w:bottom="1080" w:left="1080"/>
    </w:sectPr>
  </w:body>
</w:document>
</file>

<file path=word/styles.xml><?xml version="1.0" encoding="utf-8"?>
<w:styles xmlns:w="http://schemas.openxmlformats.org/wordprocessingml/2006/main">
  <w:style w:type="paragraph" w:styleId="Normal" w:default="1">
    <w:name w:val="Normal"/>
    <w:rPr>
      <w:sz w:val="22"/>
    </w:rPr>
  </w:style>
  <w:style w:type="paragraph" w:styleId="Heading1">
    <w:name w:val="heading 1"/>
    <w:basedOn w:val="Normal"/>
    <w:rPr>
      <w:b/>
      <w:sz w:val="32"/>
    </w:rPr>
  </w:style>
  <w:style w:type="paragraph" w:styleId="Heading2">
    <w:name w:val="heading 2"/>
    <w:basedOn w:val="Normal"/>
    <w:rPr>
      <w:b/>
      <w:sz w:val="26"/>
    </w:rPr>
  </w:style>
  <w:style w:type="paragraph" w:styleId="Heading3">
    <w:name w:val="heading 3"/>
    <w:basedOn w:val="Normal"/>
    <w:rPr>
      <w:b/>
      <w:sz w:val="24"/>
    </w:rPr>
  </w:style>
  <w:style w:type="paragraph" w:styleId="ListParagraph">
    <w:name w:val="List Paragraph"/>
    <w:basedOn w:val="Normal"/>
  </w:style>
  <w:style w:type="paragraph" w:styleId="Title">
    <w:name w:val="Title"/>
    <w:basedOn w:val="Normal"/>
    <w:rPr>
      <w:b/>
      <w:sz w:val="4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