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BRBY — BUY, Target Price £16.50 (54% upside from current £10.72)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Burberry Group plc (LON:BRBY)  |  Sector: Luxury Fashion &amp; Accessories  |  Data as of 15 August 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Company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Burberry Group plc is a 170-year-old British luxury fashion house (LSE: BRBY, FTSE 100), best known for its trench coats, leather accessories and the Burberry check. The group operates c.410 stores worldwide and reported FY2026 (year to March 2026) revenue of £2,420m and EBITDA of £490m. Under CEO Joshua Schulman (appointed 2024) and CCO Daniel Lee, the company is roughly two years into a brand-repositioning turnaround following a period of margin and revenue decline (FY2025 revenue -17.1% YoY, near-breakeven net income).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Investment Thesis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Turnaround is inflecting: Q1 FY2027 (to 27 Jun 2026) comparable retail sales rose +5% YoY with growth returning across every product division for the first time in three years — a real, reported data point, not a projection.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Margin recovery is the swing factor: FY2026 EBITDA margin (20.3%) remains well below the FY2022-23 pre-turnaround level (30%+). Our DCF assumes only a partial recovery to 25.5% by Year 5 — if execution matches the pre-turnaround margin structure, our valuation is conservative, not aggressive.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Two independent methodologies both signal meaningful upside: the DCF implies £22.95/share (+114%) and the EV/Revenue trading comp implies £19.52/share (+82%) against a current price of £10.72 — convergence across an intrinsic and a relative method is a stronger signal than either alone (see Valuation section for why we do not simply average all three comp methods).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Industry / Competitive Positioning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Burberry sits in the 'accessible luxury' tier alongside Moncler and Hugo Boss, below mega-cap conglomerates LVMH and Kering. Its EV/Revenue and EV/EBITDA multiples (1.9x / 17.2x per the trading comps analysis) sit at a discount to peer medians (3.2x / 13.1x — note EV/Revenue below peer median, EV/EBITDA above, reflecting Burberry's currently-depressed margin versus peers, not a cheaper multiple on a like-for-like earnings basis), consistent with a business mid-turnaround rather than one already re-rated. The read-through: the market is not yet pricing in the margin recovery this note's DCF assumes. Separately, mid-2026 trade press (Miss Tweed, via Simply Wall St) reported market speculation that Moncler was considering an approach for Burberry — unconfirmed by either company, but indicative that strategic interest exists at current levels; see the Merger Model for an illustrative (not forecast) analysis of what such a deal might look like.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Valuation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Two independent methodologies were built: a 5-year DCF (WACC 7.5%, terminal growth 2.5%) and a 6-company trading comparables analysis. Results: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Implied Share Price (£)</w:t>
            </w:r>
          </w:p>
        </w:tc>
        <w:tc>
          <w:tcPr>
            <w:tcW w:type="dxa" w:w="35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/ (Downside)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DCF (5yr, Gordon Growth TV)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£22.95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+114%</w:t>
            </w:r>
          </w:p>
        </w:tc>
      </w:tr>
      <w:tr>
        <w:tc>
          <w:tcPr>
            <w:tcW w:type="dxa" w:w="3000"/>
            <w:shd w:fill="D9E1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EV/Revenue (peer median)</w:t>
            </w:r>
          </w:p>
        </w:tc>
        <w:tc>
          <w:tcPr>
            <w:tcW w:type="dxa" w:w="300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£19.52</w:t>
            </w:r>
          </w:p>
        </w:tc>
        <w:tc>
          <w:tcPr>
            <w:tcW w:type="dxa" w:w="350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+82%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EV/EBITDA (peer median)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£7.58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(29%)</w:t>
            </w:r>
          </w:p>
        </w:tc>
      </w:tr>
      <w:tr>
        <w:tc>
          <w:tcPr>
            <w:tcW w:type="dxa" w:w="3000"/>
            <w:shd w:fill="D9E1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P/E (peer median, ex-Kering)</w:t>
            </w:r>
          </w:p>
        </w:tc>
        <w:tc>
          <w:tcPr>
            <w:tcW w:type="dxa" w:w="300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£1.33 — flagged unreliable</w:t>
            </w:r>
          </w:p>
        </w:tc>
        <w:tc>
          <w:tcPr>
            <w:tcW w:type="dxa" w:w="350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Current share price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£10.72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Why the £16.50 target is not a simple average of the above: the EV/EBITDA and P/E comps both use Burberry's near-zero-earnings LTM figures (EBITDA £272m from an earlier data pull, materially below the £490m standardised FY2026 EBITDA used in the DCF, and net income of just £21m), so both methods mechanically understate value relative to a business already showing green shoots in Q1 FY2027. We weight the DCF and EV/Revenue methods — which are less distorted by the current earnings trough — most heavily, and apply a margin of safety to the raw DCF output (£22.95) given execution risk, landing on £16.50.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Margin recovery could stall: FY2026 EBITDA margin (20.3%) remains well below pre-turnaround levels. If margin expansion assumed in the DCF (to 25.5% by Year 5) does not materialise, the DCF's £22.95 implied price — and this note's £16.50 target — both overstate fair value materially (see Sensitivity tab in the DCF workbook).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FX and macro exposure: Burberry generates the large majority of revenue outside the UK (Americas, Greater China, EMEA), so GBP strength or a China luxury-demand slowdown are direct earnings risks not separately modelled 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Consensus gap: sell-side analyst 12-month price targets (per TradingView/Investing.com, Aug 2026) cluster around £12.85-£12.90, well below this note's £16.50 — a meaningful divergence from the Street that should be treated as a flag to revisit assumptions, not dismissed.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Financial Summary (£m, unless stated)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300"/>
            <w:shd w:fill="1F386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FY2024</w:t>
            </w:r>
          </w:p>
        </w:tc>
        <w:tc>
          <w:tcPr>
            <w:tcW w:type="dxa" w:w="144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FY2025</w:t>
            </w:r>
          </w:p>
        </w:tc>
        <w:tc>
          <w:tcPr>
            <w:tcW w:type="dxa" w:w="144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FY2026</w:t>
            </w:r>
          </w:p>
        </w:tc>
        <w:tc>
          <w:tcPr>
            <w:tcW w:type="dxa" w:w="144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FY2027E</w:t>
            </w:r>
          </w:p>
        </w:tc>
        <w:tc>
          <w:tcPr>
            <w:tcW w:type="dxa" w:w="144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FY2028E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Revenue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2,968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2,461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2,420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2,493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2,592</w:t>
            </w:r>
          </w:p>
        </w:tc>
      </w:tr>
      <w:tr>
        <w:tc>
          <w:tcPr>
            <w:tcW w:type="dxa" w:w="2300"/>
            <w:shd w:fill="D9E1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EBITDA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797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22.5%</w:t>
            </w:r>
          </w:p>
        </w:tc>
      </w:tr>
      <w:tr>
        <w:tc>
          <w:tcPr>
            <w:tcW w:type="dxa" w:w="2300"/>
            <w:shd w:fill="D9E1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Diluted EPS (£)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(0.21)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0.06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0.31*</w:t>
            </w:r>
          </w:p>
        </w:tc>
        <w:tc>
          <w:tcPr>
            <w:tcW w:type="dxa" w:w="1440"/>
            <w:shd w:fill="D9E1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0.42*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08080"/>
          <w:sz w:val="15"/>
          <w:szCs w:val="15"/>
        </w:rPr>
        <w:t xml:space="preserve">* FY2027E/FY2028E EPS is an unlevered proxy (NOPAT / diluted shares), consistent with the DCF workbook's unlevered FCF approach — the DCF does not forecast a full levered income statement (interest, financing), so this is not directly comparable to the FY2024-26 as-reported (levered) EPS figures. Treat as illustrative of the earnings recovery trend, not a forecast headline EPS number.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Sources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Historical financials: stockanalysis.com (Fiscal.ai data), pulled 15 Aug 2026. Trading comparables: Burberry_Luxury_Comps_Model_CV.xlsx (5 Aug 2026). DCF: Burberry_DCF_Valuation_Model.xlsx. Q1 FY2027 trading statement: burberryplc.com/investors, 17 Jul 2026. Consensus price targets: TradingView / Investing.com analyst estimates, Aug 2026. Deal speculation: Miss Tweed via Simply Wall St, retrieved 15 Aug 2026 (context only — not a confirmed deal; see Merger Model README).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808080"/>
          <w:sz w:val="15"/>
          <w:szCs w:val="15"/>
        </w:rPr>
        <w:t xml:space="preserve">This note reflects the author's own analysis and is not investment advice.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Prepared by Abia Khan | khan.abia1013@gmail.com | Page </w:t>
    </w:r>
    <w:r>
      <w:rPr>
        <w:rFonts w:ascii="Calibri" w:cs="Calibri" w:eastAsia="Calibri" w:hAnsi="Calibr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08080"/>
        <w:sz w:val="16"/>
        <w:szCs w:val="16"/>
      </w:rPr>
      <w:t xml:space="preserve">Equity Research — Consumer / Luxury Goods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Abia Khan</dc:creator>
  <cp:lastModifiedBy>Abia Khan</cp:lastModifiedBy>
  <cp:revision>1</cp:revision>
  <dcterms:created xsi:type="dcterms:W3CDTF">2026-08-15T05:22:30.646Z</dcterms:created>
  <dcterms:modified xsi:type="dcterms:W3CDTF">2026-08-15T05:22:30.646Z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