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32"/>
        <w:gridCol w:w="5933"/>
      </w:tblGrid>
      <w:tr>
        <w:tc>
          <w:tcPr>
            <w:tcW w:type="dxa" w:w="11290"/>
            <w:tcMar>
              <w:top w:w="30" w:type="dxa"/>
              <w:start w:w="40" w:type="dxa"/>
              <w:bottom w:w="10" w:type="dxa"/>
              <w:end w:w="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00865E"/>
                <w:sz w:val="18"/>
              </w:rPr>
              <w:t>TESTLEAF  /  FDE PROGRAM  •  CUSTOMER DISCOVERY</w:t>
            </w:r>
          </w:p>
          <w:p>
            <w:pPr>
              <w:spacing w:after="60"/>
            </w:pPr>
            <w:r>
              <w:rPr>
                <w:rFonts w:ascii="Aptos" w:hAnsi="Aptos"/>
                <w:b/>
                <w:color w:val="19363A"/>
                <w:sz w:val="42"/>
              </w:rPr>
              <w:t>Health Insurance Cashless Claims</w:t>
            </w:r>
          </w:p>
          <w:p>
            <w:r>
              <w:rPr>
                <w:rFonts w:ascii="Aptos" w:hAnsi="Aptos"/>
                <w:b w:val="0"/>
                <w:color w:val="59686F"/>
                <w:sz w:val="22"/>
              </w:rPr>
              <w:t>Why are authorization requests taking longer than expected?</w:t>
            </w:r>
          </w:p>
        </w:tc>
        <w:tc>
          <w:tcPr>
            <w:tcW w:type="dxa" w:w="11290"/>
            <w:tcMar>
              <w:top w:w="30" w:type="dxa"/>
              <w:start w:w="40" w:type="dxa"/>
              <w:bottom w:w="10" w:type="dxa"/>
              <w:end w:w="5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00865E"/>
                <w:sz w:val="18"/>
              </w:rPr>
              <w:t>09-BLOCK / ONE-PAGE CANVAS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color w:val="19363A"/>
                <w:sz w:val="17"/>
              </w:rPr>
              <w:t>DISCOVERY  →  REQUIREMENTS  →  MVP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color w:val="59686F"/>
                <w:sz w:val="16"/>
              </w:rPr>
              <w:t>31 OCT 2026  •  VERSION 1.0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27"/>
        <w:gridCol w:w="7527"/>
        <w:gridCol w:w="7527"/>
      </w:tblGrid>
      <w:tr>
        <w:tc>
          <w:tcPr>
            <w:tcW w:type="dxa" w:w="7527"/>
            <w:shd w:fill="EAF6F2"/>
            <w:tcMar>
              <w:top w:w="75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/>
                <w:color w:val="00865E"/>
                <w:sz w:val="16"/>
              </w:rPr>
              <w:t xml:space="preserve">PROJECT  </w:t>
            </w:r>
            <w:r>
              <w:rPr>
                <w:rFonts w:ascii="Aptos" w:hAnsi="Aptos"/>
                <w:b w:val="0"/>
                <w:color w:val="19363A"/>
                <w:sz w:val="16"/>
              </w:rPr>
              <w:t>Cashless Authorization / Health Insurance</w:t>
            </w:r>
          </w:p>
        </w:tc>
        <w:tc>
          <w:tcPr>
            <w:tcW w:type="dxa" w:w="7527"/>
            <w:shd w:fill="EAF6F2"/>
            <w:tcMar>
              <w:top w:w="75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/>
                <w:color w:val="00865E"/>
                <w:sz w:val="16"/>
              </w:rPr>
              <w:t xml:space="preserve">DISCOVERY STAGE  </w:t>
            </w:r>
            <w:r>
              <w:rPr>
                <w:rFonts w:ascii="Aptos" w:hAnsi="Aptos"/>
                <w:b w:val="0"/>
                <w:color w:val="19363A"/>
                <w:sz w:val="16"/>
              </w:rPr>
              <w:t>Initial - customer validation pending</w:t>
            </w:r>
          </w:p>
        </w:tc>
        <w:tc>
          <w:tcPr>
            <w:tcW w:type="dxa" w:w="7527"/>
            <w:shd w:fill="EAF6F2"/>
            <w:tcMar>
              <w:top w:w="75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/>
                <w:color w:val="00865E"/>
                <w:sz w:val="16"/>
              </w:rPr>
              <w:t xml:space="preserve">OWNER  </w:t>
            </w:r>
            <w:r>
              <w:rPr>
                <w:rFonts w:ascii="Aptos" w:hAnsi="Aptos"/>
                <w:b w:val="0"/>
                <w:color w:val="19363A"/>
                <w:sz w:val="16"/>
              </w:rPr>
              <w:t>FDE / Customer Discovery Team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6"/>
        <w:gridCol w:w="7526"/>
        <w:gridCol w:w="7526"/>
      </w:tblGrid>
      <w:tr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01  CUSTOMER &amp; STAKEHOLDERS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Who owns the problem, who uses the process, and who decides?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Hospital submissions, insurer operations, policyholders and hospital teams are involved.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Who owns end-to-end authorization turnaround and makes the final decision?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teams review, request clarification, approve, or escalate a case?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Who represents hospitals, policyholders, operations, clinical review and IT in discovery?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02  BUSINESS OBJECTIVE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Why change? What triggered the request? What matters most?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The COO wants verified causes and business value before any new investment.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changed in the past few months: complaints, volumes, case mix or expectations?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priority comes first: patient uncertainty, hospital trust, speed or operating effort?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business outcome and evidence would justify investing in improvements?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03  EXPECTED OUTCOMES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should improve, and how will success be measured?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Desired improvements are clear, but SLA definitions and targets are not provided.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turnaround SLA applies to each request type, and when does the clock start or stop?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targets matter for median and 90th-percentile decision time and SLA compliance?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reduction in pending cases, repeat status calls and complaints would count as success?</w:t>
            </w:r>
          </w:p>
        </w:tc>
      </w:tr>
      <w:tr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04  CURRENT PROCESS / AS-IS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happens from request to decision? Where are the handoffs?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Hospitals submit requests; the insurer reviews and communicates a decision.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Can we trace a recent delayed request from hospital submission to final decision?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are the exact checks and handoffs across hospital, operations and reviewers?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How are missing documents, medical questions, resubmissions and escalations handled?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05  CORE PROBLEM &amp; PAIN POINTS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is going wrong? Which causes are proven?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Delays, repeated hospital enquiries and manual work are reported; causes are unknown.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At which exact stage do delayed requests wait, based on case histories and timestamps?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exception types recur most often, and what evidence shows their frequency?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For the latest delayed case, what alternative causes must be ruled out before blaming systems or staffing?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06  BUSINESS IMPACT &amp; BASELINE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How often does it happen, and what time, cost or risk results?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Complaints are increasing; volumes, turnaround distributions and costs are unmeasured.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How many requests arrive by day, hospital, urgency and request category?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are current median/P90 turnaround, breach rate, backlog size and backlog age?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How much handling, rework, follow-up and escalation effort does each delay create?</w:t>
            </w:r>
          </w:p>
        </w:tc>
      </w:tr>
      <w:tr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07  DATA, SYSTEMS &amp; CONSTRAINTS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systems, data, rules and dependencies exist?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Existing digital platforms are used, but their workflow and data capabilities are unclear.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policy, claim, hospital and communication systems handle each step?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What case IDs, status histories, timestamps and anonymized samples can be inspected?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medical review, privacy, consent, security, audit and escalation rules must be preserved?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08  REQUIREMENTS &amp; MVP OPTIONS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capabilities could help? What is the smallest useful pilot?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No technical solution is approved; the intervention must follow validated evidence.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confirmed bottleneck could be improved first through process or existing-system changes?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Would validation rules, work queues, status visibility or assisted review solve that bottleneck?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Which bounded pilot has clear users, controls, baseline, target and rollback criteria?</w:t>
            </w:r>
          </w:p>
        </w:tc>
        <w:tc>
          <w:tcPr>
            <w:tcW w:type="dxa" w:w="7527"/>
            <w:vAlign w:val="top"/>
            <w:tcBorders>
              <w:top w:val="single" w:color="C9DDD5" w:sz="11"/>
              <w:left w:val="single" w:color="C9DDD5" w:sz="11"/>
              <w:bottom w:val="single" w:color="C9DDD5" w:sz="11"/>
              <w:right w:val="single" w:color="C9DDD5" w:sz="1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00865E"/>
                <w:sz w:val="20"/>
              </w:rPr>
              <w:t>09  VALIDATION &amp; NEXT STEPS</w:t>
            </w:r>
          </w:p>
          <w:p>
            <w:pPr>
              <w:spacing w:after="160" w:before="0" w:line="269" w:lineRule="auto"/>
            </w:pPr>
            <w:r>
              <w:rPr>
                <w:rFonts w:ascii="Aptos" w:hAnsi="Aptos"/>
                <w:b w:val="0"/>
                <w:color w:val="59686F"/>
                <w:sz w:val="16"/>
              </w:rPr>
              <w:t>What must be confirmed, by whom, and by when?</w:t>
            </w:r>
          </w:p>
          <w:p>
            <w:pPr>
              <w:spacing w:after="60" w:before="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 xml:space="preserve">CASE CONTEXT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Root causes, commercial impact, detailed workflow and ownership require validation.</w:t>
            </w:r>
          </w:p>
          <w:p>
            <w:pPr>
              <w:spacing w:after="100" w:before="80" w:line="269" w:lineRule="auto"/>
            </w:pPr>
            <w:r>
              <w:rPr>
                <w:rFonts w:ascii="Aptos" w:hAnsi="Aptos"/>
                <w:b/>
                <w:color w:val="00865E"/>
                <w:sz w:val="16"/>
              </w:rPr>
              <w:t>TOP 3 DISCOVERY QUESTIONS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U1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Who will provide anonymized case samples, event logs and a recent delayed-case walkthrough?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U2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Who will sign off workflow, SLA definitions, data safeguards and pilot success measures?</w:t>
            </w:r>
          </w:p>
          <w:p>
            <w:pPr>
              <w:spacing w:after="100" w:before="0" w:line="269" w:lineRule="auto"/>
              <w:ind w:left="72" w:hanging="29"/>
            </w:pPr>
            <w:r>
              <w:rPr>
                <w:rFonts w:ascii="Aptos" w:hAnsi="Aptos"/>
                <w:b/>
                <w:color w:val="B76B1D"/>
                <w:sz w:val="16"/>
              </w:rPr>
              <w:t xml:space="preserve">U3  </w:t>
            </w:r>
            <w:r>
              <w:rPr>
                <w:rFonts w:ascii="Aptos" w:hAnsi="Aptos"/>
                <w:b w:val="0"/>
                <w:color w:val="19363A"/>
                <w:sz w:val="17"/>
              </w:rPr>
              <w:t>When will the team review evidence, compare options and approve or reject a pilot?</w:t>
            </w:r>
          </w:p>
        </w:tc>
      </w:tr>
    </w:tbl>
    <w:p>
      <w:pPr>
        <w:spacing w:before="180"/>
      </w:pPr>
      <w:r>
        <w:rPr>
          <w:rFonts w:ascii="Aptos" w:hAnsi="Aptos"/>
          <w:b/>
          <w:color w:val="00865E"/>
          <w:sz w:val="16"/>
        </w:rPr>
        <w:t xml:space="preserve">EVIDENCE RULE  </w:t>
      </w:r>
      <w:r>
        <w:rPr>
          <w:rFonts w:ascii="Aptos" w:hAnsi="Aptos"/>
          <w:b w:val="0"/>
          <w:color w:val="19363A"/>
          <w:sz w:val="16"/>
        </w:rPr>
        <w:t>CASE CONTEXT = assignment-stated or customer-reported (not independently verified)   |   U = unknown / question for validation   |   Do not assume the root cause or preselect AI.</w:t>
      </w:r>
    </w:p>
    <w:p>
      <w:pPr>
        <w:spacing w:before="80"/>
      </w:pPr>
      <w:r>
        <w:rPr>
          <w:rFonts w:ascii="Aptos" w:hAnsi="Aptos"/>
          <w:b/>
          <w:color w:val="00865E"/>
          <w:sz w:val="16"/>
        </w:rPr>
        <w:t xml:space="preserve">SOURCE  </w:t>
      </w:r>
      <w:r>
        <w:rPr>
          <w:rFonts w:ascii="Aptos" w:hAnsi="Aptos"/>
          <w:b w:val="0"/>
          <w:color w:val="59686F"/>
          <w:sz w:val="15"/>
        </w:rPr>
        <w:t>Testleaf FDE Health Insurance Customer Discovery Home Assignment and Week 5 Day 9 Customer Discovery training. Reference example: linked GitHub invoice-processing canvas.</w:t>
      </w:r>
    </w:p>
    <w:sectPr w:rsidR="00FC693F" w:rsidRPr="0006063C" w:rsidSect="00034616">
      <w:footerReference w:type="default" r:id="rId9"/>
      <w:pgSz w:w="23818" w:h="16834" w:orient="landscape"/>
      <w:pgMar w:top="533" w:right="619" w:bottom="504" w:left="619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9686F"/>
        <w:sz w:val="15"/>
      </w:rPr>
      <w:t>FDE CUSTOMER DISCOVERY  •  HEALTH INSURANCE  •  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936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