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
              <w:left w:val="single" w:color="1A6B5A" w:sz="1"/>
              <w:bottom w:val="single" w:color="1A6B5A" w:sz="1"/>
              <w:right w:val="single" w:color="1A6B5A" w:sz="1"/>
            </w:tcBorders>
            <w:shd w:fill="1A6B5A" w:val="clear"/>
            <w:tcMar>
              <w:top w:type="dxa" w:w="400"/>
              <w:left w:type="dxa" w:w="400"/>
              <w:bottom w:type="dxa" w:w="400"/>
              <w:right w:type="dxa" w:w="400"/>
            </w:tcMar>
          </w:tcPr>
          <w:p>
            <w:pPr>
              <w:jc w:val="center"/>
            </w:pPr>
            <w:r>
              <w:rPr>
                <w:rFonts w:ascii="Arial" w:cs="Arial" w:eastAsia="Arial" w:hAnsi="Arial"/>
                <w:b/>
                <w:bCs/>
                <w:color w:val="FFFFFF"/>
                <w:sz w:val="48"/>
                <w:szCs w:val="48"/>
              </w:rPr>
              <w:t xml:space="preserve">DISNEY LICENSING</w:t>
            </w:r>
          </w:p>
          <w:p>
            <w:pPr>
              <w:jc w:val="center"/>
            </w:pPr>
            <w:r>
              <w:rPr>
                <w:rFonts w:ascii="Arial" w:cs="Arial" w:eastAsia="Arial" w:hAnsi="Arial"/>
                <w:b/>
                <w:bCs/>
                <w:color w:val="AAEEDD"/>
                <w:sz w:val="32"/>
                <w:szCs w:val="32"/>
              </w:rPr>
              <w:t xml:space="preserve">Rule Engine — Rules Reference Document</w:t>
            </w:r>
          </w:p>
          <w:p>
            <w:pPr>
              <w:spacing w:before="200"/>
              <w:jc w:val="center"/>
            </w:pPr>
            <w:r>
              <w:rPr>
                <w:rFonts w:ascii="Arial" w:cs="Arial" w:eastAsia="Arial" w:hAnsi="Arial"/>
                <w:color w:val="CCEEEE"/>
                <w:sz w:val="22"/>
                <w:szCs w:val="22"/>
              </w:rPr>
              <w:t xml:space="preserve">Pre-Submission Validation System  |  v1.0</w:t>
            </w:r>
          </w:p>
          <w:p>
            <w:pPr>
              <w:spacing w:before="80"/>
              <w:jc w:val="center"/>
            </w:pPr>
            <w:r>
              <w:rPr>
                <w:rFonts w:ascii="Arial" w:cs="Arial" w:eastAsia="Arial" w:hAnsi="Arial"/>
                <w:color w:val="AACCCC"/>
                <w:sz w:val="20"/>
                <w:szCs w:val="20"/>
              </w:rPr>
              <w:t xml:space="preserve">Bioworld Merchandising — India Licensing Team</w:t>
            </w:r>
          </w:p>
        </w:tc>
      </w:tr>
    </w:tbl>
    <w:p>
      <w:pPr>
        <w:spacing w:after="40" w:before="40"/>
      </w:pPr>
      <w:r>
        <w:rPr>
          <w:sz w:val="22"/>
          <w:szCs w:val="22"/>
        </w:rPr>
        <w:t xml:space="preserve"/>
      </w:r>
    </w:p>
    <w:p>
      <w:pPr>
        <w:spacing w:after="40" w:before="40"/>
      </w:pPr>
      <w:r>
        <w:rPr>
          <w:sz w:val="22"/>
          <w:szCs w:val="22"/>
        </w:rPr>
        <w:t xml:space="preserve"/>
      </w:r>
    </w:p>
    <w:p>
      <w:pPr>
        <w:pStyle w:val="Heading1"/>
        <w:spacing w:after="160" w:before="360"/>
      </w:pPr>
      <w:r>
        <w:rPr>
          <w:rFonts w:ascii="Arial" w:cs="Arial" w:eastAsia="Arial" w:hAnsi="Arial"/>
          <w:b/>
          <w:bCs/>
          <w:color w:val="1C2B2B"/>
          <w:sz w:val="32"/>
          <w:szCs w:val="32"/>
        </w:rPr>
        <w:t xml:space="preserve">1. Overview</w:t>
      </w:r>
    </w:p>
    <w:p>
      <w:pPr>
        <w:spacing w:after="80" w:before="60"/>
      </w:pPr>
      <w:r>
        <w:rPr>
          <w:rFonts w:ascii="Arial" w:cs="Arial" w:eastAsia="Arial" w:hAnsi="Arial"/>
          <w:color w:val="000000"/>
          <w:sz w:val="22"/>
          <w:szCs w:val="22"/>
        </w:rPr>
        <w:t xml:space="preserve">This document defines all validation rules applied by the Disney Licensing Rule Engine to Centric (PLM) exports before submission to the Disney licensor portal. Each rule specifies the input fields required, the reference file or source consulted, the validation logic, and the pass/fail criteria.</w:t>
      </w:r>
    </w:p>
    <w:p>
      <w:pPr>
        <w:spacing w:after="40" w:before="40"/>
      </w:pPr>
      <w:r>
        <w:rPr>
          <w:sz w:val="22"/>
          <w:szCs w:val="22"/>
        </w:rPr>
        <w:t xml:space="preserve"/>
      </w:r>
    </w:p>
    <w:p>
      <w:pPr>
        <w:spacing w:after="80" w:before="60"/>
      </w:pPr>
      <w:r>
        <w:rPr>
          <w:rFonts w:ascii="Arial" w:cs="Arial" w:eastAsia="Arial" w:hAnsi="Arial"/>
          <w:color w:val="000000"/>
          <w:sz w:val="22"/>
          <w:szCs w:val="22"/>
        </w:rPr>
        <w:t xml:space="preserve">The rule engine replaces a manual 14-parameter checklist currently performed by the India licensing team. The prototype covers Rules R1–R2. Full implementation covers R1–R9 across four rule categories.</w:t>
      </w:r>
    </w:p>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1.1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160"/>
        <w:gridCol w:w="2000"/>
      </w:tblGrid>
      <w:tr>
        <w:trPr>
          <w:tblHeader/>
        </w:trPr>
        <w:tc>
          <w:tcPr>
            <w:tcW w:type="dxa" w:w="24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Category</w:t>
            </w:r>
          </w:p>
        </w:tc>
        <w:tc>
          <w:tcPr>
            <w:tcW w:type="dxa" w:w="18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Rules</w:t>
            </w:r>
          </w:p>
        </w:tc>
        <w:tc>
          <w:tcPr>
            <w:tcW w:type="dxa" w:w="31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Source Files</w:t>
            </w:r>
          </w:p>
        </w:tc>
        <w:tc>
          <w:tcPr>
            <w:tcW w:type="dxa" w:w="20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Prototype Phase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Data &amp; SKU Validation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R2</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Styles export, DISNEY_PROPERTIES.xlsx</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Phase 1 (Demo)</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Artwork &amp; Property Validation</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R3, R4, R5</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BioWorld Property Hierarchy, DMC portal</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Phase 2</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Rights &amp; License Validation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R6</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New License Summary (NLS) files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Phase 2</w:t>
            </w:r>
          </w:p>
        </w:tc>
      </w:tr>
      <w:tr>
        <w:trPr>
          <w:tblHeader w:val="false"/>
        </w:trPr>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Packaging &amp; Trademark Validation</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R7, R8, R9</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TM_Guideline PDF, Brand email updates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Phase 3</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1.2 Input File</w:t>
      </w:r>
    </w:p>
    <w:p>
      <w:pPr>
        <w:spacing w:after="80" w:before="60"/>
      </w:pPr>
      <w:r>
        <w:rPr>
          <w:rFonts w:ascii="Arial" w:cs="Arial" w:eastAsia="Arial" w:hAnsi="Arial"/>
          <w:color w:val="000000"/>
          <w:sz w:val="22"/>
          <w:szCs w:val="22"/>
        </w:rPr>
        <w:t xml:space="preserve">The primary input for all rules is the Centric export file (referred to as the 'sentry file'). This is an Excel (.xlsx) export from the PLM system with the following key columns: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Column Name</w:t>
            </w:r>
          </w:p>
        </w:tc>
        <w:tc>
          <w:tcPr>
            <w:tcW w:type="dxa" w:w="20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Used In Rules</w:t>
            </w:r>
          </w:p>
        </w:tc>
        <w:tc>
          <w:tcPr>
            <w:tcW w:type="dxa" w:w="45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Notes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Style #</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R2</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SKU; last 3 chars = suffix code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Licensor</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R6</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Must = 'Disney' for Disney rules to apply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Property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R3, R4, R5, R6</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franchise/property name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Art Ref #</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R3</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Cross-checked against DMC portal</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Item Type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R6</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Product category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Customer</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R6</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Retail channel</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Division / Department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R6</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Business unit (Apparel, Kids Accessories, Home)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Licensing Status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Must progress to 'Sample Ready for License Submission'</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
              <w:left w:val="single" w:color="1A6B5A" w:sz="1"/>
              <w:bottom w:val="single" w:color="1A6B5A" w:sz="1"/>
              <w:right w:val="single" w:color="1A6B5A" w:sz="1"/>
            </w:tcBorders>
            <w:shd w:fill="1A6B5A" w:val="clear"/>
            <w:tcMar>
              <w:top w:type="dxa" w:w="120"/>
              <w:left w:type="dxa" w:w="200"/>
              <w:bottom w:type="dxa" w:w="120"/>
              <w:right w:type="dxa" w:w="200"/>
            </w:tcMar>
          </w:tcPr>
          <w:p>
            <w:r>
              <w:rPr>
                <w:rFonts w:ascii="Arial" w:cs="Arial" w:eastAsia="Arial" w:hAnsi="Arial"/>
                <w:b/>
                <w:bCs/>
                <w:color w:val="FFFFFF"/>
                <w:sz w:val="26"/>
                <w:szCs w:val="26"/>
              </w:rPr>
              <w:t xml:space="preserve">Category 1 — Data &amp; SKU Validation</w:t>
            </w:r>
          </w:p>
        </w:tc>
      </w:tr>
    </w:tbl>
    <w:p>
      <w:pPr>
        <w:spacing w:after="40" w:before="40"/>
      </w:pPr>
      <w:r>
        <w:rPr>
          <w:sz w:val="22"/>
          <w:szCs w:val="22"/>
        </w:rPr>
        <w:t xml:space="preserve"/>
      </w:r>
    </w:p>
    <w:p>
      <w:pPr>
        <w:spacing w:after="80" w:before="60"/>
      </w:pPr>
      <w:r>
        <w:rPr>
          <w:rFonts w:ascii="Arial" w:cs="Arial" w:eastAsia="Arial" w:hAnsi="Arial"/>
          <w:color w:val="000000"/>
          <w:sz w:val="22"/>
          <w:szCs w:val="22"/>
        </w:rPr>
        <w:t xml:space="preserve">These two rules are the entry gate. R1 must pass before any other rule runs. R2 is the most automatable rule in the engine and is the primary demo target.</w:t>
      </w:r>
    </w:p>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R1 — Mandatory Field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R1</w:t>
            </w:r>
          </w:p>
        </w:tc>
        <w:tc>
          <w:tcPr>
            <w:tcW w:type="dxa" w:w="536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Mandatory field check</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Style #, Licensor, Property, Art Ref #, Item Type, Customer, Division, Licensing Status</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No external lookup required — validates completeness of Centric export row</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Check that each required field in the row is non-empty. If any field is blank, the row fails immediately and no further rules are evaluated for that row.</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All required fields are populated with non-empty values.</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One or more required fields are blank. Output: row ID + list of empty fields.</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R2 — SKU Suffix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R2</w:t>
            </w:r>
          </w:p>
        </w:tc>
        <w:tc>
          <w:tcPr>
            <w:tcW w:type="dxa" w:w="536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SKU suffix validation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Last 3 characters of the Style # field</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DISNEY_PROPERTIES_7.xlsx — Sheet2 (suffix-to-category mapping table)</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Extract the last 3 characters of the Style # (e.g. 'FPY65V2DSC' → suffix 'DSC'). Look up against the suffix mapping table. Verify that the suffix exists AND that it matches the declared property category in the Property field.</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Suffix exists in the mapping table AND is consistent with the declared property.</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Suffix not found in mapping table, OR suffix found but does not match the declared property category.</w:t>
            </w:r>
          </w:p>
        </w:tc>
      </w:tr>
    </w:tbl>
    <w:p>
      <w:pPr>
        <w:spacing w:after="40" w:before="40"/>
      </w:pPr>
      <w:r>
        <w:rPr>
          <w:sz w:val="22"/>
          <w:szCs w:val="22"/>
        </w:rPr>
        <w:t xml:space="preserve"/>
      </w:r>
    </w:p>
    <w:p>
      <w:pPr>
        <w:pStyle w:val="Heading3"/>
        <w:spacing w:after="80" w:before="200"/>
      </w:pPr>
      <w:r>
        <w:rPr>
          <w:rFonts w:ascii="Arial" w:cs="Arial" w:eastAsia="Arial" w:hAnsi="Arial"/>
          <w:b/>
          <w:bCs/>
          <w:color w:val="1C2B2B"/>
          <w:sz w:val="22"/>
          <w:szCs w:val="22"/>
        </w:rPr>
        <w:t xml:space="preserve">R2 Reference: Suffix 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Suffix Code</w:t>
            </w:r>
          </w:p>
        </w:tc>
        <w:tc>
          <w:tcPr>
            <w:tcW w:type="dxa" w:w="2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Property Category</w:t>
            </w:r>
          </w:p>
        </w:tc>
        <w:tc>
          <w:tcPr>
            <w:tcW w:type="dxa" w:w="57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Example Properties</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DSC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Classics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Alice in Wonderland, Bambi, Dumbo, Lady and the Tramp, The Lion King (animated)</w:t>
            </w:r>
          </w:p>
        </w:tc>
      </w:tr>
      <w:tr>
        <w:trPr>
          <w:tblHeader w:val="false"/>
        </w:trP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DSX</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Pixar Properties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A Bug's Life, Coco, Inside Out, Lightyear, Toy Story, Wall-E</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DST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Toddler Properties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Junior sub-brands (Alice's Wonderland Bakery, etc.)</w:t>
            </w:r>
          </w:p>
        </w:tc>
      </w:tr>
      <w:tr>
        <w:trPr>
          <w:tblHeader w:val="false"/>
        </w:trP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DSM</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New Movies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Jungle Cruise, Tron Movie, Pirates of the Caribbean, New releases</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DCH</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Channel Properties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Kim Possible, Phineas and Ferb, Percy Jackson, Proud Family</w:t>
            </w:r>
          </w:p>
        </w:tc>
      </w:tr>
      <w:tr>
        <w:trPr>
          <w:tblHeader w:val="false"/>
        </w:trP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DSY</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Standard Characters / Princess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Princess, Atlantis, Doorables, Standard characters</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DCX</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Channel Pixar cross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Elio (cross-brand)</w:t>
            </w:r>
          </w:p>
        </w:tc>
      </w:tr>
      <w:tr>
        <w:trPr>
          <w:tblHeader w:val="false"/>
        </w:trP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KDH</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Kingdom Hearts</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Kingdom Hearts III</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20"/>
              <w:left w:type="dxa" w:w="200"/>
              <w:bottom w:type="dxa" w:w="120"/>
              <w:right w:type="dxa" w:w="200"/>
            </w:tcMar>
          </w:tcPr>
          <w:p>
            <w:r>
              <w:rPr>
                <w:rFonts w:ascii="Arial" w:cs="Arial" w:eastAsia="Arial" w:hAnsi="Arial"/>
                <w:b/>
                <w:bCs/>
                <w:color w:val="FFFFFF"/>
                <w:sz w:val="26"/>
                <w:szCs w:val="26"/>
              </w:rPr>
              <w:t xml:space="preserve">Category 2 — Artwork &amp; Property Validation</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R3 — Property–Art Reference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R3</w:t>
            </w:r>
          </w:p>
        </w:tc>
        <w:tc>
          <w:tcPr>
            <w:tcW w:type="dxa" w:w="536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Property–Art reference validation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field, Art Ref # field</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BioWorld_Cross_Franchise_Property_Hierarchy.xlsx (Disney/Marvel/Lucas sheets) + DMC portal or L:\00-LICENSED ARTWORK</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Verify that (a) the Property declared exists in the approved BioWorld property hierarchy list, and (b) the Art Ref # is associated with that property in DMC or on the L drive.</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exists in approved list AND the art reference is mapped to that property.</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not found in hierarchy, or Art Ref # belongs to a different property.</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R4 — Character-to-Property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R4</w:t>
            </w:r>
          </w:p>
        </w:tc>
        <w:tc>
          <w:tcPr>
            <w:tcW w:type="dxa" w:w="536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Character-to-property mapping</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Character name(s) in the design, Property field</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BioWorld_Cross_Franchise_Property_Hierarchy.xlsx — Notes/Characters column</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Each character referenced in the design must belong to the declared property. For example, Woody (Toy Story) on a Frozen-branded submission is a violation.</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All characters in the design belong to the declared property.</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 character is from a different property or a different franchise.</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R5 — Property Mixing / Franchise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R5</w:t>
            </w:r>
          </w:p>
        </w:tc>
        <w:tc>
          <w:tcPr>
            <w:tcW w:type="dxa" w:w="5360"/>
            <w:tcBorders>
              <w:top w:val="single" w:color="DDDDDD" w:sz="1"/>
              <w:left w:val="single" w:color="DDDDDD" w:sz="1"/>
              <w:bottom w:val="single" w:color="DDDDDD" w:sz="1"/>
              <w:right w:val="single" w:color="DDDDDD" w:sz="1"/>
            </w:tcBorders>
            <w:shd w:fill="E8F4FD" w:val="clear"/>
            <w:tcMar>
              <w:top w:type="dxa" w:w="100"/>
              <w:left w:type="dxa" w:w="150"/>
              <w:bottom w:type="dxa" w:w="100"/>
              <w:right w:type="dxa" w:w="150"/>
            </w:tcMar>
          </w:tcPr>
          <w:p>
            <w:r>
              <w:rPr>
                <w:rFonts w:ascii="Arial" w:cs="Arial" w:eastAsia="Arial" w:hAnsi="Arial"/>
                <w:b/>
                <w:bCs/>
                <w:color w:val="1C2B2B"/>
                <w:sz w:val="24"/>
                <w:szCs w:val="24"/>
              </w:rPr>
              <w:t xml:space="preserve">Property mixing / franchise isolation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All properties referenced in the style</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BioWorld_Cross_Franchise_Property_Hierarchy.xlsx (Brand column: Disney / Marvel / Lucas)</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 single style must not mix franchises (e.g., Disney + Marvel, Disney + Lucas, Pixar + Marvel) unless explicitly licensed as a multi-franchise SKU. Exception: Disney 100th Celebration is a licensed multi-franchise property. Disney + Pixar may appear together only per TM guide rules for same-guide programs, using the Three-Circle Mickey Head TM device.</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All IP on the style is from one franchise group, or the style is an approved multi-franchise SKU.</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Mixed franchises present without explicit multi-franchise license.</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1"/>
              <w:left w:val="single" w:color="5D4037" w:sz="1"/>
              <w:bottom w:val="single" w:color="5D4037" w:sz="1"/>
              <w:right w:val="single" w:color="5D4037" w:sz="1"/>
            </w:tcBorders>
            <w:shd w:fill="5D4037" w:val="clear"/>
            <w:tcMar>
              <w:top w:type="dxa" w:w="120"/>
              <w:left w:type="dxa" w:w="200"/>
              <w:bottom w:type="dxa" w:w="120"/>
              <w:right w:type="dxa" w:w="200"/>
            </w:tcMar>
          </w:tcPr>
          <w:p>
            <w:r>
              <w:rPr>
                <w:rFonts w:ascii="Arial" w:cs="Arial" w:eastAsia="Arial" w:hAnsi="Arial"/>
                <w:b/>
                <w:bCs/>
                <w:color w:val="FFFFFF"/>
                <w:sz w:val="26"/>
                <w:szCs w:val="26"/>
              </w:rPr>
              <w:t xml:space="preserve">Category 3 — Rights &amp; License Validation</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R6 — Rights &amp; Distribution Channel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b/>
                <w:bCs/>
                <w:color w:val="1C2B2B"/>
                <w:sz w:val="24"/>
                <w:szCs w:val="24"/>
              </w:rPr>
              <w:t xml:space="preserve">R6</w:t>
            </w:r>
          </w:p>
        </w:tc>
        <w:tc>
          <w:tcPr>
            <w:tcW w:type="dxa" w:w="5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b/>
                <w:bCs/>
                <w:color w:val="1C2B2B"/>
                <w:sz w:val="24"/>
                <w:szCs w:val="24"/>
              </w:rPr>
              <w:t xml:space="preserve">Rights &amp; distribution channel check</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Customer, Division, Item Type, submission date</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New License Summary files: Copy_of_Disney_Apparel_Accessories_NLS (Jan 2024–Dec 2026), Copy_of_Disney_Home_NLS (Jan 2025–Dec 2026)</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Validate that: (a) the property appears in the NLS under the correct suffix code, (b) the customer channel is covered by the license, (c) the product division (Apparel, Kids Accessories, Home) is within scope, and (d) the submission date falls within the contract period. Contract #293998 for Apparel/Accessories.</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 channel + product category are all within the licensed scope and within the contract period.</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not in NLS, customer channel out of scope, product category not covered, or submission outside contract dates.</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E5F" w:sz="1"/>
              <w:left w:val="single" w:color="512E5F" w:sz="1"/>
              <w:bottom w:val="single" w:color="512E5F" w:sz="1"/>
              <w:right w:val="single" w:color="512E5F" w:sz="1"/>
            </w:tcBorders>
            <w:shd w:fill="512E5F" w:val="clear"/>
            <w:tcMar>
              <w:top w:type="dxa" w:w="120"/>
              <w:left w:type="dxa" w:w="200"/>
              <w:bottom w:type="dxa" w:w="120"/>
              <w:right w:type="dxa" w:w="200"/>
            </w:tcMar>
          </w:tcPr>
          <w:p>
            <w:r>
              <w:rPr>
                <w:rFonts w:ascii="Arial" w:cs="Arial" w:eastAsia="Arial" w:hAnsi="Arial"/>
                <w:b/>
                <w:bCs/>
                <w:color w:val="FFFFFF"/>
                <w:sz w:val="26"/>
                <w:szCs w:val="26"/>
              </w:rPr>
              <w:t xml:space="preserve">Category 4 — Packaging &amp; Trademark Validation</w:t>
            </w:r>
          </w:p>
        </w:tc>
      </w:tr>
    </w:tbl>
    <w:p>
      <w:pPr>
        <w:spacing w:after="40" w:before="40"/>
      </w:pPr>
      <w:r>
        <w:rPr>
          <w:sz w:val="22"/>
          <w:szCs w:val="22"/>
        </w:rPr>
        <w:t xml:space="preserve"/>
      </w:r>
    </w:p>
    <w:p>
      <w:pPr>
        <w:spacing w:after="80" w:before="60"/>
      </w:pPr>
      <w:r>
        <w:rPr>
          <w:rFonts w:ascii="Arial" w:cs="Arial" w:eastAsia="Arial" w:hAnsi="Arial"/>
          <w:color w:val="000000"/>
          <w:sz w:val="22"/>
          <w:szCs w:val="22"/>
        </w:rPr>
        <w:t xml:space="preserve">Rules R7–R9 require packaging/branding data. These rules are applied when the submission includes packaging artwork. The primary source is the Disney Character Trademark Device guide (Doc 1635190, Version 2, FH 2023 Global).</w:t>
      </w:r>
    </w:p>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R7 — TM Device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R7</w:t>
            </w:r>
          </w:p>
        </w:tc>
        <w:tc>
          <w:tcPr>
            <w:tcW w:type="dxa" w:w="536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TM device selection (which device to use)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Property / branding logo name on the packaging</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TM_Guideline_1.pdf — Decision Tree (p.17), Brand Management Update email (Nov 2023)</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Apply the TM device decision tree: (1) Branding = Mickey Mouse / Mickey / Mickey &amp; Friends → Mickey Mouse TM Device. (2) Branding = Minnie Mouse / Minnie → Minnie Mouse TM Device. (3) Disney-only or Disney+Pixar mix → Three-Circle Mickey Head TM Device. (4) Pixar-only program → DO NOT use any TM from this guide. (5) Other franchise (Marvel, Lucas) present → DO NOT use any TM from this guide. Note: As of Nov 2023, Saluting Mickey/Minnie posture is required; old Mickey head+copyright+URL lockup is discontinued.</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Correct TM device selected per decision tree for the declared branding.</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Wrong device applied, TM applied to Pixar-only program, or old discontinued lockup used.</w:t>
            </w:r>
          </w:p>
        </w:tc>
      </w:tr>
    </w:tbl>
    <w:p>
      <w:pPr>
        <w:spacing w:after="40" w:before="40"/>
      </w:pPr>
      <w:r>
        <w:rPr>
          <w:sz w:val="22"/>
          <w:szCs w:val="22"/>
        </w:rPr>
        <w:t xml:space="preserve"/>
      </w:r>
    </w:p>
    <w:p>
      <w:pPr>
        <w:pStyle w:val="Heading3"/>
        <w:spacing w:after="80" w:before="200"/>
      </w:pPr>
      <w:r>
        <w:rPr>
          <w:rFonts w:ascii="Arial" w:cs="Arial" w:eastAsia="Arial" w:hAnsi="Arial"/>
          <w:b/>
          <w:bCs/>
          <w:color w:val="1C2B2B"/>
          <w:sz w:val="22"/>
          <w:szCs w:val="22"/>
        </w:rPr>
        <w:t xml:space="preserve">R7 Reference: TM Device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Branding on packaging</w:t>
            </w:r>
          </w:p>
        </w:tc>
        <w:tc>
          <w:tcPr>
            <w:tcW w:type="dxa" w:w="51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TM Device to use</w:t>
            </w:r>
          </w:p>
        </w:tc>
      </w:tr>
      <w:tr>
        <w:trPr>
          <w:tblHeader w:val="false"/>
        </w:trPr>
        <w:tc>
          <w:tcPr>
            <w:tcW w:type="dxa" w:w="4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Mickey Mouse, Mickey, Mickey &amp; Friends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Mickey Mouse TM Device (Saluting Mickey)</w:t>
            </w:r>
          </w:p>
        </w:tc>
      </w:tr>
      <w:tr>
        <w:trPr>
          <w:tblHeader w:val="false"/>
        </w:trPr>
        <w:tc>
          <w:tcPr>
            <w:tcW w:type="dxa" w:w="4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Minnie Mouse, Minnie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Minnie Mouse TM Device (Saluting Minnie)</w:t>
            </w:r>
          </w:p>
        </w:tc>
      </w:tr>
      <w:tr>
        <w:trPr>
          <w:tblHeader w:val="false"/>
        </w:trPr>
        <w:tc>
          <w:tcPr>
            <w:tcW w:type="dxa" w:w="4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 brand name, Disney + Pixar mix, other Disney IP</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Three-Circle Mickey Head TM Device</w:t>
            </w:r>
          </w:p>
        </w:tc>
      </w:tr>
      <w:tr>
        <w:trPr>
          <w:tblHeader w:val="false"/>
        </w:trPr>
        <w:tc>
          <w:tcPr>
            <w:tcW w:type="dxa" w:w="4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Pixar-only (no Disney IP)</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 TM device from this guide</w:t>
            </w:r>
          </w:p>
        </w:tc>
      </w:tr>
      <w:tr>
        <w:trPr>
          <w:tblHeader w:val="false"/>
        </w:trPr>
        <w:tc>
          <w:tcPr>
            <w:tcW w:type="dxa" w:w="4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Marvel, Star Wars, Lucas (with or without Disney)</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 TM device from this guide</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R8 — TM Device Size &amp;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R8</w:t>
            </w:r>
          </w:p>
        </w:tc>
        <w:tc>
          <w:tcPr>
            <w:tcW w:type="dxa" w:w="536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TM device size and placement</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Packaging front area (square inches), TM device type selected (from R7), packaging layout</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TM_Guideline_1.pdf (pp.6, 11, 15, 24–29), Fw_Trademark_Updates_2025_2026.pdf, Re_120576408_DTG_Branding.pdf</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Size: Select Small (0–10.75 in²), Medium (10.75–30.5 in²), or Large (&gt;30.5 in²) TM based on front packaging area. Placement: default is bottom-right corner of back of packaging. Never on the left side. Legibility buffer space must be maintained. Licensee logo must not exceed TM device size. For garments without hangtags (Oct 2025 update): TM device must appear on garment branding (neck label or heat seal label). For DTG layouts without COO/sizing info: sandwich TM between the Disney logo and the legal line.</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Correct size tier used, placed in bottom-right (or approved alternative), legibility space maintained, licensee logo does not exceed TM size.</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Wrong size tier, placed on left side, legibility space violated, holding shape is transparent, device is flipped or color-inverted, or licensee logo is larger than TM device.</w:t>
            </w:r>
          </w:p>
        </w:tc>
      </w:tr>
    </w:tbl>
    <w:p>
      <w:pPr>
        <w:spacing w:after="40" w:before="40"/>
      </w:pPr>
      <w:r>
        <w:rPr>
          <w:sz w:val="22"/>
          <w:szCs w:val="22"/>
        </w:rPr>
        <w:t xml:space="preserve"/>
      </w:r>
    </w:p>
    <w:p>
      <w:pPr>
        <w:pStyle w:val="Heading3"/>
        <w:spacing w:after="80" w:before="200"/>
      </w:pPr>
      <w:r>
        <w:rPr>
          <w:rFonts w:ascii="Arial" w:cs="Arial" w:eastAsia="Arial" w:hAnsi="Arial"/>
          <w:b/>
          <w:bCs/>
          <w:color w:val="1C2B2B"/>
          <w:sz w:val="22"/>
          <w:szCs w:val="22"/>
        </w:rPr>
        <w:t xml:space="preserve">R8 Reference: TM Size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460"/>
        <w:gridCol w:w="3200"/>
      </w:tblGrid>
      <w:tr>
        <w:trPr>
          <w:tblHeader/>
        </w:trPr>
        <w:tc>
          <w:tcPr>
            <w:tcW w:type="dxa" w:w="21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Packaging Front Area</w:t>
            </w:r>
          </w:p>
        </w:tc>
        <w:tc>
          <w:tcPr>
            <w:tcW w:type="dxa" w:w="1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TM Size Tier</w:t>
            </w:r>
          </w:p>
        </w:tc>
        <w:tc>
          <w:tcPr>
            <w:tcW w:type="dxa" w:w="24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Width (with legibility space)</w:t>
            </w:r>
          </w:p>
        </w:tc>
        <w:tc>
          <w:tcPr>
            <w:tcW w:type="dxa" w:w="3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Applicable packaging types (examples)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0 – 10.75 in²</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Small</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0.85 in (21.6 mm)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Accessory Card SM, Earring Card SM, Hang Tag 2.5x4, Necklace Card</w:t>
            </w:r>
          </w:p>
        </w:tc>
      </w:tr>
      <w:tr>
        <w:trPr>
          <w:tblHeader w:val="false"/>
        </w:trPr>
        <w:tc>
          <w:tcPr>
            <w:tcW w:type="dxa" w:w="21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10.75 – 30.5 in²</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Medium</w:t>
            </w:r>
          </w:p>
        </w:tc>
        <w:tc>
          <w:tcPr>
            <w:tcW w:type="dxa" w:w="24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1.275 in (32.39 mm)</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Belly Band, Header Card 7x2, Corner Design 6.25x6.25, Backer Card (Pin)</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&gt; 30.5 in²</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Large</w:t>
            </w:r>
          </w:p>
        </w:tc>
        <w:tc>
          <w:tcPr>
            <w:tcW w:type="dxa" w:w="24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1.7 in (43.18 mm)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J Card, Blanket Card, Vertical Box, Backer Card Standard, Shipping Box</w:t>
            </w:r>
          </w:p>
        </w:tc>
      </w:tr>
    </w:tbl>
    <w:p>
      <w:pPr>
        <w:spacing w:after="40" w:before="40"/>
      </w:pPr>
      <w:r>
        <w:rPr>
          <w:sz w:val="22"/>
          <w:szCs w:val="22"/>
        </w:rPr>
        <w:t xml:space="preserve"/>
      </w:r>
    </w:p>
    <w:p>
      <w:pPr>
        <w:pStyle w:val="Heading2"/>
        <w:spacing w:after="120" w:before="280"/>
      </w:pPr>
      <w:r>
        <w:rPr>
          <w:rFonts w:ascii="Arial" w:cs="Arial" w:eastAsia="Arial" w:hAnsi="Arial"/>
          <w:b/>
          <w:bCs/>
          <w:color w:val="1A6B5A"/>
          <w:sz w:val="26"/>
          <w:szCs w:val="26"/>
        </w:rPr>
        <w:t xml:space="preserve">R9 — Legal Line &amp; URL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R9</w:t>
            </w:r>
          </w:p>
        </w:tc>
        <w:tc>
          <w:tcPr>
            <w:tcW w:type="dxa" w:w="536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1C2B2B"/>
                <w:sz w:val="24"/>
                <w:szCs w:val="24"/>
              </w:rPr>
              <w:t xml:space="preserve">Legal line and URL check</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6B3C"/>
                <w:sz w:val="20"/>
                <w:szCs w:val="20"/>
              </w:rPr>
              <w:t xml:space="preserve">PASS  </w:t>
            </w:r>
            <w:r>
              <w:rPr>
                <w:rFonts w:ascii="Arial" w:cs="Arial" w:eastAsia="Arial" w:hAnsi="Arial"/>
                <w:color w:val="000000"/>
                <w:sz w:val="20"/>
                <w:szCs w:val="20"/>
              </w:rPr>
              <w:t xml:space="preserve">/ </w:t>
            </w:r>
            <w:r>
              <w:rPr>
                <w:rFonts w:ascii="Arial" w:cs="Arial" w:eastAsia="Arial" w:hAnsi="Arial"/>
                <w:b/>
                <w:bCs/>
                <w:color w:val="C0392B"/>
                <w:sz w:val="20"/>
                <w:szCs w:val="20"/>
              </w:rPr>
              <w:t xml:space="preserve">FAIL</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Input</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Packaging or label artwork</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Lookup</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TM_Guideline_1.pdf (p.33 — Legal Lines, Fonts and URL Usage)</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b/>
                <w:bCs/>
                <w:color w:val="1C2B2B"/>
                <w:sz w:val="20"/>
                <w:szCs w:val="20"/>
              </w:rPr>
              <w:t xml:space="preserve">Logic</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All products, packaging, hangtags, advertising, and promotional materials must include: (1) ©Disney copyright notice, and (2) www.disney.com URL. Both must be in Inspire Medium font, minimum 6pt at 100% view. Copyright notice must NOT be placed next to or in close proximity to the Character Trademark Device — a legibility distance must be maintained between them.</w:t>
            </w:r>
          </w:p>
        </w:tc>
      </w:tr>
      <w:tr>
        <w:tc>
          <w:tcPr>
            <w:tcW w:type="dxa" w:w="1500"/>
            <w:tcBorders>
              <w:top w:val="single" w:color="DDDDDD" w:sz="1"/>
              <w:left w:val="single" w:color="DDDDDD" w:sz="1"/>
              <w:bottom w:val="single" w:color="DDDDDD" w:sz="1"/>
              <w:right w:val="single" w:color="DDDDDD" w:sz="1"/>
            </w:tcBorders>
            <w:shd w:fill="EAF6EE" w:val="clear"/>
            <w:tcMar>
              <w:top w:type="dxa" w:w="100"/>
              <w:left w:type="dxa" w:w="150"/>
              <w:bottom w:type="dxa" w:w="100"/>
              <w:right w:type="dxa" w:w="150"/>
            </w:tcMar>
          </w:tcPr>
          <w:p>
            <w:r>
              <w:rPr>
                <w:rFonts w:ascii="Arial" w:cs="Arial" w:eastAsia="Arial" w:hAnsi="Arial"/>
                <w:b/>
                <w:bCs/>
                <w:color w:val="1A6B3C"/>
                <w:sz w:val="20"/>
                <w:szCs w:val="20"/>
              </w:rPr>
              <w:t xml:space="preserve">PASS</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©Disney present + www.disney.com present + at minimum 6pt + not adjacent to TM device.</w:t>
            </w:r>
          </w:p>
        </w:tc>
      </w:tr>
      <w:tr>
        <w:tc>
          <w:tcPr>
            <w:tcW w:type="dxa" w:w="1500"/>
            <w:tcBorders>
              <w:top w:val="single" w:color="DDDDDD" w:sz="1"/>
              <w:left w:val="single" w:color="DDDDDD" w:sz="1"/>
              <w:bottom w:val="single" w:color="DDDDDD" w:sz="1"/>
              <w:right w:val="single" w:color="DDDDDD" w:sz="1"/>
            </w:tcBorders>
            <w:shd w:fill="FDEAEA" w:val="clear"/>
            <w:tcMar>
              <w:top w:type="dxa" w:w="100"/>
              <w:left w:type="dxa" w:w="150"/>
              <w:bottom w:type="dxa" w:w="100"/>
              <w:right w:type="dxa" w:w="150"/>
            </w:tcMar>
          </w:tcPr>
          <w:p>
            <w:r>
              <w:rPr>
                <w:rFonts w:ascii="Arial" w:cs="Arial" w:eastAsia="Arial" w:hAnsi="Arial"/>
                <w:b/>
                <w:bCs/>
                <w:color w:val="C0392B"/>
                <w:sz w:val="20"/>
                <w:szCs w:val="20"/>
              </w:rPr>
              <w:t xml:space="preserve">FAIL</w:t>
            </w:r>
          </w:p>
        </w:tc>
        <w:tc>
          <w:tcPr>
            <w:tcW w:type="dxa" w:w="7860"/>
            <w:gridSpan w:val="2"/>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Missing copyright notice, missing URL, font size below 6pt, or copyright placed too close to TM device.</w:t>
            </w:r>
          </w:p>
        </w:tc>
      </w:tr>
    </w:tbl>
    <w:p>
      <w:pPr>
        <w:spacing w:after="40" w:before="40"/>
      </w:pPr>
      <w:r>
        <w:rPr>
          <w:sz w:val="22"/>
          <w:szCs w:val="22"/>
        </w:rPr>
        <w:t xml:space="preserve"/>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
              <w:left w:val="single" w:color="1A6B5A" w:sz="1"/>
              <w:bottom w:val="single" w:color="1A6B5A" w:sz="1"/>
              <w:right w:val="single" w:color="1A6B5A" w:sz="1"/>
            </w:tcBorders>
            <w:shd w:fill="1A6B5A" w:val="clear"/>
            <w:tcMar>
              <w:top w:type="dxa" w:w="120"/>
              <w:left w:type="dxa" w:w="200"/>
              <w:bottom w:type="dxa" w:w="120"/>
              <w:right w:type="dxa" w:w="200"/>
            </w:tcMar>
          </w:tcPr>
          <w:p>
            <w:r>
              <w:rPr>
                <w:rFonts w:ascii="Arial" w:cs="Arial" w:eastAsia="Arial" w:hAnsi="Arial"/>
                <w:b/>
                <w:bCs/>
                <w:color w:val="FFFFFF"/>
                <w:sz w:val="26"/>
                <w:szCs w:val="26"/>
              </w:rPr>
              <w:t xml:space="preserve">Validation Flow — Order of Execution</w:t>
            </w:r>
          </w:p>
        </w:tc>
      </w:tr>
    </w:tbl>
    <w:p>
      <w:pPr>
        <w:spacing w:after="40" w:before="40"/>
      </w:pPr>
      <w:r>
        <w:rPr>
          <w:sz w:val="22"/>
          <w:szCs w:val="22"/>
        </w:rPr>
        <w:t xml:space="preserve"/>
      </w:r>
    </w:p>
    <w:p>
      <w:pPr>
        <w:spacing w:after="80" w:before="60"/>
      </w:pPr>
      <w:r>
        <w:rPr>
          <w:rFonts w:ascii="Arial" w:cs="Arial" w:eastAsia="Arial" w:hAnsi="Arial"/>
          <w:color w:val="000000"/>
          <w:sz w:val="22"/>
          <w:szCs w:val="22"/>
        </w:rPr>
        <w:t xml:space="preserve">Rules execute in the following order per row. A FAIL at any gate rule stops downstream execution for that row and the row is written to the error output file with the reason.</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rPr>
          <w:tblHeader/>
        </w:trPr>
        <w:tc>
          <w:tcPr>
            <w:tcW w:type="dxa" w:w="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Step</w:t>
            </w:r>
          </w:p>
        </w:tc>
        <w:tc>
          <w:tcPr>
            <w:tcW w:type="dxa" w:w="28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Rule</w:t>
            </w:r>
          </w:p>
        </w:tc>
        <w:tc>
          <w:tcPr>
            <w:tcW w:type="dxa" w:w="20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Gate?</w:t>
            </w:r>
          </w:p>
        </w:tc>
        <w:tc>
          <w:tcPr>
            <w:tcW w:type="dxa" w:w="39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On FAIL</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 Mandatory field check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Yes (hard gate)</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Stop all rules for this row. Output blank field list.</w:t>
            </w:r>
          </w:p>
        </w:tc>
      </w:tr>
      <w:tr>
        <w:trPr>
          <w:tblHeader w:val="false"/>
        </w:trPr>
        <w:tc>
          <w:tcPr>
            <w:tcW w:type="dxa" w:w="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2</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R2 — SKU suffix validation</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Yes</w:t>
            </w:r>
          </w:p>
        </w:tc>
        <w:tc>
          <w:tcPr>
            <w:tcW w:type="dxa" w:w="3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 to next row.</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R3 — Property–art reference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 checking remaining rules.</w:t>
            </w:r>
          </w:p>
        </w:tc>
      </w:tr>
      <w:tr>
        <w:trPr>
          <w:tblHeader w:val="false"/>
        </w:trPr>
        <w:tc>
          <w:tcPr>
            <w:tcW w:type="dxa" w:w="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4</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R4 — Character mapping</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w:t>
            </w:r>
          </w:p>
        </w:tc>
        <w:tc>
          <w:tcPr>
            <w:tcW w:type="dxa" w:w="3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R5 — Property mixing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w:t>
            </w:r>
          </w:p>
        </w:tc>
      </w:tr>
      <w:tr>
        <w:trPr>
          <w:tblHeader w:val="false"/>
        </w:trPr>
        <w:tc>
          <w:tcPr>
            <w:tcW w:type="dxa" w:w="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6</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R6 — Rights / NLS check</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w:t>
            </w:r>
          </w:p>
        </w:tc>
        <w:tc>
          <w:tcPr>
            <w:tcW w:type="dxa" w:w="3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R7 — TM device selection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Only if packaging data present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skip R8 and R9.</w:t>
            </w:r>
          </w:p>
        </w:tc>
      </w:tr>
      <w:tr>
        <w:trPr>
          <w:tblHeader w:val="false"/>
        </w:trPr>
        <w:tc>
          <w:tcPr>
            <w:tcW w:type="dxa" w:w="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8</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R8 — TM size &amp; placement</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Only if packaging data present</w:t>
            </w:r>
          </w:p>
        </w:tc>
        <w:tc>
          <w:tcPr>
            <w:tcW w:type="dxa" w:w="3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 continue to R9.</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9</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R9 — Legal line / URL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Only if packaging data present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Record error.</w:t>
            </w:r>
          </w:p>
        </w:tc>
      </w:tr>
    </w:tbl>
    <w:p>
      <w:pPr>
        <w:spacing w:after="40" w:before="40"/>
      </w:pPr>
      <w:r>
        <w:rPr>
          <w:sz w:val="22"/>
          <w:szCs w:val="22"/>
        </w:rPr>
        <w:t xml:space="preserve"/>
      </w:r>
    </w:p>
    <w:p>
      <w:pPr>
        <w:spacing w:after="40" w:before="40"/>
      </w:pPr>
      <w:r>
        <w:rPr>
          <w:sz w:val="22"/>
          <w:szCs w:val="22"/>
        </w:rPr>
        <w:t xml:space="preserve"/>
      </w:r>
    </w:p>
    <w:p>
      <w:pPr>
        <w:pStyle w:val="Heading1"/>
        <w:spacing w:after="160" w:before="360"/>
      </w:pPr>
      <w:r>
        <w:rPr>
          <w:rFonts w:ascii="Arial" w:cs="Arial" w:eastAsia="Arial" w:hAnsi="Arial"/>
          <w:b/>
          <w:bCs/>
          <w:color w:val="1C2B2B"/>
          <w:sz w:val="32"/>
          <w:szCs w:val="32"/>
        </w:rPr>
        <w:t xml:space="preserve">2. Output Specification</w:t>
      </w:r>
    </w:p>
    <w:p>
      <w:pPr>
        <w:spacing w:after="80" w:before="60"/>
      </w:pPr>
      <w:r>
        <w:rPr>
          <w:rFonts w:ascii="Arial" w:cs="Arial" w:eastAsia="Arial" w:hAnsi="Arial"/>
          <w:color w:val="000000"/>
          <w:sz w:val="22"/>
          <w:szCs w:val="22"/>
        </w:rPr>
        <w:t xml:space="preserve">The engine produces two output files per run:</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b/>
          <w:bCs/>
          <w:color w:val="000000"/>
          <w:sz w:val="22"/>
          <w:szCs w:val="22"/>
        </w:rPr>
        <w:t xml:space="preserve">Pass file: </w:t>
      </w:r>
      <w:r>
        <w:rPr>
          <w:rFonts w:ascii="Arial" w:cs="Arial" w:eastAsia="Arial" w:hAnsi="Arial"/>
          <w:color w:val="000000"/>
          <w:sz w:val="22"/>
          <w:szCs w:val="22"/>
        </w:rPr>
        <w:t xml:space="preserve">All rows where all applicable rules returned PASS. Columns: all original input columns + validation_status (PASS) + run_timestamp.</w:t>
      </w:r>
    </w:p>
    <w:p>
      <w:pPr>
        <w:pStyle w:val="ListParagraph"/>
        <w:numPr>
          <w:ilvl w:val="0"/>
          <w:numId w:val="2"/>
        </w:numPr>
        <w:spacing w:after="40" w:before="40"/>
      </w:pPr>
      <w:r>
        <w:rPr>
          <w:rFonts w:ascii="Arial" w:cs="Arial" w:eastAsia="Arial" w:hAnsi="Arial"/>
          <w:b/>
          <w:bCs/>
          <w:color w:val="000000"/>
          <w:sz w:val="22"/>
          <w:szCs w:val="22"/>
        </w:rPr>
        <w:t xml:space="preserve">Error file: </w:t>
      </w:r>
      <w:r>
        <w:rPr>
          <w:rFonts w:ascii="Arial" w:cs="Arial" w:eastAsia="Arial" w:hAnsi="Arial"/>
          <w:color w:val="000000"/>
          <w:sz w:val="22"/>
          <w:szCs w:val="22"/>
        </w:rPr>
        <w:t xml:space="preserve">All rows where one or more rules returned FAIL. Columns: all original input columns + failed_rules (comma-separated list of rule IDs) + failure_reasons (human-readable, one per rule) + run_timestamp.</w:t>
      </w:r>
    </w:p>
    <w:p>
      <w:pPr>
        <w:spacing w:after="40" w:before="40"/>
      </w:pPr>
      <w:r>
        <w:rPr>
          <w:sz w:val="22"/>
          <w:szCs w:val="22"/>
        </w:rPr>
        <w:t xml:space="preserve"/>
      </w:r>
    </w:p>
    <w:p>
      <w:pPr>
        <w:spacing w:after="80" w:before="60"/>
      </w:pPr>
      <w:r>
        <w:rPr>
          <w:rFonts w:ascii="Arial" w:cs="Arial" w:eastAsia="Arial" w:hAnsi="Arial"/>
          <w:color w:val="000000"/>
          <w:sz w:val="22"/>
          <w:szCs w:val="22"/>
        </w:rPr>
        <w:t xml:space="preserve">Example error row output:</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Style #</w:t>
            </w:r>
          </w:p>
        </w:tc>
        <w:tc>
          <w:tcPr>
            <w:tcW w:type="dxa" w:w="1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Property</w:t>
            </w:r>
          </w:p>
        </w:tc>
        <w:tc>
          <w:tcPr>
            <w:tcW w:type="dxa" w:w="1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failed_rules</w:t>
            </w:r>
          </w:p>
        </w:tc>
        <w:tc>
          <w:tcPr>
            <w:tcW w:type="dxa" w:w="45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failure_reasons</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BPY6774XYZ</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Frozen 2</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R2, R3</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R2: Suffix 'XYZ' not in mapping table. | R3: Property 'Frozen 2' not found in approved hierarchy.</w:t>
            </w:r>
          </w:p>
        </w:tc>
      </w:tr>
    </w:tbl>
    <w:p>
      <w:pPr>
        <w:spacing w:after="40" w:before="40"/>
      </w:pPr>
      <w:r>
        <w:rPr>
          <w:sz w:val="22"/>
          <w:szCs w:val="22"/>
        </w:rPr>
        <w:t xml:space="preserve"/>
      </w:r>
    </w:p>
    <w:p>
      <w:pPr>
        <w:spacing w:after="40" w:before="40"/>
      </w:pPr>
      <w:r>
        <w:rPr>
          <w:sz w:val="22"/>
          <w:szCs w:val="22"/>
        </w:rPr>
        <w:t xml:space="preserve"/>
      </w:r>
    </w:p>
    <w:p>
      <w:pPr>
        <w:pStyle w:val="Heading1"/>
        <w:spacing w:after="160" w:before="360"/>
      </w:pPr>
      <w:r>
        <w:rPr>
          <w:rFonts w:ascii="Arial" w:cs="Arial" w:eastAsia="Arial" w:hAnsi="Arial"/>
          <w:b/>
          <w:bCs/>
          <w:color w:val="1C2B2B"/>
          <w:sz w:val="32"/>
          <w:szCs w:val="32"/>
        </w:rPr>
        <w:t xml:space="preserve">3. Prototype Scope (Demo v0.1)</w:t>
      </w:r>
    </w:p>
    <w:p>
      <w:pPr>
        <w:spacing w:after="80" w:before="60"/>
      </w:pPr>
      <w:r>
        <w:rPr>
          <w:rFonts w:ascii="Arial" w:cs="Arial" w:eastAsia="Arial" w:hAnsi="Arial"/>
          <w:color w:val="000000"/>
          <w:sz w:val="22"/>
          <w:szCs w:val="22"/>
        </w:rPr>
        <w:t xml:space="preserve">The following rules are included in the Monday/Tuesday management demo:</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Rule</w:t>
            </w:r>
          </w:p>
        </w:tc>
        <w:tc>
          <w:tcPr>
            <w:tcW w:type="dxa" w:w="1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In Demo</w:t>
            </w:r>
          </w:p>
        </w:tc>
        <w:tc>
          <w:tcPr>
            <w:tcW w:type="dxa" w:w="55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Reason</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 Mandatory field check</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Yes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Fully Excel-based, no external lookup, covers most common rejection reason.</w:t>
            </w:r>
          </w:p>
        </w:tc>
      </w:tr>
      <w:tr>
        <w:trPr>
          <w:tblHeader w:val="false"/>
        </w:trP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R2 — SKU suffix validation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Yes</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Fully Excel-based, single lookup table, clean mechanical logic.</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R3 — Property–art reference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Partial</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Property existence check only; Art Ref cross-check requires DMC access (Phase 2).</w:t>
            </w:r>
          </w:p>
        </w:tc>
      </w:tr>
      <w:tr>
        <w:trPr>
          <w:tblHeader w:val="false"/>
        </w:trP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R4 – R9</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No</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Require additional reference files, DMC portal access, or image/PDF parsing.</w:t>
            </w:r>
          </w:p>
        </w:tc>
      </w:tr>
    </w:tbl>
    <w:p>
      <w:pPr>
        <w:spacing w:after="40" w:before="40"/>
      </w:pPr>
      <w:r>
        <w:rPr>
          <w:sz w:val="22"/>
          <w:szCs w:val="22"/>
        </w:rPr>
        <w:t xml:space="preserve"/>
      </w:r>
    </w:p>
    <w:p>
      <w:pPr>
        <w:spacing w:after="80" w:before="60"/>
      </w:pPr>
      <w:r>
        <w:rPr>
          <w:rFonts w:ascii="Arial" w:cs="Arial" w:eastAsia="Arial" w:hAnsi="Arial"/>
          <w:color w:val="000000"/>
          <w:sz w:val="22"/>
          <w:szCs w:val="22"/>
        </w:rPr>
        <w:t xml:space="preserve">The demo will use 5 sample rows: 3 that pass all active rules and 2 with deliberate failures on different rules. A 'Demo v0.1 — For Illustration Purposes' banner will be displayed in the UI.</w:t>
      </w:r>
    </w:p>
    <w:p>
      <w:pPr>
        <w:spacing w:after="40" w:before="40"/>
      </w:pPr>
      <w:r>
        <w:rPr>
          <w:sz w:val="22"/>
          <w:szCs w:val="22"/>
        </w:rPr>
        <w:t xml:space="preserve"/>
      </w:r>
    </w:p>
    <w:p>
      <w:pPr>
        <w:spacing w:after="40" w:before="40"/>
      </w:pPr>
      <w:r>
        <w:rPr>
          <w:sz w:val="22"/>
          <w:szCs w:val="22"/>
        </w:rPr>
        <w:t xml:space="preserve"/>
      </w:r>
    </w:p>
    <w:p>
      <w:pPr>
        <w:pStyle w:val="Heading1"/>
        <w:spacing w:after="160" w:before="360"/>
      </w:pPr>
      <w:r>
        <w:rPr>
          <w:rFonts w:ascii="Arial" w:cs="Arial" w:eastAsia="Arial" w:hAnsi="Arial"/>
          <w:b/>
          <w:bCs/>
          <w:color w:val="1C2B2B"/>
          <w:sz w:val="32"/>
          <w:szCs w:val="32"/>
        </w:rPr>
        <w:t xml:space="preserve">4. Source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File</w:t>
            </w:r>
          </w:p>
        </w:tc>
        <w:tc>
          <w:tcPr>
            <w:tcW w:type="dxa" w:w="120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Rules</w:t>
            </w:r>
          </w:p>
        </w:tc>
        <w:tc>
          <w:tcPr>
            <w:tcW w:type="dxa" w:w="4960"/>
            <w:tcBorders>
              <w:top w:val="single" w:color="DDDDDD" w:sz="1"/>
              <w:left w:val="single" w:color="DDDDDD" w:sz="1"/>
              <w:bottom w:val="single" w:color="DDDDDD" w:sz="1"/>
              <w:right w:val="single" w:color="DDDDDD" w:sz="1"/>
            </w:tcBorders>
            <w:shd w:fill="1A6B5A" w:val="clear"/>
            <w:tcMar>
              <w:top w:type="dxa" w:w="100"/>
              <w:left w:type="dxa" w:w="150"/>
              <w:bottom w:type="dxa" w:w="100"/>
              <w:right w:type="dxa" w:w="150"/>
            </w:tcMar>
            <w:vAlign w:val="top"/>
          </w:tcPr>
          <w:p>
            <w:r>
              <w:rPr>
                <w:rFonts w:ascii="Arial" w:cs="Arial" w:eastAsia="Arial" w:hAnsi="Arial"/>
                <w:b/>
                <w:bCs/>
                <w:color w:val="FFFFFF"/>
                <w:sz w:val="20"/>
                <w:szCs w:val="20"/>
              </w:rPr>
              <w:t xml:space="preserve">Key content used</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Styles_16_1.xlsx</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R1, R2</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Primary input: Style #, Property, Art Ref #, Item Type, Customer, Division, Licensing Status</w:t>
            </w:r>
          </w:p>
        </w:tc>
      </w:tr>
      <w:tr>
        <w:trPr>
          <w:tblHeader w:val="false"/>
        </w:trPr>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DISNEY_PROPERTIES_7.xlsx (Sheet2)</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R2</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Suffix code mapping: DSC, DSX, DST, DSM, DCH, DSY, DCX, KDH</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DISNEY_PROPERTIES_7.xlsx (Sheet1)</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R3</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Full Disney and Pixar property name list</w:t>
            </w:r>
          </w:p>
        </w:tc>
      </w:tr>
      <w:tr>
        <w:trPr>
          <w:tblHeader w:val="false"/>
        </w:trPr>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BioWorld_Cross_Franchise_Property_Hierarchy.xlsx</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R3, R4, R5</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Property list with franchise (Disney/Marvel/Lucas), characters, DO NOT USE flags</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Copy_of_Disney_Apparel_Accessories_NLS.xlsx</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R6</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Contract #293998, Jan 2024–Dec 2026, property-suffix-customer scope</w:t>
            </w:r>
          </w:p>
        </w:tc>
      </w:tr>
      <w:tr>
        <w:trPr>
          <w:tblHeader w:val="false"/>
        </w:trPr>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Copy_of_Disney_Home_NLS.xlsx</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R6</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Jan 2025–Dec 2026, home product scope</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TM_Guideline_1.pdf (1635190 v2)</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R7, R8, R9</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Decision tree (p.17), 3 TM device types, size tiers (p.24), placement (p.26–29), legal line (p.33)</w:t>
            </w:r>
          </w:p>
        </w:tc>
      </w:tr>
      <w:tr>
        <w:trPr>
          <w:tblHeader w:val="false"/>
        </w:trPr>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Brand_Management_Update PDF (Nov 2023)</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R7</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3-Circle Head TM for Disney only (not Pixar), Saluting Mickey/Minnie requirement, old lockup discontinued</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Fw_Trademark_Updates_2025_2026.pdf (Oct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R8</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TM device now required on garment branding for items without hangtags</w:t>
            </w:r>
          </w:p>
        </w:tc>
      </w:tr>
      <w:tr>
        <w:trPr>
          <w:tblHeader w:val="false"/>
        </w:trPr>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Re_120576408_DTG_Branding.pdf (Feb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R8</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vAlign w:val="top"/>
          </w:tcPr>
          <w:p>
            <w:r>
              <w:rPr>
                <w:rFonts w:ascii="Arial" w:cs="Arial" w:eastAsia="Arial" w:hAnsi="Arial"/>
                <w:b w:val="false"/>
                <w:bCs w:val="false"/>
                <w:color w:val="000000"/>
                <w:sz w:val="20"/>
                <w:szCs w:val="20"/>
              </w:rPr>
              <w:t xml:space="preserve">DTG neck label: sandwich TM between logo and legal line when COO/sizing info absent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5A" w:sz="4" w:space="1"/>
      </w:pBdr>
      <w:spacing w:after="0" w:before="120"/>
      <w:jc w:val="right"/>
    </w:pPr>
    <w:r>
      <w:rPr>
        <w:rFonts w:ascii="Arial" w:cs="Arial" w:eastAsia="Arial" w:hAnsi="Arial"/>
        <w:color w:val="888888"/>
        <w:sz w:val="18"/>
        <w:szCs w:val="18"/>
      </w:rPr>
      <w:t xml:space="preserve">Bioworld Merchandising  |  Version 1.0  |  Page </w:t>
    </w:r>
    <w:r>
      <type>PAGE_NUMBER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5A" w:sz="4" w:space="1"/>
      </w:pBdr>
      <w:spacing w:after="120" w:before="0"/>
    </w:pPr>
    <w:r>
      <w:rPr>
        <w:rFonts w:ascii="Arial" w:cs="Arial" w:eastAsia="Arial" w:hAnsi="Arial"/>
        <w:b/>
        <w:bCs/>
        <w:color w:val="1A6B5A"/>
        <w:sz w:val="18"/>
        <w:szCs w:val="18"/>
      </w:rPr>
      <w:t xml:space="preserve">Disney Licensing Rule Engine — Rules Reference Document</w:t>
    </w:r>
    <w:r>
      <w:rPr>
        <w:rFonts w:ascii="Arial" w:cs="Arial" w:eastAsia="Arial" w:hAnsi="Arial"/>
        <w:color w:val="888888"/>
        <w:sz w:val="18"/>
        <w:szCs w:val="18"/>
      </w:rPr>
      <w:t xml:space="preserve">   |   For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2B2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6B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2026-04-09T14:31:02.547Z</dcterms:created>
  <dcterms:modified xsi:type="dcterms:W3CDTF">2026-04-09T14:31:02.548Z</dcterms:modified>
</cp:coreProperties>
</file>

<file path=docProps/custom.xml><?xml version="1.0" encoding="utf-8"?>
<Properties xmlns="http://schemas.openxmlformats.org/officeDocument/2006/custom-properties" xmlns:vt="http://schemas.openxmlformats.org/officeDocument/2006/docPropsVTypes"/>
</file>