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CloudServe Capstone - 20-Minute Video Demo Script</w:t>
      </w:r>
    </w:p>
    <w:p>
      <w:pPr>
        <w:pStyle w:val="Heading1"/>
      </w:pPr>
      <w:r>
        <w:t>⏱️ 0:00 - 2:00 | The Problem</w:t>
      </w:r>
    </w:p>
    <w:p>
      <w:pPr>
        <w:pStyle w:val="IntenseQuote"/>
      </w:pPr>
      <w:r>
        <w:t>Camera on you. Screen showing the CloudServe logo or project title.</w:t>
      </w:r>
    </w:p>
    <w:p>
      <w:pPr>
        <w:pStyle w:val="Heading2"/>
      </w:pPr>
      <w:r>
        <w:t>What to Say:</w:t>
      </w:r>
    </w:p>
    <w:p>
      <w:r>
        <w:t>Hi, I'm [Your Name], the Lead Forward Deployed AI Engineer for the CloudServe Solutions project. CloudServe initially came to us asking for a simple conversational chatbot. They are drowning in 500+ tickets a week with only 6 agents, and their 2-hour SLA is being breached constantly, taking 8-12 hours to resolve.</w:t>
        <w:br/>
        <w:br/>
        <w:t>However, building a basic chatbot would have been disastrous. Support automation is not a text-generation problem; it's a strict routing and safety problem. About 17.4% of their tickets are highly sensitive—like security vulnerabilities or billing disputes. An ungrounded chatbot hallucinating a response in those scenarios is a catastrophic liability.</w:t>
      </w:r>
    </w:p>
    <w:p>
      <w:pPr>
        <w:pStyle w:val="Heading1"/>
      </w:pPr>
      <w:r>
        <w:t>⏱️ 2:00 - 5:00 | What Discovery Told You</w:t>
      </w:r>
    </w:p>
    <w:p>
      <w:pPr>
        <w:pStyle w:val="IntenseQuote"/>
      </w:pPr>
      <w:r>
        <w:t>Screen sharing: Show your Stage 1 Discovery Workbook or a slide with key metrics.</w:t>
      </w:r>
    </w:p>
    <w:p>
      <w:pPr>
        <w:pStyle w:val="Heading2"/>
      </w:pPr>
      <w:r>
        <w:t>What to Say:</w:t>
      </w:r>
    </w:p>
    <w:p>
      <w:r>
        <w:t>When we looked at the data from the 500 development tickets, two massive findings shifted our entire design.</w:t>
        <w:br/>
        <w:br/>
        <w:t>First, CloudServe's First Contact Resolution (FCR) was failing at 43.8%. But the real shock? 71.4% of their tickets were already answerable from their existing 29 knowledge base articles. The problem wasn't that agents couldn't write answers; the problem was Tier 1 couldn't find the documentation fast enough, escalating raw tickets to Tier 2 without context.</w:t>
        <w:br/>
        <w:br/>
        <w:t>Second, we found a distinct language equity issue. Non-fluent English tickets were taking an average of 58 minutes longer to resolve than fluent ones. We knew the solution had to bridge this gap.</w:t>
      </w:r>
    </w:p>
    <w:p>
      <w:pPr>
        <w:pStyle w:val="Heading1"/>
      </w:pPr>
      <w:r>
        <w:t>⏱️ 5:00 - 7:00 | The System</w:t>
      </w:r>
    </w:p>
    <w:p>
      <w:pPr>
        <w:pStyle w:val="IntenseQuote"/>
      </w:pPr>
      <w:r>
        <w:t>Screen sharing: Open docs/cloudserve-architecture.html Mermaid diagram.</w:t>
      </w:r>
    </w:p>
    <w:p>
      <w:pPr>
        <w:pStyle w:val="Heading2"/>
      </w:pPr>
      <w:r>
        <w:t>What to Say:</w:t>
      </w:r>
    </w:p>
    <w:p>
      <w:r>
        <w:t>Instead of a chatbot, we built a deterministic, auditable LangGraph pipeline.</w:t>
        <w:br/>
        <w:t>1. Ingestion: It normalizes inputs across four different channels (Email, Chat, Forum, Docs).</w:t>
        <w:br/>
        <w:t>2. Classification &amp; Retrieval: It classifies the intent across 22 classes and retrieves answers from 145 discrete documentation chunks using dense vector semantic search.</w:t>
        <w:br/>
        <w:t>3. Deterministic Routing: It does not let the LLM decide what to do. If the confidence falls below our tuned threshold of 0.55, or if hard safety guardrails trigger, it halts and cleanly routes the ticket to a human.</w:t>
      </w:r>
    </w:p>
    <w:p>
      <w:pPr>
        <w:pStyle w:val="Heading1"/>
      </w:pPr>
      <w:r>
        <w:t>⏱️ 7:00 - 14:00 | The Live Demonstration</w:t>
      </w:r>
    </w:p>
    <w:p>
      <w:pPr>
        <w:pStyle w:val="IntenseQuote"/>
      </w:pPr>
      <w:r>
        <w:t>Screen sharing: Terminal window. Clear your screen. Make sure FastAPI server is running.</w:t>
      </w:r>
    </w:p>
    <w:p>
      <w:pPr>
        <w:pStyle w:val="Heading2"/>
      </w:pPr>
      <w:r>
        <w:t>Action 1: The Success Case</w:t>
      </w:r>
    </w:p>
    <w:p>
      <w:r>
        <w:t>What to Say: First, a highly answerable forum ticket regarding a 401 API key issue.</w:t>
      </w:r>
    </w:p>
    <w:p>
      <w:r>
        <w:t>What to Do (Paste this JSON into Swagger UI POST /tickets):</w:t>
      </w:r>
    </w:p>
    <w:p>
      <w:r>
        <w:t>{</w:t>
        <w:br/>
        <w:t xml:space="preserve">  "ticket_id": "VAL-0001",</w:t>
        <w:br/>
        <w:t xml:space="preserve">  "channel": "forum",</w:t>
        <w:br/>
        <w:t xml:space="preserve">  "content": "One of our production keys started returning 401 at around yesterday morning without any change on our side. Other keys against the same account are still working.",</w:t>
        <w:br/>
        <w:t xml:space="preserve">  "customer_tier": "business"</w:t>
        <w:br/>
        <w:t>}</w:t>
      </w:r>
    </w:p>
    <w:p>
      <w:r>
        <w:t>Notice the action is auto_respond. It passed the confidence threshold, and generated a response strictly bounded by citations, which you can see explicitly mapped here as [DOC-AUTH-004].</w:t>
      </w:r>
    </w:p>
    <w:p>
      <w:pPr>
        <w:pStyle w:val="Heading2"/>
      </w:pPr>
      <w:r>
        <w:t>Action 2: The Low Confidence Escalation</w:t>
      </w:r>
    </w:p>
    <w:p>
      <w:r>
        <w:t>What to Say: Now, let's submit a vague ticket where the customer just asks 'How do I deploy a docker container?' with no context.</w:t>
      </w:r>
    </w:p>
    <w:p>
      <w:r>
        <w:t>What to Do (Paste this JSON into Swagger UI POST /tickets):</w:t>
      </w:r>
    </w:p>
    <w:p>
      <w:r>
        <w:t>{</w:t>
        <w:br/>
        <w:t xml:space="preserve">  "ticket_id": "T-100",</w:t>
        <w:br/>
        <w:t xml:space="preserve">  "channel": "email",</w:t>
        <w:br/>
        <w:t xml:space="preserve">  "content": "How do I deploy a docker container?",</w:t>
        <w:br/>
        <w:t xml:space="preserve">  "customer_tier": "standard"</w:t>
        <w:br/>
        <w:t>}</w:t>
      </w:r>
    </w:p>
    <w:p>
      <w:r>
        <w:t>The system rightfully calculates a low confidence score. Instead of hallucinating, the action switches to escalate. But look at the response_text—instead of sending a raw ticket, it prepares a structured Escalation Summary for the Tier 2 engineer, saving them time.</w:t>
      </w:r>
    </w:p>
    <w:p>
      <w:pPr>
        <w:pStyle w:val="Heading2"/>
      </w:pPr>
      <w:r>
        <w:t>Action 3: The PII Guardrail Firing</w:t>
      </w:r>
    </w:p>
    <w:p>
      <w:r>
        <w:t>What to Say: Finally, a scenario where a user carelessly pastes their credit card.</w:t>
      </w:r>
    </w:p>
    <w:p>
      <w:r>
        <w:t>What to Do (Paste this JSON into Swagger UI POST /tickets):</w:t>
      </w:r>
    </w:p>
    <w:p>
      <w:r>
        <w:t>{</w:t>
        <w:br/>
        <w:t xml:space="preserve">  "ticket_id": "T-PII-01",</w:t>
        <w:br/>
        <w:t xml:space="preserve">  "channel": "email",</w:t>
        <w:br/>
        <w:t xml:space="preserve">  "content": "Please update my billing to use the new card: 4111-2222-3333-4444.",</w:t>
        <w:br/>
        <w:t xml:space="preserve">  "customer_tier": "standard"</w:t>
        <w:br/>
        <w:t>}</w:t>
      </w:r>
    </w:p>
    <w:p>
      <w:r>
        <w:t>Notice the PII guardrail reads fail. Regardless of the confidence score, this triggers a hard block and forces an immediate escalation. Zero PII leaks.</w:t>
      </w:r>
    </w:p>
    <w:p>
      <w:pPr>
        <w:pStyle w:val="Heading2"/>
      </w:pPr>
      <w:r>
        <w:t>Action 4: Unattended Validation Gate (A9)</w:t>
      </w:r>
    </w:p>
    <w:p>
      <w:r>
        <w:t>What to Say: As per the strict acceptance criteria, the system must process the entire validation set unattended.</w:t>
      </w:r>
    </w:p>
    <w:p>
      <w:r>
        <w:t>What to Do (Run in Anaconda Python Terminal):</w:t>
      </w:r>
    </w:p>
    <w:p>
      <w:r>
        <w:t>python evaluation/harness.py --input data/validation_tickets.json --output evaluation/results/</w:t>
      </w:r>
    </w:p>
    <w:p>
      <w:r>
        <w:t>In just under two seconds, the system seamlessly processed all 80 validation tickets without crashing, logging every single decision 1:1.</w:t>
      </w:r>
    </w:p>
    <w:p>
      <w:pPr>
        <w:pStyle w:val="Heading1"/>
      </w:pPr>
      <w:r>
        <w:t>⏱️ 14:00 - 17:00 | What the Numbers Say</w:t>
      </w:r>
    </w:p>
    <w:p>
      <w:pPr>
        <w:pStyle w:val="IntenseQuote"/>
      </w:pPr>
      <w:r>
        <w:t>Screen sharing: Open evaluation/results/evaluation_report.md</w:t>
      </w:r>
    </w:p>
    <w:p>
      <w:pPr>
        <w:pStyle w:val="Heading2"/>
      </w:pPr>
      <w:r>
        <w:t>What to Say:</w:t>
      </w:r>
    </w:p>
    <w:p>
      <w:r>
        <w:t>Looking at the automated markdown report generated by that run:</w:t>
        <w:br/>
        <w:t>- Business Impact: We project our First Contact Resolution to jump from 43% to 83.8%, saving roughly 399 agent hours from just this dataset.</w:t>
        <w:br/>
        <w:t>- Technical Metrics: We achieved 100% Intent Classification Accuracy and a citation precision of 88.1%. It is blazing fast with a p95 latency of just 19.16 milliseconds.</w:t>
        <w:br/>
        <w:t>- Governance Metrics: Remember the language equity gap? The system achieved an 84% auto-response rate for non-fluent English, successfully bridging the gap we found in discovery.</w:t>
      </w:r>
    </w:p>
    <w:p>
      <w:pPr>
        <w:pStyle w:val="Heading1"/>
      </w:pPr>
      <w:r>
        <w:t>⏱️ 17:00 - 18:00 | Governance and Risk</w:t>
      </w:r>
    </w:p>
    <w:p>
      <w:pPr>
        <w:pStyle w:val="IntenseQuote"/>
      </w:pPr>
      <w:r>
        <w:t>Camera back on you, or showing the Governance Framework doc</w:t>
      </w:r>
    </w:p>
    <w:p>
      <w:pPr>
        <w:pStyle w:val="Heading2"/>
      </w:pPr>
      <w:r>
        <w:t>What to Say:</w:t>
      </w:r>
    </w:p>
    <w:p>
      <w:r>
        <w:t>When dealing with automated support, the biggest risk is model drift or a sudden API provider outage. We mitigated this in our Governance Framework with a tiered fallback strategy.</w:t>
        <w:br/>
        <w:br/>
        <w:t>If our primary provider (Groq) experiences an outage, the system falls back to an OpenRouter LLM endpoint. If both providers suffer a catastrophic failure, the Lead Engineer simply hits the Kill Switch by setting the operational threshold (tau) to 1.0. This instantly turns the system into a pass-through router, forcing 100% of tickets to human agents without requiring a code rollback or downtime.</w:t>
      </w:r>
    </w:p>
    <w:p>
      <w:pPr>
        <w:pStyle w:val="Heading1"/>
      </w:pPr>
      <w:r>
        <w:t>⏱️ 18:00 - 20:00 | What You Would Do Next</w:t>
      </w:r>
    </w:p>
    <w:p>
      <w:pPr>
        <w:pStyle w:val="Heading2"/>
      </w:pPr>
      <w:r>
        <w:t>What to Say:</w:t>
      </w:r>
    </w:p>
    <w:p>
      <w:r>
        <w:t>The most valuable lesson came during Stage 5 when we revised the Product Requirements Document. We originally assumed a static confidence threshold of 0.80 would be best. However, testing showed that calibrated multi-class models naturally spread probabilities; 0.80 caused massive false escalations. We dynamically lowered the threshold to 0.55 while tightening the safety guardrails to compensate.</w:t>
        <w:br/>
        <w:br/>
        <w:t>If we continued this project, my next step would be implementing a telemetry cron-job to monitor tickets that fall just below that 0.55 threshold. This would proactively alert technical writers to draft new knowledge base articles for emerging issues before they become a crisis.</w:t>
        <w:br/>
        <w:b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