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Spring boot with mysql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57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a product name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And add Spring web ,spring boot DevTools,lombok,h2database,mysql driver ,spring data jpa added dependencies 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Pom.xml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937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5499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467100" cy="1333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 mydb;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table giit_employee;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Insert into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  <w:t xml:space="preserve">giit_employee(id,employeeName,salary,status)values(1,”shiva”,322332,”working”);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6125" cy="12096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Used entity folder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I have used  some variable  and define Id annotation and use GeneratedValue annotation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31432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Used repository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There is create interface  and extends JpaRepository and entity class name and take Integer based id and used findByEmployeeName method and take String type name pass it 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15144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Used service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There is use business logic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We are using service file  and define object type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After that create an argument type of GIIT file  method name of saveGIIT and return and save it 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Similarly saveGIITs method of argument and return and save all it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After that create another no argument method and return findAll 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After that create a method pass argument type of integer id and return find by id and orelse not null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Used controller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Create an object type of GIITService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Define autowired annotation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There is using postmapping annotation and define variable and return it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Postman run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Post mapping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148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