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Document</w:t>
      </w:r>
    </w:p>
    <w:p>
      <w:pPr>
        <w:pStyle w:val="Heading2"/>
      </w:pPr>
      <w:r>
        <w:t>1.1 Purpose</w:t>
      </w:r>
    </w:p>
    <w:p>
      <w:r>
        <w:t>This policy provides guidance for employee leave, compliance, and modern workplace practices.</w:t>
      </w:r>
    </w:p>
    <w:p>
      <w:pPr>
        <w:pStyle w:val="Heading2"/>
      </w:pPr>
      <w:r>
        <w:t>1.2 Scope</w:t>
      </w:r>
    </w:p>
    <w:p>
      <w:r>
        <w:t>Applies to employees and contractors in all regions.</w:t>
      </w:r>
    </w:p>
    <w:p>
      <w:pPr>
        <w:pStyle w:val="Heading2"/>
      </w:pPr>
      <w:r>
        <w:t>2.1 Annual Leave</w:t>
      </w:r>
    </w:p>
    <w:p>
      <w:r>
        <w:t>Employees are entitled to 22 days of annual leave each year.</w:t>
      </w:r>
    </w:p>
    <w:p>
      <w:pPr>
        <w:pStyle w:val="Heading2"/>
      </w:pPr>
      <w:r>
        <w:t>2.2 Sick Leave</w:t>
      </w:r>
    </w:p>
    <w:p>
      <w:r>
        <w:t>Employees may use up to 12 days of paid sick leave.</w:t>
      </w:r>
    </w:p>
    <w:p>
      <w:pPr>
        <w:pStyle w:val="Heading2"/>
      </w:pPr>
      <w:r>
        <w:t>2.3 Compliance</w:t>
      </w:r>
    </w:p>
    <w:p>
      <w:r>
        <w:t>Leave policies must follow labor regulations and audit requirements.</w:t>
      </w:r>
    </w:p>
    <w:p>
      <w:pPr>
        <w:pStyle w:val="Heading2"/>
      </w:pPr>
      <w:r>
        <w:t>3.1 Data Privacy</w:t>
      </w:r>
    </w:p>
    <w:p>
      <w:r>
        <w:t>The company collects only necessary employee data and ensures privacy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