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730C" w14:textId="77777777" w:rsidR="006B0BCB" w:rsidRDefault="00000000">
      <w:pPr>
        <w:pStyle w:val="Heading1"/>
      </w:pPr>
      <w:r>
        <w:t>Geldium Collections Strategy Report</w:t>
      </w:r>
    </w:p>
    <w:p w14:paraId="256B8A59" w14:textId="77777777" w:rsidR="006B0BCB" w:rsidRDefault="00000000">
      <w:r>
        <w:t>Prepared for: Head of Collections</w:t>
      </w:r>
    </w:p>
    <w:p w14:paraId="29A73CE5" w14:textId="77777777" w:rsidR="006B0BCB" w:rsidRDefault="00000000">
      <w:r>
        <w:t>Prepared by: AI Transformation Consultant Team</w:t>
      </w:r>
    </w:p>
    <w:p w14:paraId="0FD7D863" w14:textId="77777777" w:rsidR="006B0BCB" w:rsidRDefault="00000000">
      <w:r>
        <w:t>Objective: Translate predictive model insights into actionable recommendations to reduce delinquency and strengthen risk management.</w:t>
      </w:r>
      <w:r>
        <w:br/>
      </w:r>
    </w:p>
    <w:p w14:paraId="66951478" w14:textId="77777777" w:rsidR="006B0BCB" w:rsidRDefault="00000000">
      <w:pPr>
        <w:pStyle w:val="Heading2"/>
      </w:pPr>
      <w:r>
        <w:t>1. Summary of Predictive Insights</w:t>
      </w:r>
    </w:p>
    <w:p w14:paraId="003F3CE1" w14:textId="6942E344" w:rsidR="006B0BCB" w:rsidRDefault="00000000">
      <w:r>
        <w:t xml:space="preserve">Our predictive analysis identified key factors influencing customer delinquency. Insights were drawn from </w:t>
      </w:r>
      <w:proofErr w:type="gramStart"/>
      <w:r>
        <w:t>EDA  and</w:t>
      </w:r>
      <w:proofErr w:type="gramEnd"/>
      <w:r>
        <w:t xml:space="preserve"> predictive modeling.</w:t>
      </w:r>
    </w:p>
    <w:p w14:paraId="150F2BD4" w14:textId="77777777" w:rsidR="006B0BCB" w:rsidRDefault="00000000">
      <w:pPr>
        <w:pStyle w:val="Heading3"/>
      </w:pPr>
      <w:r>
        <w:t>High-Risk Customer Segments</w:t>
      </w:r>
    </w:p>
    <w:p w14:paraId="02111E51" w14:textId="77777777" w:rsidR="006B0BCB" w:rsidRDefault="00000000">
      <w:r>
        <w:t>- Younger customers (under 30) with short employment history and high credit utilization.</w:t>
      </w:r>
      <w:r>
        <w:br/>
        <w:t>- Customers with 2+ missed payments in the last 6 months.</w:t>
      </w:r>
      <w:r>
        <w:br/>
        <w:t>- Borrowers with Debt-to-Income (DTI) ratio above 0.5.</w:t>
      </w:r>
    </w:p>
    <w:p w14:paraId="65C4B10B" w14:textId="77777777" w:rsidR="006B0BCB" w:rsidRDefault="00000000">
      <w:pPr>
        <w:pStyle w:val="Heading3"/>
      </w:pPr>
      <w:r>
        <w:t>Top 3 Risk Factors</w:t>
      </w:r>
    </w:p>
    <w:p w14:paraId="45C8D80F" w14:textId="77777777" w:rsidR="006B0BCB" w:rsidRDefault="00000000">
      <w:r>
        <w:t>1. Missed Payments (3+): Customers with multiple missed payments are 4× more likely to default.</w:t>
      </w:r>
      <w:r>
        <w:br/>
        <w:t>2. High Credit Utilization (&gt;80%): Indicates over-leverage and limited repayment capacity.</w:t>
      </w:r>
      <w:r>
        <w:br/>
        <w:t>3. High DTI (&gt;0.5): Suggests financial strain and limited cash flow for repayments.</w:t>
      </w:r>
      <w:r>
        <w:br/>
      </w:r>
    </w:p>
    <w:p w14:paraId="45158B12" w14:textId="77777777" w:rsidR="006B0BCB" w:rsidRDefault="00000000">
      <w:r>
        <w:t>These insights show that behavioral and financial strain indicators are the strongest predictors of delinquency.</w:t>
      </w:r>
      <w:r>
        <w:br/>
      </w:r>
    </w:p>
    <w:p w14:paraId="66850049" w14:textId="77777777" w:rsidR="006B0BCB" w:rsidRDefault="00000000">
      <w:pPr>
        <w:pStyle w:val="Heading2"/>
      </w:pPr>
      <w:r>
        <w:t>2. Recommendation Framework</w:t>
      </w:r>
    </w:p>
    <w:p w14:paraId="1768ED0E" w14:textId="77777777" w:rsidR="006B0BCB" w:rsidRDefault="00000000">
      <w:r>
        <w:t>Key Insight: High credit utilization strongly increases delinquency risk.</w:t>
      </w:r>
      <w:r>
        <w:br/>
      </w:r>
    </w:p>
    <w:p w14:paraId="2F5AE138" w14:textId="77777777" w:rsidR="006B0BCB" w:rsidRDefault="00000000">
      <w:pPr>
        <w:pStyle w:val="Heading3"/>
      </w:pPr>
      <w:r>
        <w:t>SMART Recommendation</w:t>
      </w:r>
    </w:p>
    <w:p w14:paraId="4C7EDE7C" w14:textId="77777777" w:rsidR="006B0BCB" w:rsidRDefault="00000000">
      <w:r>
        <w:t>“Launch a 3-month targeted credit management and early outreach program for customers with &gt;80% utilization, aiming to reduce 30+ day delinquency in this segment by 15%.”</w:t>
      </w:r>
    </w:p>
    <w:p w14:paraId="3A2A1D47" w14:textId="77777777" w:rsidR="006B0BCB" w:rsidRDefault="00000000">
      <w:pPr>
        <w:pStyle w:val="Heading3"/>
      </w:pPr>
      <w:r>
        <w:t>Rationale</w:t>
      </w:r>
    </w:p>
    <w:p w14:paraId="7CB20BA6" w14:textId="341CF13C" w:rsidR="006B0BCB" w:rsidRDefault="00000000">
      <w:r>
        <w:t>This initiative is specific (high-utilization customers), measurable (15% reduction target), actionable (via outreach and education), relevant (addresses top risk factor) and time-bound (3 months). It aligns with Geldium’s goals of proactive collections, customer support</w:t>
      </w:r>
      <w:r w:rsidR="00D74F50">
        <w:t xml:space="preserve"> </w:t>
      </w:r>
      <w:r>
        <w:t>and responsible financial engagement.</w:t>
      </w:r>
      <w:r>
        <w:br/>
      </w:r>
    </w:p>
    <w:p w14:paraId="5575DDDC" w14:textId="77777777" w:rsidR="006B0BCB" w:rsidRDefault="00000000">
      <w:pPr>
        <w:pStyle w:val="Heading2"/>
      </w:pPr>
      <w:r>
        <w:lastRenderedPageBreak/>
        <w:t>3. Ethical and Responsible AI Considerations</w:t>
      </w:r>
    </w:p>
    <w:p w14:paraId="25CD12D2" w14:textId="77777777" w:rsidR="006B0BCB" w:rsidRDefault="00000000">
      <w:pPr>
        <w:pStyle w:val="Heading3"/>
      </w:pPr>
      <w:r>
        <w:t>Fairness Risks &amp; Mitigation</w:t>
      </w:r>
    </w:p>
    <w:p w14:paraId="4757CA38" w14:textId="77777777" w:rsidR="006B0BCB" w:rsidRDefault="00000000">
      <w:r>
        <w:t>1. Demographic Bias:</w:t>
      </w:r>
      <w:r>
        <w:br/>
        <w:t xml:space="preserve">   - Risk: Model may underperform for underrepresented groups.</w:t>
      </w:r>
      <w:r>
        <w:br/>
        <w:t xml:space="preserve">   - Mitigation: Conduct fairness audits and ensure balanced training data.</w:t>
      </w:r>
      <w:r>
        <w:br/>
        <w:t>2. Proxy Variables:</w:t>
      </w:r>
      <w:r>
        <w:br/>
        <w:t xml:space="preserve">   - Risk: Certain variables may act as proxies for protected attributes.</w:t>
      </w:r>
      <w:r>
        <w:br/>
        <w:t xml:space="preserve">   - Mitigation: Use SHAP and feature analysis to detect and eliminate bias.</w:t>
      </w:r>
      <w:r>
        <w:br/>
      </w:r>
    </w:p>
    <w:p w14:paraId="0DF5AE93" w14:textId="77777777" w:rsidR="006B0BCB" w:rsidRDefault="00000000">
      <w:pPr>
        <w:pStyle w:val="Heading3"/>
      </w:pPr>
      <w:r>
        <w:t>Explainability for Non-Technical Stakeholders</w:t>
      </w:r>
    </w:p>
    <w:p w14:paraId="2536E3EB" w14:textId="77777777" w:rsidR="006B0BCB" w:rsidRDefault="00000000">
      <w:r>
        <w:t>- Use visuals (decision trees/SHAP) to explain factor influence.</w:t>
      </w:r>
      <w:r>
        <w:br/>
        <w:t>- Explain outputs simply: “High risk due to 3 missed payments and &gt;85% utilization.”</w:t>
      </w:r>
      <w:r>
        <w:br/>
        <w:t>- Maintain transparency through documentation of decision logic and model data.</w:t>
      </w:r>
      <w:r>
        <w:br/>
      </w:r>
    </w:p>
    <w:p w14:paraId="45D26FC9" w14:textId="77777777" w:rsidR="006B0BCB" w:rsidRDefault="00000000">
      <w:pPr>
        <w:pStyle w:val="Heading3"/>
      </w:pPr>
      <w:r>
        <w:t>Responsible Use</w:t>
      </w:r>
    </w:p>
    <w:p w14:paraId="35173B73" w14:textId="77777777" w:rsidR="006B0BCB" w:rsidRDefault="00000000">
      <w:r>
        <w:t>Recommendations are designed to support, not penalize, at-risk customers — maintaining fairness and long-term trust.</w:t>
      </w:r>
      <w:r>
        <w:br/>
      </w:r>
    </w:p>
    <w:p w14:paraId="575084EA" w14:textId="77777777" w:rsidR="006B0BCB" w:rsidRDefault="00000000">
      <w:pPr>
        <w:pStyle w:val="Heading2"/>
      </w:pPr>
      <w:r>
        <w:t>4. Next Steps</w:t>
      </w:r>
    </w:p>
    <w:p w14:paraId="4707F28E" w14:textId="77777777" w:rsidR="006B0BCB" w:rsidRDefault="00000000">
      <w:r>
        <w:t>1. Pilot the outreach program for 3 months.</w:t>
      </w:r>
      <w:r>
        <w:br/>
        <w:t>2. Monitor KPIs: delinquency rate, repayment adherence, satisfaction.</w:t>
      </w:r>
      <w:r>
        <w:br/>
        <w:t>3. Review fairness and explainability quarterly.</w:t>
      </w:r>
      <w:r>
        <w:br/>
        <w:t>4. Scale effective interventions across segments.</w:t>
      </w:r>
      <w:r>
        <w:br/>
      </w:r>
    </w:p>
    <w:p w14:paraId="16F0FA7E" w14:textId="77777777" w:rsidR="006B0BCB" w:rsidRDefault="00000000">
      <w:pPr>
        <w:pStyle w:val="Heading2"/>
      </w:pPr>
      <w:r>
        <w:t>Conclusion</w:t>
      </w:r>
    </w:p>
    <w:p w14:paraId="35C68380" w14:textId="77777777" w:rsidR="006B0BCB" w:rsidRDefault="00000000">
      <w:r>
        <w:t>By translating predictive insights into targeted, fair, and transparent strategies, Geldium can enhance collections performance, reduce delinquency rates, and uphold responsible AI practices.</w:t>
      </w:r>
      <w:r>
        <w:br/>
      </w:r>
    </w:p>
    <w:sectPr w:rsidR="006B0B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81226">
    <w:abstractNumId w:val="8"/>
  </w:num>
  <w:num w:numId="2" w16cid:durableId="925380456">
    <w:abstractNumId w:val="6"/>
  </w:num>
  <w:num w:numId="3" w16cid:durableId="1180466296">
    <w:abstractNumId w:val="5"/>
  </w:num>
  <w:num w:numId="4" w16cid:durableId="1824160508">
    <w:abstractNumId w:val="4"/>
  </w:num>
  <w:num w:numId="5" w16cid:durableId="1066340442">
    <w:abstractNumId w:val="7"/>
  </w:num>
  <w:num w:numId="6" w16cid:durableId="38748257">
    <w:abstractNumId w:val="3"/>
  </w:num>
  <w:num w:numId="7" w16cid:durableId="977297898">
    <w:abstractNumId w:val="2"/>
  </w:num>
  <w:num w:numId="8" w16cid:durableId="1378579966">
    <w:abstractNumId w:val="1"/>
  </w:num>
  <w:num w:numId="9" w16cid:durableId="14204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231"/>
    <w:rsid w:val="0029639D"/>
    <w:rsid w:val="00326F90"/>
    <w:rsid w:val="006B0BCB"/>
    <w:rsid w:val="00AA1D8D"/>
    <w:rsid w:val="00B47730"/>
    <w:rsid w:val="00CB0664"/>
    <w:rsid w:val="00D74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68410"/>
  <w14:defaultImageDpi w14:val="300"/>
  <w15:docId w15:val="{193FF987-CBFF-4084-9215-D338B87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BANSAL</cp:lastModifiedBy>
  <cp:revision>3</cp:revision>
  <dcterms:created xsi:type="dcterms:W3CDTF">2013-12-23T23:15:00Z</dcterms:created>
  <dcterms:modified xsi:type="dcterms:W3CDTF">2025-10-29T13:14:00Z</dcterms:modified>
  <cp:category/>
</cp:coreProperties>
</file>