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0"/>
        </w:rPr>
        <w:t>MEMORANDUM</w:t>
      </w:r>
    </w:p>
    <w:p>
      <w:r>
        <w:rPr>
          <w:b/>
          <w:sz w:val="20"/>
        </w:rPr>
        <w:t>TO:</w:t>
      </w:r>
      <w:r>
        <w:rPr>
          <w:sz w:val="20"/>
        </w:rPr>
        <w:t xml:space="preserve"> Ritu Deshpande, Head of D2C Operations</w:t>
      </w:r>
    </w:p>
    <w:p>
      <w:r>
        <w:rPr>
          <w:b/>
          <w:sz w:val="20"/>
        </w:rPr>
        <w:t>FROM:</w:t>
      </w:r>
      <w:r>
        <w:rPr>
          <w:sz w:val="20"/>
        </w:rPr>
        <w:t xml:space="preserve"> Applied Data Science Lead</w:t>
      </w:r>
    </w:p>
    <w:p>
      <w:r>
        <w:rPr>
          <w:b/>
          <w:sz w:val="20"/>
        </w:rPr>
        <w:t>DATE:</w:t>
      </w:r>
      <w:r>
        <w:rPr>
          <w:sz w:val="20"/>
        </w:rPr>
        <w:t xml:space="preserve"> 23 October 2026</w:t>
      </w:r>
    </w:p>
    <w:p>
      <w:r>
        <w:rPr>
          <w:b/>
          <w:sz w:val="20"/>
        </w:rPr>
        <w:t>SUBJECT:</w:t>
      </w:r>
      <w:r>
        <w:rPr>
          <w:sz w:val="20"/>
        </w:rPr>
        <w:t xml:space="preserve"> Warranty Fraud Review Model — Operational Strategy &amp; Deployment Recommendations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1. The Decision</w:t>
      </w:r>
    </w:p>
    <w:p>
      <w:pPr>
        <w:spacing w:after="80"/>
      </w:pPr>
      <w:r>
        <w:rPr>
          <w:sz w:val="19"/>
        </w:rPr>
        <w:t xml:space="preserve">We recommend deploying the </w:t>
      </w:r>
      <w:r>
        <w:rPr>
          <w:b/>
          <w:sz w:val="19"/>
        </w:rPr>
        <w:t>Kestrel Warranty Review Model</w:t>
      </w:r>
      <w:r>
        <w:rPr>
          <w:sz w:val="19"/>
        </w:rPr>
        <w:t xml:space="preserve"> immediately as a real-time decision-support layer for Farhan Sheikh’s investigation desk. Instead of attempting to manually review 750 monthly claims, the model will route the </w:t>
      </w:r>
      <w:r>
        <w:rPr>
          <w:b/>
          <w:sz w:val="19"/>
        </w:rPr>
        <w:t>top 40 highest-risk claims each month</w:t>
      </w:r>
      <w:r>
        <w:rPr>
          <w:sz w:val="19"/>
        </w:rPr>
        <w:t xml:space="preserve"> to your desk, allowing the remaining ~710 low-risk claims to be auto-approved and paid without customer friction.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2. The Number: What the Model Really Does, Honestly</w:t>
      </w:r>
    </w:p>
    <w:p>
      <w:pPr>
        <w:spacing w:after="80"/>
      </w:pPr>
      <w:r>
        <w:rPr>
          <w:sz w:val="19"/>
        </w:rPr>
        <w:t xml:space="preserve">At your current desk capacity of </w:t>
      </w:r>
      <w:r>
        <w:rPr>
          <w:b/>
          <w:sz w:val="19"/>
        </w:rPr>
        <w:t>40 reviews per month</w:t>
      </w:r>
      <w:r>
        <w:rPr>
          <w:sz w:val="19"/>
        </w:rPr>
        <w:t xml:space="preserve"> (~5.3% of total claim volume):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Catches 68.2% of all fraudulent claims</w:t>
      </w:r>
      <w:r>
        <w:rPr>
          <w:sz w:val="19"/>
        </w:rPr>
        <w:t xml:space="preserve"> before payout (15 out of 22 fraud cases intercepted in our out-of-time June benchmark).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Hits 37.5% Precision:</w:t>
      </w:r>
      <w:r>
        <w:rPr>
          <w:sz w:val="19"/>
        </w:rPr>
        <w:t xml:space="preserve"> Out of 40 claims investigated, roughly 15 are confirmed frauds and 25 are genuine customer repairs held briefly. This is a </w:t>
      </w:r>
      <w:r>
        <w:rPr>
          <w:b/>
          <w:sz w:val="19"/>
        </w:rPr>
        <w:t>13.1x improvement</w:t>
      </w:r>
      <w:r>
        <w:rPr>
          <w:sz w:val="19"/>
        </w:rPr>
        <w:t xml:space="preserve"> over investigating claims at random (where only 1 in 35 would be fraud).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Does not catch 100% of fraud:</w:t>
      </w:r>
      <w:r>
        <w:rPr>
          <w:sz w:val="19"/>
        </w:rPr>
        <w:t xml:space="preserve"> Roughly 7 low-value or highly sophisticated fraud claims per month will slip through under current capacity limits.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3. The Rupees: Net Business Value &amp; Cost Breakdown</w:t>
      </w:r>
    </w:p>
    <w:p>
      <w:pPr>
        <w:spacing w:after="80"/>
      </w:pPr>
      <w:r>
        <w:rPr>
          <w:sz w:val="19"/>
        </w:rPr>
        <w:t xml:space="preserve">Every genuine claim delayed costs Kestrel </w:t>
      </w:r>
      <w:r>
        <w:rPr>
          <w:b/>
          <w:sz w:val="19"/>
        </w:rPr>
        <w:t>₹380 in customer goodwill compensation</w:t>
      </w:r>
      <w:r>
        <w:rPr>
          <w:sz w:val="19"/>
        </w:rPr>
        <w:t xml:space="preserve"> (`ops-policy.pdf` §4). Under the recommended 40-claim monthly review budget: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Gross Fraud Stopped:</w:t>
      </w:r>
      <w:r>
        <w:rPr>
          <w:sz w:val="19"/>
        </w:rPr>
        <w:t xml:space="preserve"> </w:t>
      </w:r>
      <w:r>
        <w:rPr>
          <w:b/>
          <w:sz w:val="19"/>
        </w:rPr>
        <w:t>₹21,012 per month</w:t>
      </w:r>
      <w:r>
        <w:rPr>
          <w:sz w:val="19"/>
        </w:rPr>
        <w:t xml:space="preserve"> (₹63,000+ per quarter) in fraudulent payouts prevented.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Goodwill Compensation (25 false alarms):</w:t>
      </w:r>
      <w:r>
        <w:rPr>
          <w:sz w:val="19"/>
        </w:rPr>
        <w:t xml:space="preserve"> </w:t>
      </w:r>
      <w:r>
        <w:rPr>
          <w:b/>
          <w:sz w:val="19"/>
        </w:rPr>
        <w:t>-₹9,500 per month</w:t>
      </w:r>
      <w:r>
        <w:rPr>
          <w:sz w:val="19"/>
        </w:rPr>
        <w:t xml:space="preserve"> (25 genuine repairs delayed $\times$ ₹380).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Investigation Desk Cost:</w:t>
      </w:r>
      <w:r>
        <w:rPr>
          <w:sz w:val="19"/>
        </w:rPr>
        <w:t xml:space="preserve"> </w:t>
      </w:r>
      <w:r>
        <w:rPr>
          <w:b/>
          <w:sz w:val="19"/>
        </w:rPr>
        <w:t>₹0 additional marginal expense</w:t>
      </w:r>
      <w:r>
        <w:rPr>
          <w:sz w:val="19"/>
        </w:rPr>
        <w:t xml:space="preserve"> (uses existing staff). If accounted at the ₹260 blended contact cost, expense is -₹10,400.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Net Rupee Impact:</w:t>
      </w:r>
      <w:r>
        <w:rPr>
          <w:sz w:val="19"/>
        </w:rPr>
        <w:t xml:space="preserve"> </w:t>
      </w:r>
      <w:r>
        <w:rPr>
          <w:b/>
          <w:sz w:val="19"/>
        </w:rPr>
        <w:t>+₹11,512 net profit saved every month</w:t>
      </w:r>
      <w:r>
        <w:rPr>
          <w:sz w:val="19"/>
        </w:rPr>
        <w:t xml:space="preserve"> (</w:t>
      </w:r>
      <w:r>
        <w:rPr>
          <w:b/>
          <w:sz w:val="19"/>
        </w:rPr>
        <w:t>+₹34,536 per quarter</w:t>
      </w:r>
      <w:r>
        <w:rPr>
          <w:sz w:val="19"/>
        </w:rPr>
        <w:t>).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4. Does Your "Newer Partners" Belief Hold?</w:t>
      </w:r>
    </w:p>
    <w:p>
      <w:pPr>
        <w:spacing w:after="80"/>
      </w:pPr>
      <w:r>
        <w:rPr>
          <w:sz w:val="19"/>
        </w:rPr>
      </w:r>
      <w:r>
        <w:rPr>
          <w:b/>
          <w:sz w:val="19"/>
        </w:rPr>
        <w:t>Partially true in the averages, but dangerously misleading as a management rule.</w:t>
      </w:r>
      <w:r>
        <w:rPr>
          <w:sz w:val="19"/>
        </w:rPr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The Surface Number:</w:t>
      </w:r>
      <w:r>
        <w:rPr>
          <w:sz w:val="19"/>
        </w:rPr>
        <w:t xml:space="preserve"> Partners onboarded within the last 6 months do have a higher fraud rate (</w:t>
      </w:r>
      <w:r>
        <w:rPr>
          <w:b/>
          <w:sz w:val="19"/>
        </w:rPr>
        <w:t>3.83%</w:t>
      </w:r>
      <w:r>
        <w:rPr>
          <w:sz w:val="19"/>
        </w:rPr>
        <w:t xml:space="preserve"> vs. </w:t>
      </w:r>
      <w:r>
        <w:rPr>
          <w:b/>
          <w:sz w:val="19"/>
        </w:rPr>
        <w:t>1.06%</w:t>
      </w:r>
      <w:r>
        <w:rPr>
          <w:sz w:val="19"/>
        </w:rPr>
        <w:t xml:space="preserve"> for older partners).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The True Reality:</w:t>
      </w:r>
      <w:r>
        <w:rPr>
          <w:sz w:val="19"/>
        </w:rPr>
        <w:t xml:space="preserve"> 86% of all service partners (315 of 366) have </w:t>
      </w:r>
      <w:r>
        <w:rPr>
          <w:b/>
          <w:sz w:val="19"/>
        </w:rPr>
        <w:t>never committed fraud</w:t>
      </w:r>
      <w:r>
        <w:rPr>
          <w:sz w:val="19"/>
        </w:rPr>
        <w:t xml:space="preserve">. Furthermore, our top three repeat fraud offenders are all </w:t>
      </w:r>
      <w:r>
        <w:rPr>
          <w:b/>
          <w:sz w:val="19"/>
        </w:rPr>
        <w:t>established franchise outlets operating for 2.5 to 4.0 years</w:t>
      </w:r>
      <w:r>
        <w:rPr>
          <w:sz w:val="19"/>
        </w:rPr>
        <w:t xml:space="preserve"> (`SP3207` in Hyderabad with 14 frauds; `SP3095` in Bhopal with 11 frauds).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The Root Cause:</w:t>
      </w:r>
      <w:r>
        <w:rPr>
          <w:sz w:val="19"/>
        </w:rPr>
        <w:t xml:space="preserve"> The spike in newer partner fraud was triggered by the </w:t>
      </w:r>
      <w:r>
        <w:rPr>
          <w:b/>
          <w:sz w:val="19"/>
        </w:rPr>
        <w:t>May 1 policy change</w:t>
      </w:r>
      <w:r>
        <w:rPr>
          <w:sz w:val="19"/>
        </w:rPr>
        <w:t>, where claims under ₹2,000 were auto-approved without inspection. A small cluster of 7 rogue partners onboarded in late 2025 exploited this rule.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Action:</w:t>
      </w:r>
      <w:r>
        <w:rPr>
          <w:sz w:val="19"/>
        </w:rPr>
        <w:t xml:space="preserve"> Do not penalize all new partners—most are honest and essential for Tier-2/3 expansion. Let the model flag specific suspicious claims regardless of partner age.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5. Why 97% Accuracy is the Wrong Target</w:t>
      </w:r>
    </w:p>
    <w:p>
      <w:pPr>
        <w:spacing w:after="80"/>
      </w:pPr>
      <w:r>
        <w:rPr>
          <w:sz w:val="19"/>
        </w:rPr>
        <w:t xml:space="preserve">A naive model that </w:t>
      </w:r>
      <w:r>
        <w:rPr>
          <w:b/>
          <w:sz w:val="19"/>
        </w:rPr>
        <w:t>approves every single claim and catches zero fraud</w:t>
      </w:r>
      <w:r>
        <w:rPr>
          <w:sz w:val="19"/>
        </w:rPr>
        <w:t xml:space="preserve"> achieves </w:t>
      </w:r>
      <w:r>
        <w:rPr>
          <w:b/>
          <w:sz w:val="19"/>
        </w:rPr>
        <w:t>98.77% accuracy</w:t>
      </w:r>
      <w:r>
        <w:rPr>
          <w:sz w:val="19"/>
        </w:rPr>
        <w:t xml:space="preserve"> simply because only 1.23% of claims are fraudulent. The Board's 97% accuracy KPI is mathematically achieved by doing nothing. In fraud operations, the right metrics are </w:t>
      </w:r>
      <w:r>
        <w:rPr>
          <w:b/>
          <w:sz w:val="19"/>
        </w:rPr>
        <w:t>Fraud Rupees Stopped</w:t>
      </w:r>
      <w:r>
        <w:rPr>
          <w:sz w:val="19"/>
        </w:rPr>
        <w:t xml:space="preserve"> and </w:t>
      </w:r>
      <w:r>
        <w:rPr>
          <w:b/>
          <w:sz w:val="19"/>
        </w:rPr>
        <w:t>Recall at Desk Capacity (68.2%)</w:t>
      </w:r>
      <w:r>
        <w:rPr>
          <w:sz w:val="19"/>
        </w:rPr>
        <w:t>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6. What You Should Do Next Week (4 Concrete Steps)</w:t>
      </w:r>
    </w:p>
    <w:p>
      <w:pPr>
        <w:pStyle w:val="ListNumber"/>
        <w:spacing w:after="40"/>
      </w:pPr>
      <w:r>
        <w:rPr>
          <w:sz w:val="19"/>
        </w:rPr>
      </w:r>
      <w:r>
        <w:rPr>
          <w:b/>
          <w:sz w:val="19"/>
        </w:rPr>
        <w:t>Launch a 30-Day Shadow Pilot:</w:t>
      </w:r>
      <w:r>
        <w:rPr>
          <w:sz w:val="19"/>
        </w:rPr>
        <w:t xml:space="preserve"> Feed incoming claims into the model. Route the top 40 flagged claims to Farhan’s team and compare findings against the model’s plain-English explanation codes.</w:t>
      </w:r>
    </w:p>
    <w:p>
      <w:pPr>
        <w:pStyle w:val="ListNumber"/>
        <w:spacing w:after="40"/>
      </w:pPr>
      <w:r>
        <w:rPr>
          <w:sz w:val="19"/>
        </w:rPr>
      </w:r>
      <w:r>
        <w:rPr>
          <w:b/>
          <w:sz w:val="19"/>
        </w:rPr>
        <w:t>Close the May 1 Auto-Approval Loophole:</w:t>
      </w:r>
      <w:r>
        <w:rPr>
          <w:sz w:val="19"/>
        </w:rPr>
        <w:t xml:space="preserve"> Mandate mandatory photographic evidence for sub-₹2,000 claims from outlets with less than 6 months of operating history.</w:t>
      </w:r>
    </w:p>
    <w:p>
      <w:pPr>
        <w:pStyle w:val="ListNumber"/>
        <w:spacing w:after="40"/>
      </w:pPr>
      <w:r>
        <w:rPr>
          <w:sz w:val="19"/>
        </w:rPr>
      </w:r>
      <w:r>
        <w:rPr>
          <w:b/>
          <w:sz w:val="19"/>
        </w:rPr>
        <w:t>Track Investigation Outcomes in CRM:</w:t>
      </w:r>
      <w:r>
        <w:rPr>
          <w:sz w:val="19"/>
        </w:rPr>
        <w:t xml:space="preserve"> Ensure investigators record definitive "Confirmed Fraud" vs "Genuine Fault" tags in CRM to eliminate undecided blanks.</w:t>
      </w:r>
    </w:p>
    <w:p>
      <w:pPr>
        <w:pStyle w:val="ListNumber"/>
        <w:spacing w:after="40"/>
      </w:pPr>
      <w:r>
        <w:rPr>
          <w:sz w:val="19"/>
        </w:rPr>
      </w:r>
      <w:r>
        <w:rPr>
          <w:b/>
          <w:sz w:val="19"/>
        </w:rPr>
        <w:t>Schedule Monthly Model Retraining:</w:t>
      </w:r>
      <w:r>
        <w:rPr>
          <w:sz w:val="19"/>
        </w:rPr>
        <w:t xml:space="preserve"> Implement monthly batch retraining to adapt to shifting fraud tactics across product seasons (e.g. room heaters in winter, purifiers in summer).</w:t>
      </w:r>
    </w:p>
    <w:p>
      <w:pPr>
        <w:spacing w:before="80" w:after="80"/>
      </w:pPr>
    </w:p>
    <w:p>
      <w:pPr>
        <w:pStyle w:val="Heading2"/>
        <w:spacing w:before="160" w:after="60"/>
      </w:pPr>
      <w:r>
        <w:rPr>
          <w:color w:val="1E3A8A"/>
          <w:sz w:val="24"/>
        </w:rPr>
        <w:t>7. Limitations Stated Plainly</w:t>
      </w:r>
    </w:p>
    <w:p>
      <w:pPr>
        <w:spacing w:after="80"/>
      </w:pPr>
      <w:r>
        <w:rPr>
          <w:sz w:val="19"/>
        </w:rPr>
        <w:t>The model struggles with: (a) high-value first-time fraud claims on flagship vacuums with forged bills, (b) typo-prone manually typed serial numbers, and (c) newly onboarded partners committing fraud on Day 1 before establishing historical patterns.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