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Urban Mobility Consultation – Policy Briefing</w:t>
      </w:r>
    </w:p>
    <w:p>
      <w:r>
        <w:t>Classification: Internal / Sensitive – For Policy Team Use Only</w:t>
      </w:r>
    </w:p>
    <w:p>
      <w:r>
        <w:t>Date: March 2025</w:t>
      </w:r>
    </w:p>
    <w:p>
      <w:r>
        <w:t>Author: Policy Analysis Unit, Department of Urban Development</w:t>
      </w:r>
    </w:p>
    <w:p>
      <w:pPr>
        <w:pStyle w:val="Heading2"/>
      </w:pPr>
      <w:r>
        <w:t>1. Executive Summary</w:t>
      </w:r>
    </w:p>
    <w:p>
      <w:r>
        <w:t>This document provides a comprehensive summary of stakeholder feedback received through the Urban Mobility Consultation (January–February 2025). The consultation sought views on proposed strategies within the Urban Mobility Framework (2025–2030), including emission reduction targets, funding mechanisms, and data governance models. A total of 47 detailed responses were analyzed, representing inputs from local authorities, NGOs, transport providers, and citizens’ groups.</w:t>
      </w:r>
    </w:p>
    <w:p>
      <w:r>
        <w:t>Overall, stakeholders expressed strong support for transitioning toward low-emission and active transport options. However, there were significant reservations about implementation timelines, regional funding disparities, and privacy implications associated with smart mobility data systems.</w:t>
      </w:r>
    </w:p>
    <w:p>
      <w:pPr>
        <w:pStyle w:val="Heading2"/>
      </w:pPr>
      <w:r>
        <w:t>2. Consultation Breakdown</w:t>
      </w:r>
    </w:p>
    <w:p>
      <w:r>
        <w:t>**Respondent Categories:**</w:t>
      </w:r>
    </w:p>
    <w:p>
      <w:r>
        <w:t>• 16 Local Government Authorities</w:t>
      </w:r>
    </w:p>
    <w:p>
      <w:r>
        <w:t>• 12 NGOs and Advocacy Groups</w:t>
      </w:r>
    </w:p>
    <w:p>
      <w:r>
        <w:t>• 10 Private Sector Entities (Transport and Infrastructure)</w:t>
      </w:r>
    </w:p>
    <w:p>
      <w:r>
        <w:t>• 9 Individual Citizens or Community Representatives</w:t>
      </w:r>
    </w:p>
    <w:p>
      <w:r>
        <w:br/>
        <w:t>**Key Feedback Themes:**</w:t>
      </w:r>
    </w:p>
    <w:p>
      <w:r>
        <w:t>• **Emission Targets:** 68% of respondents supported the 40% emission reduction goal by 2030, though several called for interim targets to maintain accountability.</w:t>
      </w:r>
    </w:p>
    <w:p>
      <w:r>
        <w:t>• **Funding Allocation:** Multiple councils emphasized flexibility in grant usage, proposing a shift toward needs-based distribution models to better support smaller urban centers.</w:t>
      </w:r>
    </w:p>
    <w:p>
      <w:r>
        <w:t>• **Data Governance:** 21 respondents expressed concerns about centralized storage of public transport smart card data. Some proposed a federated model ensuring data residency and user control.</w:t>
      </w:r>
    </w:p>
    <w:p>
      <w:r>
        <w:t>• **Community Engagement:** NGOs highlighted the lack of inclusion of low-income neighborhoods in pilot consultations and recommended ongoing participatory mechanisms.</w:t>
      </w:r>
    </w:p>
    <w:p>
      <w:pPr>
        <w:pStyle w:val="Heading2"/>
      </w:pPr>
      <w:r>
        <w:t>3. Risk Assessment and Mitigation</w:t>
      </w:r>
    </w:p>
    <w:tbl>
      <w:tblPr>
        <w:tblW w:type="auto" w:w="0"/>
        <w:tblLook w:firstColumn="1" w:firstRow="1" w:lastColumn="0" w:lastRow="0" w:noHBand="0" w:noVBand="1" w:val="04A0"/>
      </w:tblPr>
      <w:tblGrid>
        <w:gridCol w:w="2880"/>
        <w:gridCol w:w="2880"/>
        <w:gridCol w:w="2880"/>
      </w:tblGrid>
      <w:tr>
        <w:tc>
          <w:tcPr>
            <w:tcW w:type="dxa" w:w="2880"/>
          </w:tcPr>
          <w:p>
            <w:r>
              <w:t>Risk</w:t>
            </w:r>
          </w:p>
        </w:tc>
        <w:tc>
          <w:tcPr>
            <w:tcW w:type="dxa" w:w="2880"/>
          </w:tcPr>
          <w:p>
            <w:r>
              <w:t>Description</w:t>
            </w:r>
          </w:p>
        </w:tc>
        <w:tc>
          <w:tcPr>
            <w:tcW w:type="dxa" w:w="2880"/>
          </w:tcPr>
          <w:p>
            <w:r>
              <w:t>Mitigation Strategy</w:t>
            </w:r>
          </w:p>
        </w:tc>
      </w:tr>
      <w:tr>
        <w:tc>
          <w:tcPr>
            <w:tcW w:type="dxa" w:w="2880"/>
          </w:tcPr>
          <w:p>
            <w:r>
              <w:t>Public Perception Risk</w:t>
            </w:r>
          </w:p>
        </w:tc>
        <w:tc>
          <w:tcPr>
            <w:tcW w:type="dxa" w:w="2880"/>
          </w:tcPr>
          <w:p>
            <w:r>
              <w:t>Potential public mistrust regarding how personal mobility data is stored and shared.</w:t>
            </w:r>
          </w:p>
        </w:tc>
        <w:tc>
          <w:tcPr>
            <w:tcW w:type="dxa" w:w="2880"/>
          </w:tcPr>
          <w:p>
            <w:r>
              <w:t>Implement transparency dashboard and anonymization policies.</w:t>
            </w:r>
          </w:p>
        </w:tc>
      </w:tr>
      <w:tr>
        <w:tc>
          <w:tcPr>
            <w:tcW w:type="dxa" w:w="2880"/>
          </w:tcPr>
          <w:p>
            <w:r>
              <w:t>Funding Delays</w:t>
            </w:r>
          </w:p>
        </w:tc>
        <w:tc>
          <w:tcPr>
            <w:tcW w:type="dxa" w:w="2880"/>
          </w:tcPr>
          <w:p>
            <w:r>
              <w:t>Delayed fund disbursement may stall regional pilot programs.</w:t>
            </w:r>
          </w:p>
        </w:tc>
        <w:tc>
          <w:tcPr>
            <w:tcW w:type="dxa" w:w="2880"/>
          </w:tcPr>
          <w:p>
            <w:r>
              <w:t>Establish multi-year rolling grants and quarterly progress tracking.</w:t>
            </w:r>
          </w:p>
        </w:tc>
      </w:tr>
      <w:tr>
        <w:tc>
          <w:tcPr>
            <w:tcW w:type="dxa" w:w="2880"/>
          </w:tcPr>
          <w:p>
            <w:r>
              <w:t>Policy Fragmentation</w:t>
            </w:r>
          </w:p>
        </w:tc>
        <w:tc>
          <w:tcPr>
            <w:tcW w:type="dxa" w:w="2880"/>
          </w:tcPr>
          <w:p>
            <w:r>
              <w:t>Lack of coordination between departments may cause inefficiencies.</w:t>
            </w:r>
          </w:p>
        </w:tc>
        <w:tc>
          <w:tcPr>
            <w:tcW w:type="dxa" w:w="2880"/>
          </w:tcPr>
          <w:p>
            <w:r>
              <w:t>Create cross-department mobility taskforce with defined accountability.</w:t>
            </w:r>
          </w:p>
        </w:tc>
      </w:tr>
      <w:tr>
        <w:tc>
          <w:tcPr>
            <w:tcW w:type="dxa" w:w="2880"/>
          </w:tcPr>
          <w:p>
            <w:r>
              <w:t>Technology Vendor Lock-in</w:t>
            </w:r>
          </w:p>
        </w:tc>
        <w:tc>
          <w:tcPr>
            <w:tcW w:type="dxa" w:w="2880"/>
          </w:tcPr>
          <w:p>
            <w:r>
              <w:t>Dependence on a single platform provider for smart ticketing systems.</w:t>
            </w:r>
          </w:p>
        </w:tc>
        <w:tc>
          <w:tcPr>
            <w:tcW w:type="dxa" w:w="2880"/>
          </w:tcPr>
          <w:p>
            <w:r>
              <w:t>Adopt open standards and include vendor-neutral procurement clauses.</w:t>
            </w:r>
          </w:p>
        </w:tc>
      </w:tr>
    </w:tbl>
    <w:p>
      <w:pPr>
        <w:pStyle w:val="Heading2"/>
      </w:pPr>
      <w:r>
        <w:t>4. Strategic Recommendations</w:t>
      </w:r>
    </w:p>
    <w:p>
      <w:r>
        <w:t>1. **Develop Regional Mobility Hubs:** Pilot decentralized hubs that manage multimodal data at the city level to ensure better coordination and privacy control.</w:t>
      </w:r>
    </w:p>
    <w:p>
      <w:r>
        <w:t>2. **Mandate Annual Data Audits:** Require all data processors handling mobility analytics to undergo independent audits on data minimization and anonymization practices.</w:t>
      </w:r>
    </w:p>
    <w:p>
      <w:r>
        <w:t>3. **Enhance Citizen Engagement:** Establish citizen advisory groups to oversee ongoing urban mobility planning, ensuring inclusion of marginalized communities.</w:t>
      </w:r>
    </w:p>
    <w:p>
      <w:r>
        <w:t>4. **Review Vendor Frameworks:** Reassess current procurement policies to include interoperability requirements and mitigate vendor dependency.</w:t>
      </w:r>
    </w:p>
    <w:p>
      <w:r>
        <w:t>5. **Integrate AI-Based Forecasting:** Utilize local AI models to predict demand for electric bus routes, cycling lanes, and micro-mobility zones.</w:t>
      </w:r>
    </w:p>
    <w:p>
      <w:pPr>
        <w:pStyle w:val="Heading2"/>
      </w:pPr>
      <w:r>
        <w:t>5. Annex A – FOI Request Summary</w:t>
      </w:r>
    </w:p>
    <w:p>
      <w:r>
        <w:t>An FOI request (Ref: FOI/2025/114) was received on February 18, 2025, seeking details on the procurement process for the smart ticketing infrastructure vendor. The request is currently under legal review. Preliminary internal correspondence indicates that the vendor selection followed the National Procurement Framework (2023) guidelines, but final clarification will be issued once the review is complete.</w:t>
      </w:r>
    </w:p>
    <w:p>
      <w:pPr>
        <w:pStyle w:val="Heading2"/>
      </w:pPr>
      <w:r>
        <w:t>6. Annex B – Stakeholder Quotations (Confidential)</w:t>
      </w:r>
    </w:p>
    <w:p>
      <w:r>
        <w:t>"The proposed emission targets are achievable only if data-driven insights inform real-time transport policy decisions." – Regional Transport Board, Westborough</w:t>
      </w:r>
    </w:p>
    <w:p>
      <w:r>
        <w:t>"We appreciate the government’s initiative but remain concerned about the concentration of mobility data without clear user consent mechanisms." – Privacy Rights Association</w:t>
      </w:r>
    </w:p>
    <w:p>
      <w:r>
        <w:t>"Funding allocation should prioritize smaller municipalities where public transport access remains limited." – Mayor of Easthaven City</w:t>
      </w:r>
    </w:p>
    <w:p>
      <w:pPr>
        <w:pStyle w:val="Heading2"/>
      </w:pPr>
      <w:r>
        <w:t>7. Next Steps</w:t>
      </w:r>
    </w:p>
    <w:p>
      <w:r>
        <w:t>• Circulate final draft of the Urban Mobility Framework by June 2025 for Cabinet approval.</w:t>
      </w:r>
    </w:p>
    <w:p>
      <w:r>
        <w:t>• Publish a public summary of anonymized consultation findings by May 2025.</w:t>
      </w:r>
    </w:p>
    <w:p>
      <w:r>
        <w:t>• Initiate pilot implementation of Regional Mobility Dashboards (RMDs) by Q4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