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120"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1. GDPR &amp; Data Protection Compliance</w:t>
      </w:r>
    </w:p>
    <w:p w14:paraId="00000002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Maintain a Record of Processing Activities (RoPA) and review/update every 6–12 months.</w:t>
      </w:r>
    </w:p>
    <w:p w14:paraId="00000003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 xml:space="preserve">Perform Data Protection Impact Assessments (DPIA) for new tenant/client </w:t>
      </w:r>
      <w:r>
        <w:rPr>
          <w:sz w:val="24"/>
          <w:szCs w:val="24"/>
          <w:rtl w:val="0"/>
          <w:lang w:val="en-US"/>
        </w:rPr>
        <w:t>on-boarding</w:t>
      </w:r>
      <w:bookmarkStart w:id="0" w:name="_GoBack"/>
      <w:bookmarkEnd w:id="0"/>
      <w:r>
        <w:rPr>
          <w:sz w:val="24"/>
          <w:szCs w:val="24"/>
          <w:rtl w:val="0"/>
        </w:rPr>
        <w:t xml:space="preserve"> or tech changes.</w:t>
      </w:r>
    </w:p>
    <w:p w14:paraId="00000004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Implement and update Privacy Notices for tenants and landlords (website, contracts).</w:t>
      </w:r>
    </w:p>
    <w:p w14:paraId="00000005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Track consent from tenants/clients and document withdrawals.</w:t>
      </w:r>
    </w:p>
    <w:p w14:paraId="00000006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Ensure Right to Rent data/processes are handled securely.</w:t>
      </w:r>
    </w:p>
    <w:p w14:paraId="00000007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 xml:space="preserve">Provide GDPR awareness training to all staff and specialized training to </w:t>
      </w:r>
      <w:r>
        <w:rPr>
          <w:sz w:val="24"/>
          <w:szCs w:val="24"/>
          <w:rtl w:val="0"/>
          <w:lang w:val="en-US"/>
        </w:rPr>
        <w:t>front line</w:t>
      </w:r>
      <w:r>
        <w:rPr>
          <w:sz w:val="24"/>
          <w:szCs w:val="24"/>
          <w:rtl w:val="0"/>
        </w:rPr>
        <w:t xml:space="preserve"> roles.</w:t>
      </w:r>
    </w:p>
    <w:p w14:paraId="00000008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Retain evidence: RoPA documents, DPIA reports, privacy notice versions, audit reports, staff training logs, breach notification procedures.</w:t>
      </w:r>
    </w:p>
    <w:p w14:paraId="00000009"/>
    <w:p w14:paraId="0000000A">
      <w:pPr>
        <w:spacing w:before="120"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2. UK Property Law Compliance (Right to Rent, Tenant/Landlord Confidentiality, Contract Law)</w:t>
      </w:r>
    </w:p>
    <w:p w14:paraId="0000000B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Maintain secure documentation processes for tenant ID checks and Right to Rent files.</w:t>
      </w:r>
    </w:p>
    <w:p w14:paraId="0000000C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 xml:space="preserve">Use separate access controls for staff handling landlord </w:t>
      </w:r>
      <w:r>
        <w:rPr>
          <w:sz w:val="24"/>
          <w:szCs w:val="24"/>
          <w:rtl w:val="0"/>
          <w:lang w:val="en-US"/>
        </w:rPr>
        <w:t>financial</w:t>
      </w:r>
      <w:r>
        <w:rPr>
          <w:sz w:val="24"/>
          <w:szCs w:val="24"/>
          <w:rtl w:val="0"/>
        </w:rPr>
        <w:t>/property data.</w:t>
      </w:r>
    </w:p>
    <w:p w14:paraId="0000000D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Schedule regular reviews of contracts and property agreements for compliance updates.</w:t>
      </w:r>
    </w:p>
    <w:p w14:paraId="0000000E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Train staff on tenant confidentiality requirements and property sector compliance laws.</w:t>
      </w:r>
    </w:p>
    <w:p w14:paraId="0000000F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Retain evidence: Right to Rent documentation, staff access logs, contract review history, sector-specific compliance validation reports.</w:t>
      </w:r>
    </w:p>
    <w:p w14:paraId="00000010"/>
    <w:p w14:paraId="00000011">
      <w:pPr>
        <w:spacing w:before="120"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3. Cyber Essentials &amp; Cyber Essentials Plus (Government Cybersecurity Certification)</w:t>
      </w:r>
    </w:p>
    <w:p w14:paraId="00000012">
      <w:pPr>
        <w:numPr>
          <w:ilvl w:val="0"/>
          <w:numId w:val="3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Complete self-assessment questionnaire and submit for certification.</w:t>
      </w:r>
    </w:p>
    <w:p w14:paraId="00000013">
      <w:pPr>
        <w:numPr>
          <w:ilvl w:val="0"/>
          <w:numId w:val="3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Apply multi-factor authentication on all staff accounts.</w:t>
      </w:r>
    </w:p>
    <w:p w14:paraId="00000014">
      <w:pPr>
        <w:numPr>
          <w:ilvl w:val="0"/>
          <w:numId w:val="3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Harden firewall, antivirus, patching, account management across systems.</w:t>
      </w:r>
    </w:p>
    <w:p w14:paraId="00000015">
      <w:pPr>
        <w:numPr>
          <w:ilvl w:val="0"/>
          <w:numId w:val="3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Run network access controls and monitoring (basic, then advanced in Plus phase).</w:t>
      </w:r>
    </w:p>
    <w:p w14:paraId="00000016">
      <w:pPr>
        <w:numPr>
          <w:ilvl w:val="0"/>
          <w:numId w:val="3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Simulate incident response and tabletop exercises.</w:t>
      </w:r>
    </w:p>
    <w:p w14:paraId="00000017">
      <w:pPr>
        <w:numPr>
          <w:ilvl w:val="0"/>
          <w:numId w:val="3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Retain evidence: Cyber Essentials certificates, meeting/action logs, system configuration reports, staff training completions.</w:t>
      </w:r>
    </w:p>
    <w:p w14:paraId="00000018"/>
    <w:p w14:paraId="00000019"/>
    <w:p w14:paraId="0000001A"/>
    <w:p w14:paraId="0000001B"/>
    <w:p w14:paraId="0000001C">
      <w:pPr>
        <w:spacing w:before="120"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4. CIS Controls (IG-1, IG-3) &amp; ISMS (ISO 27001)</w:t>
      </w:r>
    </w:p>
    <w:p w14:paraId="0000001D">
      <w:pPr>
        <w:numPr>
          <w:ilvl w:val="0"/>
          <w:numId w:val="4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Perform gap analysis and schedule internal/external audits.</w:t>
      </w:r>
    </w:p>
    <w:p w14:paraId="0000001E">
      <w:pPr>
        <w:numPr>
          <w:ilvl w:val="0"/>
          <w:numId w:val="4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Implement a risk management framework and asset register.</w:t>
      </w:r>
    </w:p>
    <w:p w14:paraId="0000001F">
      <w:pPr>
        <w:numPr>
          <w:ilvl w:val="0"/>
          <w:numId w:val="4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Complete required ISMS documentation (policies on info security, access, backup, etc.).</w:t>
      </w:r>
    </w:p>
    <w:p w14:paraId="00000020">
      <w:pPr>
        <w:numPr>
          <w:ilvl w:val="0"/>
          <w:numId w:val="4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Train staff at all levels per role (general, technical, management, audit).</w:t>
      </w:r>
    </w:p>
    <w:p w14:paraId="00000021">
      <w:pPr>
        <w:numPr>
          <w:ilvl w:val="0"/>
          <w:numId w:val="4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Submit for ISO 27001 audit and certification within the timeline.</w:t>
      </w:r>
    </w:p>
    <w:p w14:paraId="00000022">
      <w:pPr>
        <w:numPr>
          <w:ilvl w:val="0"/>
          <w:numId w:val="4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Retain evidence: ISMS manuals, audit reports, gap analyses, risk register, asset management logs, training attendance records, certification documents.</w:t>
      </w:r>
    </w:p>
    <w:p w14:paraId="00000023"/>
    <w:p w14:paraId="00000024">
      <w:pPr>
        <w:spacing w:before="120"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5. Ongoing Compliance &amp; Sector-Specific Cyber Laws</w:t>
      </w:r>
    </w:p>
    <w:p w14:paraId="00000025">
      <w:pPr>
        <w:numPr>
          <w:ilvl w:val="0"/>
          <w:numId w:val="5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Develop regular assessment schedules for vulnerability scanning and penetration tests (quarterly/annual).</w:t>
      </w:r>
    </w:p>
    <w:p w14:paraId="00000026">
      <w:pPr>
        <w:numPr>
          <w:ilvl w:val="0"/>
          <w:numId w:val="5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Update all compliance documents and evidence packages when procedures change or annually.</w:t>
      </w:r>
    </w:p>
    <w:p w14:paraId="00000027">
      <w:pPr>
        <w:numPr>
          <w:ilvl w:val="0"/>
          <w:numId w:val="5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Coordinate training refreshers and maintain logs of completion.</w:t>
      </w:r>
    </w:p>
    <w:p w14:paraId="00000028">
      <w:pPr>
        <w:numPr>
          <w:ilvl w:val="0"/>
          <w:numId w:val="5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Ensure supplier security assessments and third-party agreements are reviewed regularly.</w:t>
      </w:r>
    </w:p>
    <w:p w14:paraId="00000029">
      <w:pPr>
        <w:numPr>
          <w:ilvl w:val="0"/>
          <w:numId w:val="5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Retain evidence: compliance status reports, penetration test results, training logs, supplier agreement templates.</w:t>
      </w:r>
    </w:p>
    <w:p w14:paraId="0000002A"/>
    <w:p w14:paraId="0000002B">
      <w:pPr>
        <w:spacing w:before="120"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6. Evidence Collection (All Frameworks)</w:t>
      </w:r>
    </w:p>
    <w:p w14:paraId="0000002C">
      <w:pPr>
        <w:numPr>
          <w:ilvl w:val="0"/>
          <w:numId w:val="6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spacing w:after="0" w:afterAutospacing="0"/>
        <w:ind w:left="72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For each compliance point, collect and organize:</w:t>
      </w:r>
    </w:p>
    <w:p w14:paraId="0000002D">
      <w:pPr>
        <w:numPr>
          <w:ilvl w:val="1"/>
          <w:numId w:val="6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spacing w:before="0" w:beforeAutospacing="0" w:after="0" w:afterAutospacing="0"/>
        <w:ind w:left="144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Policy documents and procedures</w:t>
      </w:r>
    </w:p>
    <w:p w14:paraId="0000002E">
      <w:pPr>
        <w:numPr>
          <w:ilvl w:val="1"/>
          <w:numId w:val="6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spacing w:before="0" w:beforeAutospacing="0" w:after="0" w:afterAutospacing="0"/>
        <w:ind w:left="144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Audit and test reports (internal/external)</w:t>
      </w:r>
    </w:p>
    <w:p w14:paraId="0000002F">
      <w:pPr>
        <w:numPr>
          <w:ilvl w:val="1"/>
          <w:numId w:val="6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spacing w:before="0" w:beforeAutospacing="0" w:after="0" w:afterAutospacing="0"/>
        <w:ind w:left="144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Certification outcomes</w:t>
      </w:r>
    </w:p>
    <w:p w14:paraId="00000030">
      <w:pPr>
        <w:numPr>
          <w:ilvl w:val="1"/>
          <w:numId w:val="6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spacing w:before="0" w:beforeAutospacing="0" w:after="0" w:afterAutospacing="0"/>
        <w:ind w:left="144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Staff training logs (by role, date, topic)</w:t>
      </w:r>
    </w:p>
    <w:p w14:paraId="00000031">
      <w:pPr>
        <w:numPr>
          <w:ilvl w:val="1"/>
          <w:numId w:val="6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spacing w:before="0" w:beforeAutospacing="0" w:after="0" w:afterAutospacing="0"/>
        <w:ind w:left="144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Breach notification/risk management records</w:t>
      </w:r>
    </w:p>
    <w:p w14:paraId="00000032">
      <w:pPr>
        <w:numPr>
          <w:ilvl w:val="1"/>
          <w:numId w:val="6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spacing w:before="0" w:beforeAutospacing="0" w:after="180"/>
        <w:ind w:left="1440" w:hanging="360"/>
        <w:rPr>
          <w:rFonts w:ascii="Arial" w:hAnsi="Arial" w:eastAsia="Arial" w:cs="Arial"/>
        </w:rPr>
      </w:pPr>
      <w:r>
        <w:rPr>
          <w:sz w:val="24"/>
          <w:szCs w:val="24"/>
          <w:rtl w:val="0"/>
        </w:rPr>
        <w:t>Regulatory correspondence (e.g. ICO notifications)</w:t>
      </w:r>
    </w:p>
    <w:p w14:paraId="00000033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  <w:embedRegular r:id="rId1" w:fontKey="{1A142DF5-1BF7-F48B-84CA-156997B8D6EA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EB0217"/>
    <w:multiLevelType w:val="multilevel"/>
    <w:tmpl w:val="C9EB021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EBDA56BC"/>
    <w:multiLevelType w:val="multilevel"/>
    <w:tmpl w:val="EBDA56B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Roboto" w:hAnsi="Roboto" w:eastAsia="Roboto" w:cs="Roboto"/>
        <w:sz w:val="24"/>
        <w:szCs w:val="24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EF3B8E1C"/>
    <w:multiLevelType w:val="multilevel"/>
    <w:tmpl w:val="EF3B8E1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7777D2B"/>
    <w:multiLevelType w:val="multilevel"/>
    <w:tmpl w:val="37777D2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FFD2D41"/>
    <w:multiLevelType w:val="multilevel"/>
    <w:tmpl w:val="3FFD2D41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7EF3673A"/>
    <w:multiLevelType w:val="multilevel"/>
    <w:tmpl w:val="7EF3673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DFD703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Office_12.1.23143.23143_F1E327BC-269C-435d-A152-05C5408002CA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2025-11-13T12:09:11Z</dcterms:created>
  <dc:creator>Data</dc:creator>
  <cp:lastModifiedBy>Shivam Kumar</cp:lastModifiedBy>
  <dcterms:modified xsi:type="dcterms:W3CDTF">2025-11-13T12:09:40Z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98F678D5B7CC02B884CA15692854F0D1_42</vt:lpwstr>
  </property>
</Properties>
</file>