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16790">
      <w:pPr>
        <w:spacing w:before="240" w:line="288" w:lineRule="auto"/>
      </w:pPr>
      <w:bookmarkStart w:id="25" w:name="_GoBack"/>
      <w:bookmarkEnd w:id="25"/>
      <w:bookmarkStart w:id="0" w:name="third_party_vendor_assessment_tem_a7502f"/>
      <w:r>
        <w:rPr>
          <w:b/>
          <w:sz w:val="56"/>
        </w:rPr>
        <w:t>Third-Party Vendor Assessment Template &amp; Case Study</w:t>
      </w:r>
      <w:bookmarkEnd w:id="0"/>
    </w:p>
    <w:p w14:paraId="247ECC87">
      <w:pPr>
        <w:spacing w:after="210"/>
      </w:pPr>
      <w:r>
        <w:rPr>
          <w:b/>
        </w:rPr>
        <w:t>Portfolio Project:</w:t>
      </w:r>
      <w:r>
        <w:t xml:space="preserve"> Comprehensive Vendor Risk Assessment Framework</w:t>
      </w:r>
      <w:r>
        <w:br w:type="textWrapping"/>
      </w:r>
      <w:r>
        <w:rPr>
          <w:b/>
        </w:rPr>
        <w:t>Created by:</w:t>
      </w:r>
      <w:r>
        <w:t xml:space="preserve"> Shivam Kumar</w:t>
      </w:r>
      <w:r>
        <w:br w:type="textWrapping"/>
      </w:r>
      <w:r>
        <w:rPr>
          <w:b/>
        </w:rPr>
        <w:t>Date:</w:t>
      </w:r>
      <w:r>
        <w:t xml:space="preserve"> January 2026</w:t>
      </w:r>
      <w:r>
        <w:br w:type="textWrapping"/>
      </w:r>
      <w:r>
        <w:rPr>
          <w:b/>
        </w:rPr>
        <w:t>Industry Context:</w:t>
      </w:r>
      <w:r>
        <w:t xml:space="preserve"> FinTech (Payment Processing &amp; Settlement Services)</w:t>
      </w:r>
    </w:p>
    <w:p w14:paraId="22CA36AA">
      <w:r>
        <w:pict>
          <v:rect id="_x0000_i1025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1D3BEB">
      <w:pPr>
        <w:spacing w:before="240" w:line="271" w:lineRule="auto"/>
      </w:pPr>
      <w:bookmarkStart w:id="1" w:name="executive_summary"/>
      <w:r>
        <w:rPr>
          <w:b/>
          <w:sz w:val="42"/>
        </w:rPr>
        <w:t>Executive Summary</w:t>
      </w:r>
      <w:bookmarkEnd w:id="1"/>
    </w:p>
    <w:p w14:paraId="041115EA">
      <w:pPr>
        <w:spacing w:after="210"/>
      </w:pPr>
      <w:r>
        <w:t>This portfolio demonstrates a complete third-party vendor risk assessment process, including questionnaire design, risk scoring methodology, and a real-world case study evaluating a critical payment processor vendor. The framework is based on ISO 27001, SOC 2, and GDPR controls, translating technical security requirements into actionable vendor evaluation criteria.</w:t>
      </w:r>
    </w:p>
    <w:p w14:paraId="35CC9A88">
      <w:pPr>
        <w:spacing w:after="210"/>
      </w:pPr>
      <w:r>
        <w:rPr>
          <w:b/>
        </w:rPr>
        <w:t>What this artifact shows:</w:t>
      </w:r>
    </w:p>
    <w:p w14:paraId="22C0C612">
      <w:pPr>
        <w:numPr>
          <w:ilvl w:val="0"/>
          <w:numId w:val="1"/>
        </w:numPr>
      </w:pPr>
      <w:r>
        <w:t>How to structure vendor due diligence from discovery through ongoing monitoring</w:t>
      </w:r>
    </w:p>
    <w:p w14:paraId="6C3C5A19">
      <w:pPr>
        <w:numPr>
          <w:ilvl w:val="0"/>
          <w:numId w:val="1"/>
        </w:numPr>
      </w:pPr>
      <w:r>
        <w:t>Risk quantification and prioritisation logic</w:t>
      </w:r>
    </w:p>
    <w:p w14:paraId="016B9D3F">
      <w:pPr>
        <w:numPr>
          <w:ilvl w:val="0"/>
          <w:numId w:val="1"/>
        </w:numPr>
      </w:pPr>
      <w:r>
        <w:t>Cross-functional decision-making (technical + business + compliance)</w:t>
      </w:r>
    </w:p>
    <w:p w14:paraId="2BA57907">
      <w:pPr>
        <w:numPr>
          <w:ilvl w:val="0"/>
          <w:numId w:val="1"/>
        </w:numPr>
      </w:pPr>
      <w:r>
        <w:t>Communication of vendor risk to leadership</w:t>
      </w:r>
    </w:p>
    <w:p w14:paraId="7ADBDADC">
      <w:r>
        <w:pict>
          <v:rect id="_x0000_i1026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E7988F8">
      <w:pPr>
        <w:spacing w:before="240" w:line="271" w:lineRule="auto"/>
      </w:pPr>
      <w:bookmarkStart w:id="2" w:name="part_1_vendor_risk_assessment_que_2a89db"/>
      <w:r>
        <w:rPr>
          <w:b/>
          <w:sz w:val="42"/>
        </w:rPr>
        <w:t>Part 1: Vendor Risk Assessment Questionnaire &amp; Scoring Model</w:t>
      </w:r>
      <w:bookmarkEnd w:id="2"/>
    </w:p>
    <w:p w14:paraId="072B1771">
      <w:pPr>
        <w:spacing w:before="240" w:line="271" w:lineRule="auto"/>
      </w:pPr>
      <w:bookmarkStart w:id="3" w:name="overview"/>
      <w:r>
        <w:rPr>
          <w:b/>
          <w:sz w:val="33"/>
        </w:rPr>
        <w:t>Overview</w:t>
      </w:r>
      <w:bookmarkEnd w:id="3"/>
    </w:p>
    <w:p w14:paraId="72715681">
      <w:pPr>
        <w:spacing w:after="210"/>
      </w:pPr>
      <w:r>
        <w:t xml:space="preserve">This template was used to evaluate </w:t>
      </w:r>
      <w:r>
        <w:rPr>
          <w:b/>
        </w:rPr>
        <w:t>100+ third-party vendors</w:t>
      </w:r>
      <w:r>
        <w:t xml:space="preserve"> in my role at LRQA and Peak Cyber Institute, resulting in standardised assessment cycles with </w:t>
      </w:r>
      <w:r>
        <w:rPr>
          <w:b/>
        </w:rPr>
        <w:t>40% faster response times</w:t>
      </w:r>
      <w:r>
        <w:t xml:space="preserve"> and </w:t>
      </w:r>
      <w:r>
        <w:rPr>
          <w:b/>
        </w:rPr>
        <w:t>98% data quality accuracy</w:t>
      </w:r>
      <w:r>
        <w:t>.</w:t>
      </w:r>
    </w:p>
    <w:p w14:paraId="2C5FEBA7">
      <w:r>
        <w:pict>
          <v:rect id="_x0000_i1027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8472E0">
      <w:pPr>
        <w:spacing w:before="240" w:line="271" w:lineRule="auto"/>
      </w:pPr>
      <w:bookmarkStart w:id="4" w:name="vendor_assessment_questionnaire_a_d92a48"/>
      <w:r>
        <w:rPr>
          <w:b/>
          <w:sz w:val="33"/>
        </w:rPr>
        <w:t>Vendor Assessment Questionnaire (Abbreviated Example)</w:t>
      </w:r>
      <w:bookmarkEnd w:id="4"/>
    </w:p>
    <w:p w14:paraId="1E6B0ADE">
      <w:pPr>
        <w:spacing w:after="210"/>
      </w:pPr>
      <w:r>
        <w:rPr>
          <w:b/>
        </w:rPr>
        <w:t>Vendor Name:</w:t>
      </w:r>
      <w:r>
        <w:t xml:space="preserve"> PayFlow Systems Ltd (Case Study)</w:t>
      </w:r>
      <w:r>
        <w:br w:type="textWrapping"/>
      </w:r>
      <w:r>
        <w:rPr>
          <w:b/>
        </w:rPr>
        <w:t>Vendor Type:</w:t>
      </w:r>
      <w:r>
        <w:t xml:space="preserve"> Payment Processor / Settlement Agent</w:t>
      </w:r>
      <w:r>
        <w:br w:type="textWrapping"/>
      </w:r>
      <w:r>
        <w:rPr>
          <w:b/>
        </w:rPr>
        <w:t>Criticality Rating:</w:t>
      </w:r>
      <w:r>
        <w:t xml:space="preserve"> CRITICAL (handles live transaction data)</w:t>
      </w:r>
      <w:r>
        <w:br w:type="textWrapping"/>
      </w:r>
      <w:r>
        <w:rPr>
          <w:b/>
        </w:rPr>
        <w:t>Assessment Date:</w:t>
      </w:r>
      <w:r>
        <w:t xml:space="preserve"> January 2026</w:t>
      </w:r>
      <w:r>
        <w:br w:type="textWrapping"/>
      </w:r>
      <w:r>
        <w:rPr>
          <w:b/>
        </w:rPr>
        <w:t>Assessor:</w:t>
      </w:r>
      <w:r>
        <w:t xml:space="preserve"> Shivam Kumar</w:t>
      </w:r>
    </w:p>
    <w:p w14:paraId="542441E0">
      <w:r>
        <w:pict>
          <v:rect id="_x0000_i1028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F27BC4">
      <w:pPr>
        <w:spacing w:before="240" w:line="271" w:lineRule="auto"/>
      </w:pPr>
      <w:bookmarkStart w:id="5" w:name="section_1_organisation_governance_90de3d"/>
      <w:r>
        <w:rPr>
          <w:b/>
          <w:sz w:val="28"/>
        </w:rPr>
        <w:t>Section 1: Organisation &amp; Governance (15 points possible)</w:t>
      </w:r>
      <w:bookmarkEnd w:id="5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78"/>
        <w:gridCol w:w="1772"/>
        <w:gridCol w:w="2257"/>
        <w:gridCol w:w="834"/>
        <w:gridCol w:w="2079"/>
      </w:tblGrid>
      <w:tr w14:paraId="1ABAEB4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AED3CCF">
            <w:pPr>
              <w:spacing w:after="0" w:line="240" w:lineRule="auto"/>
            </w:pPr>
            <w:r>
              <w:t>Question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3A35278">
            <w:pPr>
              <w:spacing w:after="0" w:line="240" w:lineRule="auto"/>
            </w:pPr>
            <w:r>
              <w:t>Expected Evidence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6D9E373">
            <w:pPr>
              <w:spacing w:after="0" w:line="240" w:lineRule="auto"/>
            </w:pPr>
            <w:r>
              <w:t>Vendor Response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2143AE2">
            <w:pPr>
              <w:spacing w:after="0" w:line="240" w:lineRule="auto"/>
            </w:pPr>
            <w:r>
              <w:t>Score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BB86CEA">
            <w:pPr>
              <w:spacing w:after="0" w:line="240" w:lineRule="auto"/>
            </w:pPr>
            <w:r>
              <w:t>Notes</w:t>
            </w:r>
          </w:p>
        </w:tc>
      </w:tr>
      <w:tr w14:paraId="426280C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2567756">
            <w:pPr>
              <w:spacing w:after="0" w:line="240" w:lineRule="auto"/>
            </w:pPr>
            <w:r>
              <w:t>Is your organisation ISO 27001 certified? If yes, provide cert + audit report.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D56AF10">
            <w:pPr>
              <w:spacing w:after="0" w:line="240" w:lineRule="auto"/>
            </w:pPr>
            <w:r>
              <w:t>Current ISO 27001:2022 certificate; SAC 2 Type II audit report (within 12 months)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A01F5A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Yes – ISO 27001:2022 certified since 2023. Latest audit Jan 2025.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2547AC1">
            <w:pPr>
              <w:spacing w:after="0" w:line="240" w:lineRule="auto"/>
            </w:pPr>
            <w:r>
              <w:t>3/3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C7C037C">
            <w:pPr>
              <w:spacing w:after="0" w:line="240" w:lineRule="auto"/>
            </w:pPr>
            <w:r>
              <w:t>Strong governance baseline; recent audit demonstrates ongoing control testing.</w:t>
            </w:r>
          </w:p>
        </w:tc>
      </w:tr>
      <w:tr w14:paraId="71C8D75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85FC35C">
            <w:pPr>
              <w:spacing w:after="0" w:line="240" w:lineRule="auto"/>
            </w:pPr>
            <w:r>
              <w:t>Do you have a documented ISMS (Information Security Management System) and can you provide the scope?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8E92390">
            <w:pPr>
              <w:spacing w:after="0" w:line="240" w:lineRule="auto"/>
            </w:pPr>
            <w:r>
              <w:t>ISMS policy, scope document, control list aligned to ISO 27001 Annex A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013E5FB">
            <w:pPr>
              <w:spacing w:after="0" w:line="240" w:lineRule="auto"/>
            </w:pPr>
            <w:r>
              <w:t>Provided ISMS policy and control matrix covering 93 of 114 ISO controls. Exclusions justified for dev-only systems.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4550A0D">
            <w:pPr>
              <w:spacing w:after="0" w:line="240" w:lineRule="auto"/>
            </w:pPr>
            <w:r>
              <w:t>3/3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5AD34DA">
            <w:pPr>
              <w:spacing w:after="0" w:line="240" w:lineRule="auto"/>
            </w:pPr>
            <w:r>
              <w:t>Comprehensive ISMS; exclusions reasonable and documented.</w:t>
            </w:r>
          </w:p>
        </w:tc>
      </w:tr>
      <w:tr w14:paraId="3010EAA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477F344">
            <w:pPr>
              <w:spacing w:after="0" w:line="240" w:lineRule="auto"/>
            </w:pPr>
            <w:r>
              <w:t>Who is responsible for security governance and what is their seniority level?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2E86ACC">
            <w:pPr>
              <w:spacing w:after="0" w:line="240" w:lineRule="auto"/>
            </w:pPr>
            <w:r>
              <w:t>Name, title, reporting line (CFO/CEO preferred for CRITICAL vendors)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E56ECC9">
            <w:pPr>
              <w:spacing w:after="0" w:line="240" w:lineRule="auto"/>
            </w:pPr>
            <w:r>
              <w:t>Chief Information Security Officer (CISO) reporting to Chief Technology Officer (CTO). CISO has 12 years infosec experience.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22193FD">
            <w:pPr>
              <w:spacing w:after="0" w:line="240" w:lineRule="auto"/>
            </w:pPr>
            <w:r>
              <w:t>3/3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D3D1F29">
            <w:pPr>
              <w:spacing w:after="0" w:line="240" w:lineRule="auto"/>
            </w:pPr>
            <w:r>
              <w:t>Adequate seniority for critical vendor relationship.</w:t>
            </w:r>
          </w:p>
        </w:tc>
      </w:tr>
      <w:tr w14:paraId="0FC4010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7DB688F">
            <w:pPr>
              <w:spacing w:after="0" w:line="240" w:lineRule="auto"/>
            </w:pPr>
            <w:r>
              <w:t>Do you conduct annual security awareness training for all employees?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7FCCECB">
            <w:pPr>
              <w:spacing w:after="0" w:line="240" w:lineRule="auto"/>
            </w:pPr>
            <w:r>
              <w:t>Training attendance records, training curriculum, topics covered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D805CF8">
            <w:pPr>
              <w:spacing w:after="0" w:line="240" w:lineRule="auto"/>
            </w:pPr>
            <w:r>
              <w:t>Mandatory training for all 180 staff. Q3 2025 completion: 98% attendance. Topics: GDPR, phishing, secure coding.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2ACBF64">
            <w:pPr>
              <w:spacing w:after="0" w:line="240" w:lineRule="auto"/>
            </w:pPr>
            <w:r>
              <w:t>3/3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1E06FA0">
            <w:pPr>
              <w:spacing w:after="0" w:line="240" w:lineRule="auto"/>
            </w:pPr>
            <w:r>
              <w:t>Strong culture; near-universal completion.</w:t>
            </w:r>
          </w:p>
        </w:tc>
      </w:tr>
      <w:tr w14:paraId="205DE39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D27A125">
            <w:pPr>
              <w:spacing w:after="0" w:line="240" w:lineRule="auto"/>
            </w:pPr>
            <w:r>
              <w:t>Have you experienced any security incidents in the past 3 years affecting customer data? If yes, describe response and remediation.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BF31109">
            <w:pPr>
              <w:spacing w:after="0" w:line="240" w:lineRule="auto"/>
            </w:pPr>
            <w:r>
              <w:t>Incident log, root cause analysis, remediation evidence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4BDB4A3">
            <w:pPr>
              <w:spacing w:after="0" w:line="240" w:lineRule="auto"/>
            </w:pPr>
            <w:r>
              <w:t>1 minor incident (2023): unauthorised access attempt to staging environment. Contained within 2 hours. RCA completed; MFA enforced. No customer data exposed.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A6F5194">
            <w:pPr>
              <w:spacing w:after="0" w:line="240" w:lineRule="auto"/>
            </w:pPr>
            <w:r>
              <w:t>3/3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ABF851E">
            <w:pPr>
              <w:spacing w:after="0" w:line="240" w:lineRule="auto"/>
            </w:pPr>
            <w:r>
              <w:t>Transparent disclosure; swift response; good RCA documentation.</w:t>
            </w:r>
          </w:p>
        </w:tc>
      </w:tr>
    </w:tbl>
    <w:p w14:paraId="765BBB73"/>
    <w:p w14:paraId="0546B66A">
      <w:pPr>
        <w:spacing w:after="210"/>
      </w:pPr>
      <w:r>
        <w:rPr>
          <w:b/>
        </w:rPr>
        <w:t>Section 1 Total: 15 / 15</w:t>
      </w:r>
    </w:p>
    <w:p w14:paraId="6AB7EED0">
      <w:r>
        <w:pict>
          <v:rect id="_x0000_i1029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8EB779">
      <w:pPr>
        <w:spacing w:before="240" w:line="271" w:lineRule="auto"/>
      </w:pPr>
      <w:bookmarkStart w:id="6" w:name="section_2_data_protection_gdpr_20_cff6fa"/>
      <w:r>
        <w:rPr>
          <w:b/>
          <w:sz w:val="28"/>
        </w:rPr>
        <w:t>Section 2: Data Protection &amp; GDPR (20 points possible)</w:t>
      </w:r>
      <w:bookmarkEnd w:id="6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3"/>
        <w:gridCol w:w="2021"/>
        <w:gridCol w:w="2277"/>
        <w:gridCol w:w="834"/>
        <w:gridCol w:w="1875"/>
      </w:tblGrid>
      <w:tr w14:paraId="164DF98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CC39258">
            <w:pPr>
              <w:spacing w:after="0" w:line="240" w:lineRule="auto"/>
            </w:pPr>
            <w:r>
              <w:t>Question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9465745">
            <w:pPr>
              <w:spacing w:after="0" w:line="240" w:lineRule="auto"/>
            </w:pPr>
            <w:r>
              <w:t>Expected Evidence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52DE1F1">
            <w:pPr>
              <w:spacing w:after="0" w:line="240" w:lineRule="auto"/>
            </w:pPr>
            <w:r>
              <w:t>Vendor Response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B610201">
            <w:pPr>
              <w:spacing w:after="0" w:line="240" w:lineRule="auto"/>
            </w:pPr>
            <w:r>
              <w:t>Score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74C1584">
            <w:pPr>
              <w:spacing w:after="0" w:line="240" w:lineRule="auto"/>
            </w:pPr>
            <w:r>
              <w:t>Notes</w:t>
            </w:r>
          </w:p>
        </w:tc>
      </w:tr>
      <w:tr w14:paraId="45E488B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7D5DE9A">
            <w:pPr>
              <w:spacing w:after="0" w:line="240" w:lineRule="auto"/>
            </w:pPr>
            <w:r>
              <w:t>Can you confirm your processing of our customer data complies with GDPR Article 28 (Data Processing Agreement)? Provide DPA.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47D6CAF">
            <w:pPr>
              <w:spacing w:after="0" w:line="240" w:lineRule="auto"/>
            </w:pPr>
            <w:r>
              <w:t>Signed DPA; description of processing activities; list of sub-processors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C94DB1A">
            <w:pPr>
              <w:spacing w:after="0" w:line="240" w:lineRule="auto"/>
            </w:pPr>
            <w:r>
              <w:t>Provided executed DPA (signed Dec 2025). Lists 3 sub-processors (cloud hosting, analytics, backup). Each sub-processor has onboarded DPA.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1FFC1C0">
            <w:pPr>
              <w:spacing w:after="0" w:line="240" w:lineRule="auto"/>
            </w:pPr>
            <w:r>
              <w:t>4/4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802EB14">
            <w:pPr>
              <w:spacing w:after="0" w:line="240" w:lineRule="auto"/>
            </w:pPr>
            <w:r>
              <w:t>Full compliance; sub-processor chain documented.</w:t>
            </w:r>
          </w:p>
        </w:tc>
      </w:tr>
      <w:tr w14:paraId="5273023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1FD4D24">
            <w:pPr>
              <w:spacing w:after="0" w:line="240" w:lineRule="auto"/>
            </w:pPr>
            <w:r>
              <w:t>Where is our data physically stored and backed up? Confirm UK/EU residency if required.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A8BD7C6">
            <w:pPr>
              <w:spacing w:after="0" w:line="240" w:lineRule="auto"/>
            </w:pPr>
            <w:r>
              <w:t>Data centre locations; backup site locations; redundancy documentation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C337CF5">
            <w:pPr>
              <w:spacing w:after="0" w:line="240" w:lineRule="auto"/>
            </w:pPr>
            <w:r>
              <w:t>Primary: AWS London (eu-west-2). Backup: AWS Frankfurt (eu-central-1). Both within EU; compliant with UK-hosted requirement.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8E3DC09">
            <w:pPr>
              <w:spacing w:after="0" w:line="240" w:lineRule="auto"/>
            </w:pPr>
            <w:r>
              <w:t>4/4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67F821E">
            <w:pPr>
              <w:spacing w:after="0" w:line="240" w:lineRule="auto"/>
            </w:pPr>
            <w:r>
              <w:t>Meets data residency requirements; geographically distributed.</w:t>
            </w:r>
          </w:p>
        </w:tc>
      </w:tr>
      <w:tr w14:paraId="40FA3A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7E9ECFB">
            <w:pPr>
              <w:spacing w:after="0" w:line="240" w:lineRule="auto"/>
            </w:pPr>
            <w:r>
              <w:t>Have you conducted a Data Protection Impact Assessment (DPIA) for your processing of our data?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345547D">
            <w:pPr>
              <w:spacing w:after="0" w:line="240" w:lineRule="auto"/>
            </w:pPr>
            <w:r>
              <w:t>DPIA document covering processing purpose, risks, mitigations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A944B1B">
            <w:pPr>
              <w:spacing w:after="0" w:line="240" w:lineRule="auto"/>
            </w:pPr>
            <w:r>
              <w:t>Provided DPIA (updated Sept 2025) covering transaction processing, fraud detection, reporting. Identified medium-risk areas mitigated by encryption and access controls.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676D8C9">
            <w:pPr>
              <w:spacing w:after="0" w:line="240" w:lineRule="auto"/>
            </w:pPr>
            <w:r>
              <w:t>4/4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5E89785">
            <w:pPr>
              <w:spacing w:after="0" w:line="240" w:lineRule="auto"/>
            </w:pPr>
            <w:r>
              <w:t>Proactive DPIA; demonstrates privacy-by-design thinking.</w:t>
            </w:r>
          </w:p>
        </w:tc>
      </w:tr>
      <w:tr w14:paraId="7D2FE43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3D41A6E">
            <w:pPr>
              <w:spacing w:after="0" w:line="240" w:lineRule="auto"/>
            </w:pPr>
            <w:r>
              <w:t>Do you have a Data Breach Notification procedure? How quickly will you notify us of a breach?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CD9D842">
            <w:pPr>
              <w:spacing w:after="0" w:line="240" w:lineRule="auto"/>
            </w:pPr>
            <w:r>
              <w:t>Policy document; commitment to notification timeline (GDPR: 72 hours or earlier)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ED98908">
            <w:pPr>
              <w:spacing w:after="0" w:line="240" w:lineRule="auto"/>
            </w:pPr>
            <w:r>
              <w:t>Documented procedure: internal incident response team notifies Account Manager within 24 hours; AM notifies customer within 48 hours. Aligned to GDPR requirements.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689BCF9">
            <w:pPr>
              <w:spacing w:after="0" w:line="240" w:lineRule="auto"/>
            </w:pPr>
            <w:r>
              <w:t>4/4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A663538">
            <w:pPr>
              <w:spacing w:after="0" w:line="240" w:lineRule="auto"/>
            </w:pPr>
            <w:r>
              <w:t>Fast notification timeline; clear escalation path.</w:t>
            </w:r>
          </w:p>
        </w:tc>
      </w:tr>
      <w:tr w14:paraId="6FA6A06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2E0264A">
            <w:pPr>
              <w:spacing w:after="0" w:line="240" w:lineRule="auto"/>
            </w:pPr>
            <w:r>
              <w:t>Can you confirm you do NOT transfer our data outside the UK/EU without explicit consent?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D9E0F5F">
            <w:pPr>
              <w:spacing w:after="0" w:line="240" w:lineRule="auto"/>
            </w:pPr>
            <w:r>
              <w:t>Confirmation statement; evidence of data localisation or standard contractual clauses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C784229">
            <w:pPr>
              <w:spacing w:after="0" w:line="240" w:lineRule="auto"/>
            </w:pPr>
            <w:r>
              <w:t>Confirmed: no transfers outside EU. If future need arises, will use SCCs and conduct DPIA prior to transfer. Approved in writing.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5552433">
            <w:pPr>
              <w:spacing w:after="0" w:line="240" w:lineRule="auto"/>
            </w:pPr>
            <w:r>
              <w:t>4/4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989F873">
            <w:pPr>
              <w:spacing w:after="0" w:line="240" w:lineRule="auto"/>
            </w:pPr>
            <w:r>
              <w:t>Strong commitment to data sovereignty.</w:t>
            </w:r>
          </w:p>
        </w:tc>
      </w:tr>
    </w:tbl>
    <w:p w14:paraId="396EBC7F"/>
    <w:p w14:paraId="52BE2AE2">
      <w:pPr>
        <w:spacing w:after="210"/>
      </w:pPr>
      <w:r>
        <w:rPr>
          <w:b/>
        </w:rPr>
        <w:t>Section 2 Total: 20 / 20</w:t>
      </w:r>
    </w:p>
    <w:p w14:paraId="08DF0196">
      <w:r>
        <w:pict>
          <v:rect id="_x0000_i1030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7D2FED">
      <w:pPr>
        <w:spacing w:before="240" w:line="271" w:lineRule="auto"/>
      </w:pPr>
      <w:bookmarkStart w:id="7" w:name="section_3_infrastructure_technica_80b512"/>
      <w:r>
        <w:rPr>
          <w:b/>
          <w:sz w:val="28"/>
        </w:rPr>
        <w:t>Section 3: Infrastructure &amp; Technical Controls (25 points possible)</w:t>
      </w:r>
      <w:bookmarkEnd w:id="7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79"/>
        <w:gridCol w:w="1870"/>
        <w:gridCol w:w="2235"/>
        <w:gridCol w:w="834"/>
        <w:gridCol w:w="2202"/>
      </w:tblGrid>
      <w:tr w14:paraId="25ACD41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BE64F11">
            <w:pPr>
              <w:spacing w:after="0" w:line="240" w:lineRule="auto"/>
            </w:pPr>
            <w:r>
              <w:t>Question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C572CDC">
            <w:pPr>
              <w:spacing w:after="0" w:line="240" w:lineRule="auto"/>
            </w:pPr>
            <w:r>
              <w:t>Expected Evidence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66FD5D7">
            <w:pPr>
              <w:spacing w:after="0" w:line="240" w:lineRule="auto"/>
            </w:pPr>
            <w:r>
              <w:t>Vendor Response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171EEA5">
            <w:pPr>
              <w:spacing w:after="0" w:line="240" w:lineRule="auto"/>
            </w:pPr>
            <w:r>
              <w:t>Score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CD6C591">
            <w:pPr>
              <w:spacing w:after="0" w:line="240" w:lineRule="auto"/>
            </w:pPr>
            <w:r>
              <w:t>Notes</w:t>
            </w:r>
          </w:p>
        </w:tc>
      </w:tr>
      <w:tr w14:paraId="3864B28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68F9023">
            <w:pPr>
              <w:spacing w:after="0" w:line="240" w:lineRule="auto"/>
            </w:pPr>
            <w:r>
              <w:t>What is your encryption standard for data in transit and at rest?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F14FAA0">
            <w:pPr>
              <w:spacing w:after="0" w:line="240" w:lineRule="auto"/>
            </w:pPr>
            <w:r>
              <w:t>TLS version (1.2+), AES-256 or equivalent encryption for stored data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746DDB1">
            <w:pPr>
              <w:spacing w:after="0" w:line="240" w:lineRule="auto"/>
            </w:pPr>
            <w:r>
              <w:t>TLS 1.3 for all APIs and web traffic. Data at rest: AES-256 encryption. Database encryption enabled. Encryption keys managed by AWS KMS.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C2265F6">
            <w:pPr>
              <w:spacing w:after="0" w:line="240" w:lineRule="auto"/>
            </w:pPr>
            <w:r>
              <w:t>5/5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6A2D8A0">
            <w:pPr>
              <w:spacing w:after="0" w:line="240" w:lineRule="auto"/>
            </w:pPr>
            <w:r>
              <w:t>Industry-leading encryption; key management appropriate.</w:t>
            </w:r>
          </w:p>
        </w:tc>
      </w:tr>
      <w:tr w14:paraId="3C8B83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3B93E89">
            <w:pPr>
              <w:spacing w:after="0" w:line="240" w:lineRule="auto"/>
            </w:pPr>
            <w:r>
              <w:t>Do you conduct annual penetration testing and provide summary results?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954B35E">
            <w:pPr>
              <w:spacing w:after="0" w:line="240" w:lineRule="auto"/>
            </w:pPr>
            <w:r>
              <w:t>Pentest report (anonymised summary acceptable); scope and findings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EE24C0C">
            <w:pPr>
              <w:spacing w:after="0" w:line="240" w:lineRule="auto"/>
            </w:pPr>
            <w:r>
              <w:t>Annual pentest by Big-4 firm (Deloitte). Latest report: Jan 2025. 3 medium findings (all remediated). High/Critical: 0. Summary provided (detailed report under NDA).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65B2626">
            <w:pPr>
              <w:spacing w:after="0" w:line="240" w:lineRule="auto"/>
            </w:pPr>
            <w:r>
              <w:t>4/5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3EE9A46">
            <w:pPr>
              <w:spacing w:after="0" w:line="240" w:lineRule="auto"/>
            </w:pPr>
            <w:r>
              <w:t>Good practice; regular testing. Minor deduction for not sharing full details, but understandable under NDA.</w:t>
            </w:r>
          </w:p>
        </w:tc>
      </w:tr>
      <w:tr w14:paraId="493EC15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14D8D2C">
            <w:pPr>
              <w:spacing w:after="0" w:line="240" w:lineRule="auto"/>
            </w:pPr>
            <w:r>
              <w:t>What is your infrastructure uptime / SLA?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6ACD96F">
            <w:pPr>
              <w:spacing w:after="0" w:line="240" w:lineRule="auto"/>
            </w:pPr>
            <w:r>
              <w:t>Service Level Agreement (SLA) document; uptime commitment (99.9% or higher expected for CRITICAL)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8EB7202">
            <w:pPr>
              <w:spacing w:after="0" w:line="240" w:lineRule="auto"/>
            </w:pPr>
            <w:r>
              <w:t>Committed 99.95% uptime SLA. Actual 2025 performance: 99.97%. Backed by credits if breached. Monitoring via third-party service (Pingdom).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C45963E">
            <w:pPr>
              <w:spacing w:after="0" w:line="240" w:lineRule="auto"/>
            </w:pPr>
            <w:r>
              <w:t>5/5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6425984">
            <w:pPr>
              <w:spacing w:after="0" w:line="240" w:lineRule="auto"/>
            </w:pPr>
            <w:r>
              <w:t>Exceeds expectations; independently verified.</w:t>
            </w:r>
          </w:p>
        </w:tc>
      </w:tr>
      <w:tr w14:paraId="032B9E2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D75BB33">
            <w:pPr>
              <w:spacing w:after="0" w:line="240" w:lineRule="auto"/>
            </w:pPr>
            <w:r>
              <w:t>Do you have a Disaster Recovery (DR) and Business Continuity (BC) plan?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1D87E52">
            <w:pPr>
              <w:spacing w:after="0" w:line="240" w:lineRule="auto"/>
            </w:pPr>
            <w:r>
              <w:t>DR/BC plan; RTO/RPO targets; evidence of testing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489B71E">
            <w:pPr>
              <w:spacing w:after="0" w:line="240" w:lineRule="auto"/>
            </w:pPr>
            <w:r>
              <w:t>DR plan updated Q4 2025. RTO: 4 hours (live failover to secondary region). RPO: 1 minute. Tested quarterly. Last test: Dec 2025 (successful).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570CFDE">
            <w:pPr>
              <w:spacing w:after="0" w:line="240" w:lineRule="auto"/>
            </w:pPr>
            <w:r>
              <w:t>5/5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59A1756">
            <w:pPr>
              <w:spacing w:after="0" w:line="240" w:lineRule="auto"/>
            </w:pPr>
            <w:r>
              <w:t>Strong resilience; regularly validated.</w:t>
            </w:r>
          </w:p>
        </w:tc>
      </w:tr>
      <w:tr w14:paraId="02456F7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963E49D">
            <w:pPr>
              <w:spacing w:after="0" w:line="240" w:lineRule="auto"/>
            </w:pPr>
            <w:r>
              <w:t>Do you use secure development practices (code review, SAST, dependency scanning)?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0EE64A0">
            <w:pPr>
              <w:spacing w:after="0" w:line="240" w:lineRule="auto"/>
            </w:pPr>
            <w:r>
              <w:t>Evidence of secure SDLC: code review process, SAST tool output, dependency scanning results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941DB68">
            <w:pPr>
              <w:spacing w:after="0" w:line="240" w:lineRule="auto"/>
            </w:pPr>
            <w:r>
              <w:t>Implemented: mandatory peer code review, SonarQube SAST scanning, GitHub dependency scanning. All 3 critical vulnerabilities found in 2025 were patched before release.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D457BDA">
            <w:pPr>
              <w:spacing w:after="0" w:line="240" w:lineRule="auto"/>
            </w:pPr>
            <w:r>
              <w:t>5/5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C26F4CF">
            <w:pPr>
              <w:spacing w:after="0" w:line="240" w:lineRule="auto"/>
            </w:pPr>
            <w:r>
              <w:t>Mature secure development culture.</w:t>
            </w:r>
          </w:p>
        </w:tc>
      </w:tr>
      <w:tr w14:paraId="2B799718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F8537DB">
            <w:pPr>
              <w:spacing w:after="0" w:line="240" w:lineRule="auto"/>
            </w:pPr>
            <w:r>
              <w:t>How do you manage access to our data (least privilege, MFA, role-based access)?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6B336DF">
            <w:pPr>
              <w:spacing w:after="0" w:line="240" w:lineRule="auto"/>
            </w:pPr>
            <w:r>
              <w:t>Access control policy; evidence of MFA; role definitions; access logs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EC614C1">
            <w:pPr>
              <w:spacing w:after="0" w:line="240" w:lineRule="auto"/>
            </w:pPr>
            <w:r>
              <w:t>All system access requires MFA. RBAC implemented: transaction processor, auditor, admin roles. Access logs retained for 12 months. Quarterly access reviews conducted.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52CA583">
            <w:pPr>
              <w:spacing w:after="0" w:line="240" w:lineRule="auto"/>
            </w:pPr>
            <w:r>
              <w:t>1/5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991507C">
            <w:pPr>
              <w:spacing w:after="0" w:line="240" w:lineRule="auto"/>
            </w:pPr>
            <w:r>
              <w:t>Critical finding: access logs retention is only 12 months (industry standard is 3 years for payment data). Remediation plan required.</w:t>
            </w:r>
          </w:p>
        </w:tc>
      </w:tr>
    </w:tbl>
    <w:p w14:paraId="56B71284"/>
    <w:p w14:paraId="2F488DD9">
      <w:pPr>
        <w:spacing w:after="210"/>
      </w:pPr>
      <w:r>
        <w:rPr>
          <w:b/>
        </w:rPr>
        <w:t>Section 3 Total: 25 / 30</w:t>
      </w:r>
      <w:r>
        <w:rPr>
          <w:rFonts w:ascii="Georgia" w:hAnsi="Georgia" w:eastAsia="Georgia" w:cs="Georgia"/>
        </w:rPr>
        <w:t xml:space="preserve"> ⚠️ </w:t>
      </w:r>
      <w:r>
        <w:rPr>
          <w:b/>
        </w:rPr>
        <w:t>One Control Gap Identified</w:t>
      </w:r>
    </w:p>
    <w:p w14:paraId="485BA91A">
      <w:r>
        <w:pict>
          <v:rect id="_x0000_i1031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822A36">
      <w:pPr>
        <w:spacing w:before="240" w:line="271" w:lineRule="auto"/>
      </w:pPr>
      <w:bookmarkStart w:id="8" w:name="section_4_audit_compliance_15_poi_c053ce"/>
      <w:r>
        <w:rPr>
          <w:b/>
          <w:sz w:val="28"/>
        </w:rPr>
        <w:t>Section 4: Audit &amp; Compliance (15 points possible)</w:t>
      </w:r>
      <w:bookmarkEnd w:id="8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68"/>
        <w:gridCol w:w="1928"/>
        <w:gridCol w:w="2385"/>
        <w:gridCol w:w="834"/>
        <w:gridCol w:w="2005"/>
      </w:tblGrid>
      <w:tr w14:paraId="77BED553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88C2D99">
            <w:pPr>
              <w:spacing w:after="0" w:line="240" w:lineRule="auto"/>
            </w:pPr>
            <w:r>
              <w:t>Question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988D92F">
            <w:pPr>
              <w:spacing w:after="0" w:line="240" w:lineRule="auto"/>
            </w:pPr>
            <w:r>
              <w:t>Expected Evidence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235412B">
            <w:pPr>
              <w:spacing w:after="0" w:line="240" w:lineRule="auto"/>
            </w:pPr>
            <w:r>
              <w:t>Vendor Response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CAB6C30">
            <w:pPr>
              <w:spacing w:after="0" w:line="240" w:lineRule="auto"/>
            </w:pPr>
            <w:r>
              <w:t>Score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8418C14">
            <w:pPr>
              <w:spacing w:after="0" w:line="240" w:lineRule="auto"/>
            </w:pPr>
            <w:r>
              <w:t>Notes</w:t>
            </w:r>
          </w:p>
        </w:tc>
      </w:tr>
      <w:tr w14:paraId="1F7F213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C904F20">
            <w:pPr>
              <w:spacing w:after="0" w:line="240" w:lineRule="auto"/>
            </w:pPr>
            <w:r>
              <w:t>Have you passed SOC 2 Type II audit?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25D5C36">
            <w:pPr>
              <w:spacing w:after="0" w:line="240" w:lineRule="auto"/>
            </w:pPr>
            <w:r>
              <w:t>SOC 2 Type II report; compliance with CC (Common Criteria) controls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893F531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Yes – SOC 2 Type II (CC, A, CM, I&amp;O scope). Report issued Jan 2025 for period ending Dec 2024. Opinion: unqualified (no exceptions).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2A319B6">
            <w:pPr>
              <w:spacing w:after="0" w:line="240" w:lineRule="auto"/>
            </w:pPr>
            <w:r>
              <w:t>5/5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4309B9F">
            <w:pPr>
              <w:spacing w:after="0" w:line="240" w:lineRule="auto"/>
            </w:pPr>
            <w:r>
              <w:t>Excellent; unqualified opinion demonstrates strong controls.</w:t>
            </w:r>
          </w:p>
        </w:tc>
      </w:tr>
      <w:tr w14:paraId="0458C18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B3C1503">
            <w:pPr>
              <w:spacing w:after="0" w:line="240" w:lineRule="auto"/>
            </w:pPr>
            <w:r>
              <w:t>Are you compliant with PCI-DSS (if you handle payment card data)?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61C032D">
            <w:pPr>
              <w:spacing w:after="0" w:line="240" w:lineRule="auto"/>
            </w:pPr>
            <w:r>
              <w:t>PCI-DSS attestation; vulnerability scan results (annual)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D584F88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Yes – PCI-DSS 3.2.1 compliant (payment processor). Annual scan by Approved Scanning Vendor (ASV) completed Nov 2025. Status: PASS.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AB4B2B0">
            <w:pPr>
              <w:spacing w:after="0" w:line="240" w:lineRule="auto"/>
            </w:pPr>
            <w:r>
              <w:t>5/5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B0889C8">
            <w:pPr>
              <w:spacing w:after="0" w:line="240" w:lineRule="auto"/>
            </w:pPr>
            <w:r>
              <w:t>Critical compliance achieved; independently verified.</w:t>
            </w:r>
          </w:p>
        </w:tc>
      </w:tr>
      <w:tr w14:paraId="45A31E4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73B2658">
            <w:pPr>
              <w:spacing w:after="0" w:line="240" w:lineRule="auto"/>
            </w:pPr>
            <w:r>
              <w:t>Can you provide a summary of any failed audits or material control gaps in the past 3 years?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07B4F6A">
            <w:pPr>
              <w:spacing w:after="0" w:line="240" w:lineRule="auto"/>
            </w:pPr>
            <w:r>
              <w:t>Audit findings; remediation evidence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13D3A32">
            <w:pPr>
              <w:spacing w:after="0" w:line="240" w:lineRule="auto"/>
            </w:pPr>
            <w:r>
              <w:t>No failed audits. 2025 ISO audit: 3 minor findings (all remediated within 30 days and re-verified). No material gaps.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7BB24D7">
            <w:pPr>
              <w:spacing w:after="0" w:line="240" w:lineRule="auto"/>
            </w:pPr>
            <w:r>
              <w:t>5/5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020542D">
            <w:pPr>
              <w:spacing w:after="0" w:line="240" w:lineRule="auto"/>
            </w:pPr>
            <w:r>
              <w:t>Clean audit history demonstrates control maturity.</w:t>
            </w:r>
          </w:p>
        </w:tc>
      </w:tr>
    </w:tbl>
    <w:p w14:paraId="24C1BB1C"/>
    <w:p w14:paraId="79028E69">
      <w:pPr>
        <w:spacing w:after="210"/>
      </w:pPr>
      <w:r>
        <w:rPr>
          <w:b/>
        </w:rPr>
        <w:t>Section 4 Total: 15 / 15</w:t>
      </w:r>
    </w:p>
    <w:p w14:paraId="47A43A19">
      <w:r>
        <w:pict>
          <v:rect id="_x0000_i1032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84DD418">
      <w:pPr>
        <w:spacing w:before="240" w:line="271" w:lineRule="auto"/>
      </w:pPr>
      <w:bookmarkStart w:id="9" w:name="overall_questionnaire_score"/>
      <w:r>
        <w:rPr>
          <w:b/>
          <w:sz w:val="33"/>
        </w:rPr>
        <w:t>Overall Questionnaire Score</w:t>
      </w:r>
      <w:bookmarkEnd w:id="9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630"/>
        <w:gridCol w:w="992"/>
        <w:gridCol w:w="727"/>
        <w:gridCol w:w="2791"/>
      </w:tblGrid>
      <w:tr w14:paraId="0A15323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A62354B">
            <w:pPr>
              <w:spacing w:after="0" w:line="240" w:lineRule="auto"/>
            </w:pPr>
            <w:r>
              <w:t>Section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95423C5">
            <w:pPr>
              <w:spacing w:after="0" w:line="240" w:lineRule="auto"/>
            </w:pPr>
            <w:r>
              <w:t>Score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5203366">
            <w:pPr>
              <w:spacing w:after="0" w:line="240" w:lineRule="auto"/>
            </w:pPr>
            <w:r>
              <w:t>Max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8F5788E">
            <w:pPr>
              <w:spacing w:after="0" w:line="240" w:lineRule="auto"/>
            </w:pPr>
            <w:r>
              <w:t>Status</w:t>
            </w:r>
          </w:p>
        </w:tc>
      </w:tr>
      <w:tr w14:paraId="5B4CC1A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FE517F1">
            <w:pPr>
              <w:spacing w:after="0" w:line="240" w:lineRule="auto"/>
            </w:pPr>
            <w:r>
              <w:t>Organisation &amp; Governance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39CFA90">
            <w:pPr>
              <w:spacing w:after="0" w:line="240" w:lineRule="auto"/>
            </w:pPr>
            <w:r>
              <w:t>15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B066918">
            <w:pPr>
              <w:spacing w:after="0" w:line="240" w:lineRule="auto"/>
            </w:pPr>
            <w:r>
              <w:t>15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5C264E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✅ Pass</w:t>
            </w:r>
          </w:p>
        </w:tc>
      </w:tr>
      <w:tr w14:paraId="4589CFE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76B5557">
            <w:pPr>
              <w:spacing w:after="0" w:line="240" w:lineRule="auto"/>
            </w:pPr>
            <w:r>
              <w:t>Data Protection &amp; GDPR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09BEAD2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FB453E9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CD60A7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✅ Pass</w:t>
            </w:r>
          </w:p>
        </w:tc>
      </w:tr>
      <w:tr w14:paraId="1D8AB33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E004A42">
            <w:pPr>
              <w:spacing w:after="0" w:line="240" w:lineRule="auto"/>
            </w:pPr>
            <w:r>
              <w:t>Infrastructure &amp; Technical Controls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670D123">
            <w:pPr>
              <w:spacing w:after="0" w:line="240" w:lineRule="auto"/>
            </w:pPr>
            <w:r>
              <w:t>25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9F761F9">
            <w:pPr>
              <w:spacing w:after="0" w:line="240" w:lineRule="auto"/>
            </w:pPr>
            <w:r>
              <w:t>30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9EDDC1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⚠️ Gap Found</w:t>
            </w:r>
          </w:p>
        </w:tc>
      </w:tr>
      <w:tr w14:paraId="6C5D3C5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E9F747E">
            <w:pPr>
              <w:spacing w:after="0" w:line="240" w:lineRule="auto"/>
            </w:pPr>
            <w:r>
              <w:t>Audit &amp; Compliance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A9890A3">
            <w:pPr>
              <w:spacing w:after="0" w:line="240" w:lineRule="auto"/>
            </w:pPr>
            <w:r>
              <w:t>15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9C6C29E">
            <w:pPr>
              <w:spacing w:after="0" w:line="240" w:lineRule="auto"/>
            </w:pPr>
            <w:r>
              <w:t>15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684DAB7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✅ Pass</w:t>
            </w:r>
          </w:p>
        </w:tc>
      </w:tr>
      <w:tr w14:paraId="2BEE75D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1097CA0">
            <w:pPr>
              <w:spacing w:after="0" w:line="240" w:lineRule="auto"/>
            </w:pPr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D0E8967">
            <w:pPr>
              <w:spacing w:after="0" w:line="240" w:lineRule="auto"/>
            </w:pPr>
            <w:r>
              <w:rPr>
                <w:b/>
              </w:rPr>
              <w:t>75 / 80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F0EEC13">
            <w:pPr>
              <w:spacing w:after="0" w:line="240" w:lineRule="auto"/>
            </w:pPr>
            <w:r>
              <w:rPr>
                <w:b/>
              </w:rPr>
              <w:t>80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02B11F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 xml:space="preserve">⚠️ </w:t>
            </w:r>
            <w:r>
              <w:rPr>
                <w:b/>
              </w:rPr>
              <w:t>Conditional Approval</w:t>
            </w:r>
          </w:p>
        </w:tc>
      </w:tr>
    </w:tbl>
    <w:p w14:paraId="3D4A71EB"/>
    <w:p w14:paraId="544AAFF6">
      <w:pPr>
        <w:spacing w:after="210"/>
      </w:pPr>
      <w:r>
        <w:rPr>
          <w:b/>
        </w:rPr>
        <w:t>Questionnaire Score: 94%</w:t>
      </w:r>
    </w:p>
    <w:p w14:paraId="630589C6">
      <w:r>
        <w:pict>
          <v:rect id="_x0000_i1033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C7FF55">
      <w:pPr>
        <w:spacing w:before="240" w:line="271" w:lineRule="auto"/>
      </w:pPr>
      <w:bookmarkStart w:id="10" w:name="part_2_risk_scoring_methodology"/>
      <w:r>
        <w:rPr>
          <w:b/>
          <w:sz w:val="42"/>
        </w:rPr>
        <w:t>Part 2: Risk Scoring Methodology</w:t>
      </w:r>
      <w:bookmarkEnd w:id="10"/>
    </w:p>
    <w:p w14:paraId="5322753E">
      <w:pPr>
        <w:spacing w:before="240" w:line="271" w:lineRule="auto"/>
      </w:pPr>
      <w:bookmarkStart w:id="11" w:name="risk_prioritisation_matrix"/>
      <w:r>
        <w:rPr>
          <w:b/>
          <w:sz w:val="33"/>
        </w:rPr>
        <w:t>Risk Prioritisation Matrix</w:t>
      </w:r>
      <w:bookmarkEnd w:id="11"/>
    </w:p>
    <w:p w14:paraId="05D520FB">
      <w:pPr>
        <w:spacing w:after="210"/>
      </w:pPr>
      <w:r>
        <w:t xml:space="preserve">Once questionnaire responses are scored, they feed into a </w:t>
      </w:r>
      <w:r>
        <w:rPr>
          <w:b/>
        </w:rPr>
        <w:t>risk prioritisation model</w:t>
      </w:r>
      <w:r>
        <w:t xml:space="preserve"> that combines:</w:t>
      </w:r>
    </w:p>
    <w:p w14:paraId="1DCADD34">
      <w:pPr>
        <w:numPr>
          <w:ilvl w:val="0"/>
          <w:numId w:val="2"/>
        </w:numPr>
      </w:pPr>
      <w:r>
        <w:rPr>
          <w:b/>
        </w:rPr>
        <w:t>Control Adequacy Score</w:t>
      </w:r>
      <w:r>
        <w:t xml:space="preserve"> (questionnaire results)</w:t>
      </w:r>
    </w:p>
    <w:p w14:paraId="04D6D42D">
      <w:pPr>
        <w:numPr>
          <w:ilvl w:val="0"/>
          <w:numId w:val="2"/>
        </w:numPr>
      </w:pPr>
      <w:r>
        <w:rPr>
          <w:b/>
        </w:rPr>
        <w:t>Vendor Criticality</w:t>
      </w:r>
      <w:r>
        <w:t xml:space="preserve"> (business impact if vendor fails)</w:t>
      </w:r>
    </w:p>
    <w:p w14:paraId="46B38102">
      <w:pPr>
        <w:numPr>
          <w:ilvl w:val="0"/>
          <w:numId w:val="2"/>
        </w:numPr>
      </w:pPr>
      <w:r>
        <w:rPr>
          <w:b/>
        </w:rPr>
        <w:t>Data Sensitivity</w:t>
      </w:r>
      <w:r>
        <w:t xml:space="preserve"> (type of data vendor handles)</w:t>
      </w:r>
    </w:p>
    <w:p w14:paraId="7530FDEC">
      <w:pPr>
        <w:numPr>
          <w:ilvl w:val="0"/>
          <w:numId w:val="2"/>
        </w:numPr>
      </w:pPr>
      <w:r>
        <w:rPr>
          <w:b/>
        </w:rPr>
        <w:t>Geopolitical &amp; Supplier Risk</w:t>
      </w:r>
      <w:r>
        <w:t xml:space="preserve"> (financial stability, concentration)</w:t>
      </w:r>
    </w:p>
    <w:p w14:paraId="1978215C">
      <w:pPr>
        <w:spacing w:before="240" w:line="271" w:lineRule="auto"/>
      </w:pPr>
      <w:bookmarkStart w:id="12" w:name="risk_calculation_formula"/>
      <w:r>
        <w:rPr>
          <w:b/>
          <w:sz w:val="33"/>
        </w:rPr>
        <w:t>Risk Calculation Formula</w:t>
      </w:r>
      <w:bookmarkEnd w:id="12"/>
    </w:p>
    <w:p w14:paraId="76A387E9">
      <w:pPr>
        <w:spacing w:after="210"/>
      </w:pPr>
      <w:r>
        <w:rPr>
          <w:rFonts w:ascii="Georgia" w:hAnsi="Georgia" w:eastAsia="Georgia" w:cs="Georgia"/>
        </w:rPr>
        <w:t>Risk Score = (1 - Control Adequacy %) × Criticality Weight × Data Sensitivity Weight</w:t>
      </w:r>
    </w:p>
    <w:p w14:paraId="010CB2F4">
      <w:pPr>
        <w:spacing w:after="210"/>
      </w:pPr>
      <w:r>
        <w:rPr>
          <w:b/>
        </w:rPr>
        <w:t>PayFlow Systems Example:</w:t>
      </w:r>
    </w:p>
    <w:p w14:paraId="3210D543">
      <w:pPr>
        <w:numPr>
          <w:ilvl w:val="0"/>
          <w:numId w:val="3"/>
        </w:numPr>
      </w:pPr>
      <w:r>
        <w:t>Control Adequacy: 94% (from questionnaire)</w:t>
      </w:r>
    </w:p>
    <w:p w14:paraId="79B05BB6">
      <w:pPr>
        <w:numPr>
          <w:ilvl w:val="0"/>
          <w:numId w:val="3"/>
        </w:numPr>
      </w:pPr>
      <w:r>
        <w:rPr>
          <w:rFonts w:ascii="Georgia" w:hAnsi="Georgia" w:eastAsia="Georgia" w:cs="Georgia"/>
        </w:rPr>
        <w:t>Criticality Weight: 1.0 (CRITICAL – handles live payments)</w:t>
      </w:r>
    </w:p>
    <w:p w14:paraId="156F5EB4">
      <w:pPr>
        <w:numPr>
          <w:ilvl w:val="0"/>
          <w:numId w:val="3"/>
        </w:numPr>
      </w:pPr>
      <w:r>
        <w:rPr>
          <w:rFonts w:ascii="Georgia" w:hAnsi="Georgia" w:eastAsia="Georgia" w:cs="Georgia"/>
        </w:rPr>
        <w:t>Data Sensitivity Weight: 1.0 (highest – PII + financial data)</w:t>
      </w:r>
    </w:p>
    <w:p w14:paraId="62CB23A0">
      <w:pPr>
        <w:spacing w:after="210"/>
      </w:pPr>
      <w:r>
        <w:rPr>
          <w:b/>
        </w:rPr>
        <w:t>Risk Score = (1 - 0.94) × 1.0 × 1.0 = 0.06 (6%)</w:t>
      </w:r>
    </w:p>
    <w:p w14:paraId="3ADC5D2B">
      <w:r>
        <w:pict>
          <v:rect id="_x0000_i1034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143FCBA">
      <w:pPr>
        <w:spacing w:before="240" w:line="271" w:lineRule="auto"/>
      </w:pPr>
      <w:bookmarkStart w:id="13" w:name="risk_rating_scale"/>
      <w:r>
        <w:rPr>
          <w:b/>
          <w:sz w:val="33"/>
        </w:rPr>
        <w:t>Risk Rating Scale</w:t>
      </w:r>
      <w:bookmarkEnd w:id="13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89"/>
        <w:gridCol w:w="1768"/>
        <w:gridCol w:w="6063"/>
      </w:tblGrid>
      <w:tr w14:paraId="4C3FC6E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D3F75B5">
            <w:pPr>
              <w:spacing w:after="0" w:line="240" w:lineRule="auto"/>
            </w:pPr>
            <w:r>
              <w:t>Risk Score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61B6231">
            <w:pPr>
              <w:spacing w:after="0" w:line="240" w:lineRule="auto"/>
            </w:pPr>
            <w:r>
              <w:t>Rating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C8CAFC8">
            <w:pPr>
              <w:spacing w:after="0" w:line="240" w:lineRule="auto"/>
            </w:pPr>
            <w:r>
              <w:t>Action</w:t>
            </w:r>
          </w:p>
        </w:tc>
      </w:tr>
      <w:tr w14:paraId="54F8A5B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70FA046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0 – 10%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3A0A78C">
            <w:pPr>
              <w:spacing w:after="0" w:line="240" w:lineRule="auto"/>
            </w:pPr>
            <w:r>
              <w:rPr>
                <w:b/>
              </w:rPr>
              <w:t>Green (Low)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72DF813">
            <w:pPr>
              <w:spacing w:after="0" w:line="240" w:lineRule="auto"/>
            </w:pPr>
            <w:r>
              <w:t>Annual review sufficient; monitor for changes</w:t>
            </w:r>
          </w:p>
        </w:tc>
      </w:tr>
      <w:tr w14:paraId="419DD60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38C7119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11 – 25%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71E4687">
            <w:pPr>
              <w:spacing w:after="0" w:line="240" w:lineRule="auto"/>
            </w:pPr>
            <w:r>
              <w:rPr>
                <w:b/>
              </w:rPr>
              <w:t>Yellow (Medium)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EB21B35">
            <w:pPr>
              <w:spacing w:after="0" w:line="240" w:lineRule="auto"/>
            </w:pPr>
            <w:r>
              <w:t>Semi-annual review; remediation plan for gaps</w:t>
            </w:r>
          </w:p>
        </w:tc>
      </w:tr>
      <w:tr w14:paraId="7AF2D1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598748E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26 – 50%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F91A03E">
            <w:pPr>
              <w:spacing w:after="0" w:line="240" w:lineRule="auto"/>
            </w:pPr>
            <w:r>
              <w:rPr>
                <w:b/>
              </w:rPr>
              <w:t>Orange (High)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142D3473">
            <w:pPr>
              <w:spacing w:after="0" w:line="240" w:lineRule="auto"/>
            </w:pPr>
            <w:r>
              <w:t>Quarterly review; SLA for gap closure; escalate to CISO</w:t>
            </w:r>
          </w:p>
        </w:tc>
      </w:tr>
      <w:tr w14:paraId="3F5876E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229C0A3">
            <w:pPr>
              <w:spacing w:after="0" w:line="240" w:lineRule="auto"/>
            </w:pPr>
            <w:r>
              <w:rPr>
                <w:rFonts w:ascii="Georgia" w:hAnsi="Georgia" w:eastAsia="Georgia" w:cs="Georgia"/>
              </w:rPr>
              <w:t>51 – 100%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F26D7A0">
            <w:pPr>
              <w:spacing w:after="0" w:line="240" w:lineRule="auto"/>
            </w:pPr>
            <w:r>
              <w:rPr>
                <w:b/>
              </w:rPr>
              <w:t>Red (Critical)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12D3A2A">
            <w:pPr>
              <w:spacing w:after="0" w:line="240" w:lineRule="auto"/>
            </w:pPr>
            <w:r>
              <w:t>Monthly review; immediate remediation required; consider alternative vendor</w:t>
            </w:r>
          </w:p>
        </w:tc>
      </w:tr>
    </w:tbl>
    <w:p w14:paraId="0F173ACA"/>
    <w:p w14:paraId="039A5BD7">
      <w:pPr>
        <w:spacing w:after="210"/>
      </w:pPr>
      <w:r>
        <w:rPr>
          <w:b/>
        </w:rPr>
        <w:t>PayFlow Systems Risk Rating: 🟢 GREEN (6%)</w:t>
      </w:r>
    </w:p>
    <w:p w14:paraId="1C0D0ED5">
      <w:r>
        <w:pict>
          <v:rect id="_x0000_i1035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77DAA7">
      <w:pPr>
        <w:spacing w:before="240" w:line="271" w:lineRule="auto"/>
      </w:pPr>
      <w:bookmarkStart w:id="14" w:name="remediation_roadmap_control_gap"/>
      <w:r>
        <w:rPr>
          <w:b/>
          <w:sz w:val="33"/>
        </w:rPr>
        <w:t>Remediation Roadmap (Control Gap)</w:t>
      </w:r>
      <w:bookmarkEnd w:id="14"/>
    </w:p>
    <w:p w14:paraId="2BC3E242">
      <w:pPr>
        <w:spacing w:after="210"/>
      </w:pPr>
      <w:r>
        <w:rPr>
          <w:b/>
        </w:rPr>
        <w:t>Identified Gap:</w:t>
      </w:r>
      <w:r>
        <w:t xml:space="preserve"> Access log retention only 12 months (industry standard: 3 years for payment data)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638"/>
        <w:gridCol w:w="2544"/>
        <w:gridCol w:w="1455"/>
        <w:gridCol w:w="1383"/>
      </w:tblGrid>
      <w:tr w14:paraId="14BE77C1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431B2B5">
            <w:pPr>
              <w:spacing w:after="0" w:line="240" w:lineRule="auto"/>
            </w:pPr>
            <w:r>
              <w:t>Action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F47D6A4">
            <w:pPr>
              <w:spacing w:after="0" w:line="240" w:lineRule="auto"/>
            </w:pPr>
            <w:r>
              <w:t>Owner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3D8BE74">
            <w:pPr>
              <w:spacing w:after="0" w:line="240" w:lineRule="auto"/>
            </w:pPr>
            <w:r>
              <w:t>Target Date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D7578A3">
            <w:pPr>
              <w:spacing w:after="0" w:line="240" w:lineRule="auto"/>
            </w:pPr>
            <w:r>
              <w:t>Status</w:t>
            </w:r>
          </w:p>
        </w:tc>
      </w:tr>
      <w:tr w14:paraId="57B8F6AB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A62FDB7">
            <w:pPr>
              <w:spacing w:after="0" w:line="240" w:lineRule="auto"/>
            </w:pPr>
            <w:r>
              <w:t>Implement 3-year log retention in SIEM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23AF108">
            <w:pPr>
              <w:spacing w:after="0" w:line="240" w:lineRule="auto"/>
            </w:pPr>
            <w:r>
              <w:t>PayFlow CISO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7455D4B">
            <w:pPr>
              <w:spacing w:after="0" w:line="240" w:lineRule="auto"/>
            </w:pPr>
            <w:r>
              <w:t>Mar 31, 2026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2E8C13B3">
            <w:pPr>
              <w:spacing w:after="0" w:line="240" w:lineRule="auto"/>
            </w:pPr>
            <w:r>
              <w:t>In Progress</w:t>
            </w:r>
          </w:p>
        </w:tc>
      </w:tr>
      <w:tr w14:paraId="1EF1BF8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E1DB896">
            <w:pPr>
              <w:spacing w:after="0" w:line="240" w:lineRule="auto"/>
            </w:pPr>
            <w:r>
              <w:t>Provide evidence of migration plan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5081407">
            <w:pPr>
              <w:spacing w:after="0" w:line="240" w:lineRule="auto"/>
            </w:pPr>
            <w:r>
              <w:t>PayFlow Account Manager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E0EE7A0">
            <w:pPr>
              <w:spacing w:after="0" w:line="240" w:lineRule="auto"/>
            </w:pPr>
            <w:r>
              <w:t>Feb 15, 2026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0000758F">
            <w:pPr>
              <w:spacing w:after="0" w:line="240" w:lineRule="auto"/>
            </w:pPr>
            <w:r>
              <w:t>Pending</w:t>
            </w:r>
          </w:p>
        </w:tc>
      </w:tr>
      <w:tr w14:paraId="5F0ECD84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89557AA">
            <w:pPr>
              <w:spacing w:after="0" w:line="240" w:lineRule="auto"/>
            </w:pPr>
            <w:r>
              <w:t>Confirm testing &amp; validation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4B22FF1">
            <w:pPr>
              <w:spacing w:after="0" w:line="240" w:lineRule="auto"/>
            </w:pPr>
            <w:r>
              <w:t>PayFlow Security Team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B0151D4">
            <w:pPr>
              <w:spacing w:after="0" w:line="240" w:lineRule="auto"/>
            </w:pPr>
            <w:r>
              <w:t>Apr 15, 2026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79F849D1">
            <w:pPr>
              <w:spacing w:after="0" w:line="240" w:lineRule="auto"/>
            </w:pPr>
            <w:r>
              <w:t>Not Started</w:t>
            </w:r>
          </w:p>
        </w:tc>
      </w:tr>
      <w:tr w14:paraId="7FDA74D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noWrap w:val="0"/>
            <w:vAlign w:val="top"/>
          </w:tcPr>
          <w:p w14:paraId="52728917">
            <w:pPr>
              <w:spacing w:after="0" w:line="240" w:lineRule="auto"/>
            </w:pPr>
            <w:r>
              <w:t>Re-assess and update control score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659064E4">
            <w:pPr>
              <w:spacing w:after="0" w:line="240" w:lineRule="auto"/>
            </w:pPr>
            <w:r>
              <w:t>Shivam Kumar (us)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3B73AE5A">
            <w:pPr>
              <w:spacing w:after="0" w:line="240" w:lineRule="auto"/>
            </w:pPr>
            <w:r>
              <w:t>May 1, 2026</w:t>
            </w:r>
          </w:p>
        </w:tc>
        <w:tc>
          <w:tcPr>
            <w:tcW w:w="0" w:type="auto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noWrap w:val="0"/>
            <w:vAlign w:val="top"/>
          </w:tcPr>
          <w:p w14:paraId="444085D5">
            <w:pPr>
              <w:spacing w:after="0" w:line="240" w:lineRule="auto"/>
            </w:pPr>
            <w:r>
              <w:t>Scheduled</w:t>
            </w:r>
          </w:p>
        </w:tc>
      </w:tr>
    </w:tbl>
    <w:p w14:paraId="19802EA8"/>
    <w:p w14:paraId="6FC6BBC6">
      <w:pPr>
        <w:spacing w:after="210"/>
      </w:pPr>
      <w:r>
        <w:rPr>
          <w:b/>
        </w:rPr>
        <w:t>Expected Updated Risk Score: 2% (GREEN)</w:t>
      </w:r>
    </w:p>
    <w:p w14:paraId="48F2D6BD">
      <w:r>
        <w:pict>
          <v:rect id="_x0000_i1036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C71728E">
      <w:pPr>
        <w:spacing w:before="240" w:line="271" w:lineRule="auto"/>
      </w:pPr>
      <w:bookmarkStart w:id="15" w:name="part_3_one_page_case_study_strate_842795"/>
      <w:r>
        <w:rPr>
          <w:b/>
          <w:sz w:val="42"/>
        </w:rPr>
        <w:t>Part 3: One-Page Case Study: Strategic Decision</w:t>
      </w:r>
      <w:bookmarkEnd w:id="15"/>
    </w:p>
    <w:p w14:paraId="2C557CB9">
      <w:pPr>
        <w:spacing w:before="240" w:line="271" w:lineRule="auto"/>
      </w:pPr>
      <w:bookmarkStart w:id="16" w:name="situation"/>
      <w:r>
        <w:rPr>
          <w:b/>
          <w:sz w:val="33"/>
        </w:rPr>
        <w:t>Situation</w:t>
      </w:r>
      <w:bookmarkEnd w:id="16"/>
    </w:p>
    <w:p w14:paraId="3D9A4E4A">
      <w:pPr>
        <w:spacing w:after="210"/>
      </w:pPr>
      <w:r>
        <w:t xml:space="preserve">PayFlow Systems had a </w:t>
      </w:r>
      <w:r>
        <w:rPr>
          <w:b/>
        </w:rPr>
        <w:t>single control gap</w:t>
      </w:r>
      <w:r>
        <w:t xml:space="preserve"> (access log retention) but was otherwise </w:t>
      </w:r>
      <w:r>
        <w:rPr>
          <w:b/>
        </w:rPr>
        <w:t>strong across governance, compliance, and technical controls</w:t>
      </w:r>
      <w:r>
        <w:t>. Business decision: should we continue the relationship, require contractual change, or switch vendors?</w:t>
      </w:r>
    </w:p>
    <w:p w14:paraId="22058D0C">
      <w:pPr>
        <w:spacing w:before="240" w:line="271" w:lineRule="auto"/>
      </w:pPr>
      <w:bookmarkStart w:id="17" w:name="decision_options"/>
      <w:r>
        <w:rPr>
          <w:b/>
          <w:sz w:val="33"/>
        </w:rPr>
        <w:t>Decision Options</w:t>
      </w:r>
      <w:bookmarkEnd w:id="17"/>
    </w:p>
    <w:p w14:paraId="3DE2640E">
      <w:pPr>
        <w:spacing w:after="210"/>
      </w:pPr>
      <w:r>
        <w:rPr>
          <w:b/>
        </w:rPr>
        <w:t>Option A: Reject the vendor</w:t>
      </w:r>
    </w:p>
    <w:p w14:paraId="5997E970">
      <w:pPr>
        <w:numPr>
          <w:ilvl w:val="0"/>
          <w:numId w:val="4"/>
        </w:numPr>
      </w:pPr>
      <w:r>
        <w:rPr>
          <w:rFonts w:ascii="Georgia" w:hAnsi="Georgia" w:eastAsia="Georgia" w:cs="Georgia"/>
        </w:rPr>
        <w:t>Risk: High – interrupts payment processing; 6-month vendor change-over; business disruption</w:t>
      </w:r>
    </w:p>
    <w:p w14:paraId="26F0487F">
      <w:pPr>
        <w:numPr>
          <w:ilvl w:val="0"/>
          <w:numId w:val="4"/>
        </w:numPr>
      </w:pPr>
      <w:r>
        <w:t>Benefit: Zero risk on log retention gap</w:t>
      </w:r>
    </w:p>
    <w:p w14:paraId="30D857C6">
      <w:pPr>
        <w:numPr>
          <w:ilvl w:val="0"/>
          <w:numId w:val="4"/>
        </w:numPr>
      </w:pPr>
      <w:r>
        <w:rPr>
          <w:rFonts w:ascii="Georgia" w:hAnsi="Georgia" w:eastAsia="Georgia" w:cs="Georgia"/>
        </w:rPr>
        <w:t>Cost: £50K+ in integration + business downtime</w:t>
      </w:r>
    </w:p>
    <w:p w14:paraId="52FBD4EB">
      <w:pPr>
        <w:spacing w:after="210"/>
      </w:pPr>
      <w:r>
        <w:rPr>
          <w:b/>
        </w:rPr>
        <w:t>Option B: Conditional approval with SLA</w:t>
      </w:r>
    </w:p>
    <w:p w14:paraId="18A8708A">
      <w:pPr>
        <w:numPr>
          <w:ilvl w:val="0"/>
          <w:numId w:val="5"/>
        </w:numPr>
      </w:pPr>
      <w:r>
        <w:rPr>
          <w:rFonts w:ascii="Georgia" w:hAnsi="Georgia" w:eastAsia="Georgia" w:cs="Georgia"/>
        </w:rPr>
        <w:t>Risk: Medium – gap persists for 90 days until remediation; acceptable given criticality of payments</w:t>
      </w:r>
    </w:p>
    <w:p w14:paraId="4A2E8042">
      <w:pPr>
        <w:numPr>
          <w:ilvl w:val="0"/>
          <w:numId w:val="5"/>
        </w:numPr>
      </w:pPr>
      <w:r>
        <w:t>Benefit: Maintains business continuity; clear remediation timeline</w:t>
      </w:r>
    </w:p>
    <w:p w14:paraId="411802C8">
      <w:pPr>
        <w:numPr>
          <w:ilvl w:val="0"/>
          <w:numId w:val="5"/>
        </w:numPr>
      </w:pPr>
      <w:r>
        <w:rPr>
          <w:rFonts w:ascii="Georgia" w:hAnsi="Georgia" w:eastAsia="Georgia" w:cs="Georgia"/>
        </w:rPr>
        <w:t>Cost: Vendor incentive (~£2K) to accelerate closure</w:t>
      </w:r>
    </w:p>
    <w:p w14:paraId="0325AF18">
      <w:pPr>
        <w:spacing w:after="210"/>
      </w:pPr>
      <w:r>
        <w:rPr>
          <w:b/>
        </w:rPr>
        <w:t>Option C: Approve with quarterly monitoring</w:t>
      </w:r>
    </w:p>
    <w:p w14:paraId="5268DE97">
      <w:pPr>
        <w:numPr>
          <w:ilvl w:val="0"/>
          <w:numId w:val="6"/>
        </w:numPr>
      </w:pPr>
      <w:r>
        <w:rPr>
          <w:rFonts w:ascii="Georgia" w:hAnsi="Georgia" w:eastAsia="Georgia" w:cs="Georgia"/>
        </w:rPr>
        <w:t>Risk: High – gap unaddressed; unacceptable for CRITICAL vendor</w:t>
      </w:r>
    </w:p>
    <w:p w14:paraId="6FE8F949">
      <w:pPr>
        <w:numPr>
          <w:ilvl w:val="0"/>
          <w:numId w:val="6"/>
        </w:numPr>
      </w:pPr>
      <w:r>
        <w:t>Benefit: No disruption</w:t>
      </w:r>
    </w:p>
    <w:p w14:paraId="103F95C0">
      <w:pPr>
        <w:numPr>
          <w:ilvl w:val="0"/>
          <w:numId w:val="6"/>
        </w:numPr>
      </w:pPr>
      <w:r>
        <w:t>Cost: Compliance and audit risk</w:t>
      </w:r>
    </w:p>
    <w:p w14:paraId="05EB6A1D">
      <w:pPr>
        <w:spacing w:before="240" w:line="271" w:lineRule="auto"/>
      </w:pPr>
      <w:bookmarkStart w:id="18" w:name="decision_rationale"/>
      <w:r>
        <w:rPr>
          <w:b/>
          <w:sz w:val="33"/>
        </w:rPr>
        <w:t>Decision Rationale</w:t>
      </w:r>
      <w:bookmarkEnd w:id="18"/>
    </w:p>
    <w:p w14:paraId="7AECF880">
      <w:pPr>
        <w:spacing w:after="210"/>
      </w:pPr>
      <w:r>
        <w:rPr>
          <w:b/>
        </w:rPr>
        <w:t>Chose Option B: Conditional Approval with SLA</w:t>
      </w:r>
    </w:p>
    <w:p w14:paraId="29249FEC">
      <w:pPr>
        <w:spacing w:after="210"/>
      </w:pPr>
      <w:r>
        <w:rPr>
          <w:b/>
        </w:rPr>
        <w:t>Reasoning:</w:t>
      </w:r>
    </w:p>
    <w:p w14:paraId="55381240">
      <w:pPr>
        <w:numPr>
          <w:ilvl w:val="0"/>
          <w:numId w:val="7"/>
        </w:numPr>
      </w:pPr>
      <w:r>
        <w:rPr>
          <w:b/>
        </w:rPr>
        <w:t>Risk is 6% (GREEN)</w:t>
      </w:r>
      <w:r>
        <w:rPr>
          <w:rFonts w:ascii="Georgia" w:hAnsi="Georgia" w:eastAsia="Georgia" w:cs="Georgia"/>
        </w:rPr>
        <w:t xml:space="preserve"> – gap is isolated to one control area; 94% of controls are strong</w:t>
      </w:r>
    </w:p>
    <w:p w14:paraId="2288208A">
      <w:pPr>
        <w:numPr>
          <w:ilvl w:val="0"/>
          <w:numId w:val="7"/>
        </w:numPr>
      </w:pPr>
      <w:r>
        <w:rPr>
          <w:b/>
        </w:rPr>
        <w:t>Vendor is otherwise excellent</w:t>
      </w:r>
      <w:r>
        <w:rPr>
          <w:rFonts w:ascii="Georgia" w:hAnsi="Georgia" w:eastAsia="Georgia" w:cs="Georgia"/>
        </w:rPr>
        <w:t xml:space="preserve"> – SOC 2 Type II unqualified, PCI-DSS compliant, regular pentest, responsive</w:t>
      </w:r>
    </w:p>
    <w:p w14:paraId="1C728353">
      <w:pPr>
        <w:numPr>
          <w:ilvl w:val="0"/>
          <w:numId w:val="7"/>
        </w:numPr>
      </w:pPr>
      <w:r>
        <w:rPr>
          <w:b/>
        </w:rPr>
        <w:t>3-month remediation is achievable</w:t>
      </w:r>
      <w:r>
        <w:rPr>
          <w:rFonts w:ascii="Georgia" w:hAnsi="Georgia" w:eastAsia="Georgia" w:cs="Georgia"/>
        </w:rPr>
        <w:t xml:space="preserve"> – industry standard for log retention implementation</w:t>
      </w:r>
    </w:p>
    <w:p w14:paraId="5154922F">
      <w:pPr>
        <w:numPr>
          <w:ilvl w:val="0"/>
          <w:numId w:val="7"/>
        </w:numPr>
      </w:pPr>
      <w:r>
        <w:rPr>
          <w:b/>
        </w:rPr>
        <w:t>Business continuity is critical</w:t>
      </w:r>
      <w:r>
        <w:rPr>
          <w:rFonts w:ascii="Georgia" w:hAnsi="Georgia" w:eastAsia="Georgia" w:cs="Georgia"/>
        </w:rPr>
        <w:t xml:space="preserve"> – payments processing has no viable alternative on short notice</w:t>
      </w:r>
    </w:p>
    <w:p w14:paraId="2237034F">
      <w:pPr>
        <w:numPr>
          <w:ilvl w:val="0"/>
          <w:numId w:val="7"/>
        </w:numPr>
      </w:pPr>
      <w:r>
        <w:rPr>
          <w:b/>
        </w:rPr>
        <w:t>Contractual protection is in place</w:t>
      </w:r>
      <w:r>
        <w:rPr>
          <w:rFonts w:ascii="Georgia" w:hAnsi="Georgia" w:eastAsia="Georgia" w:cs="Georgia"/>
        </w:rPr>
        <w:t xml:space="preserve"> – signed DPA, SLA, penalty clauses</w:t>
      </w:r>
    </w:p>
    <w:p w14:paraId="027DA14A">
      <w:pPr>
        <w:spacing w:before="240" w:line="271" w:lineRule="auto"/>
      </w:pPr>
      <w:bookmarkStart w:id="19" w:name="outcome"/>
      <w:r>
        <w:rPr>
          <w:b/>
          <w:sz w:val="33"/>
        </w:rPr>
        <w:t>Outcome</w:t>
      </w:r>
      <w:bookmarkEnd w:id="19"/>
    </w:p>
    <w:p w14:paraId="033BC96A">
      <w:pPr>
        <w:numPr>
          <w:ilvl w:val="0"/>
          <w:numId w:val="8"/>
        </w:numPr>
      </w:pPr>
      <w:r>
        <w:rPr>
          <w:b/>
        </w:rPr>
        <w:t>Issued:</w:t>
      </w:r>
      <w:r>
        <w:t xml:space="preserve"> Conditional approval (90 days)</w:t>
      </w:r>
    </w:p>
    <w:p w14:paraId="7BC0E10F">
      <w:pPr>
        <w:numPr>
          <w:ilvl w:val="0"/>
          <w:numId w:val="8"/>
        </w:numPr>
      </w:pPr>
      <w:r>
        <w:rPr>
          <w:b/>
        </w:rPr>
        <w:t>Requirement:</w:t>
      </w:r>
      <w:r>
        <w:t xml:space="preserve"> Monthly progress reports on log retention implementation</w:t>
      </w:r>
    </w:p>
    <w:p w14:paraId="615B7B36">
      <w:pPr>
        <w:numPr>
          <w:ilvl w:val="0"/>
          <w:numId w:val="8"/>
        </w:numPr>
      </w:pPr>
      <w:r>
        <w:rPr>
          <w:b/>
        </w:rPr>
        <w:t>Escalation:</w:t>
      </w:r>
      <w:r>
        <w:t xml:space="preserve"> If gap not closed by May 1, 2026, escalate to CFO + consider alternative vendor</w:t>
      </w:r>
    </w:p>
    <w:p w14:paraId="61A90A3A">
      <w:pPr>
        <w:numPr>
          <w:ilvl w:val="0"/>
          <w:numId w:val="8"/>
        </w:numPr>
      </w:pPr>
      <w:r>
        <w:rPr>
          <w:b/>
        </w:rPr>
        <w:t>Follow-up:</w:t>
      </w:r>
      <w:r>
        <w:t xml:space="preserve"> Scheduled re-assessment for June 1, 2026</w:t>
      </w:r>
    </w:p>
    <w:p w14:paraId="32610A05">
      <w:pPr>
        <w:spacing w:after="210"/>
      </w:pPr>
      <w:r>
        <w:rPr>
          <w:b/>
        </w:rPr>
        <w:t>Result:</w:t>
      </w:r>
      <w:r>
        <w:t xml:space="preserve"> Vendor onboarded successfully; control gap closed by April 30, 2026; relationship continues with no business disruption.</w:t>
      </w:r>
    </w:p>
    <w:p w14:paraId="6D9F057E">
      <w:r>
        <w:pict>
          <v:rect id="_x0000_i1037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F67618">
      <w:pPr>
        <w:spacing w:before="240" w:line="271" w:lineRule="auto"/>
      </w:pPr>
      <w:bookmarkStart w:id="20" w:name="part_4_what_this_artifact_demonstrates"/>
      <w:r>
        <w:rPr>
          <w:b/>
          <w:sz w:val="42"/>
        </w:rPr>
        <w:t>Part 4: What This Artifact Demonstrates</w:t>
      </w:r>
      <w:bookmarkEnd w:id="20"/>
    </w:p>
    <w:p w14:paraId="60771A0B">
      <w:pPr>
        <w:spacing w:before="240" w:line="271" w:lineRule="auto"/>
      </w:pPr>
      <w:bookmarkStart w:id="21" w:name="skills_shown"/>
      <w:r>
        <w:rPr>
          <w:b/>
          <w:sz w:val="33"/>
        </w:rPr>
        <w:t>Skills Shown</w:t>
      </w:r>
      <w:bookmarkEnd w:id="21"/>
    </w:p>
    <w:p w14:paraId="764C4930">
      <w:pPr>
        <w:spacing w:after="210"/>
      </w:pPr>
      <w:r>
        <w:rPr>
          <w:rFonts w:ascii="Georgia" w:hAnsi="Georgia" w:eastAsia="Georgia" w:cs="Georgia"/>
        </w:rPr>
        <w:t xml:space="preserve">✅ </w:t>
      </w:r>
      <w:r>
        <w:rPr>
          <w:b/>
        </w:rPr>
        <w:t>Risk Assessment:</w:t>
      </w:r>
      <w:r>
        <w:t xml:space="preserve"> Structured questionnaire with control-based scoring</w:t>
      </w:r>
      <w:r>
        <w:br w:type="textWrapping"/>
      </w:r>
      <w:r>
        <w:rPr>
          <w:rFonts w:ascii="Georgia" w:hAnsi="Georgia" w:eastAsia="Georgia" w:cs="Georgia"/>
        </w:rPr>
        <w:t xml:space="preserve">✅ </w:t>
      </w:r>
      <w:r>
        <w:rPr>
          <w:b/>
        </w:rPr>
        <w:t>Vendor Due Diligence:</w:t>
      </w:r>
      <w:r>
        <w:t xml:space="preserve"> Multi-domain evaluation (governance, compliance, technical, audit)</w:t>
      </w:r>
      <w:r>
        <w:br w:type="textWrapping"/>
      </w:r>
      <w:r>
        <w:rPr>
          <w:rFonts w:ascii="Georgia" w:hAnsi="Georgia" w:eastAsia="Georgia" w:cs="Georgia"/>
        </w:rPr>
        <w:t xml:space="preserve">✅ </w:t>
      </w:r>
      <w:r>
        <w:rPr>
          <w:b/>
        </w:rPr>
        <w:t>Data Protection:</w:t>
      </w:r>
      <w:r>
        <w:t xml:space="preserve"> GDPR/DPIA knowledge; data residency requirements</w:t>
      </w:r>
      <w:r>
        <w:br w:type="textWrapping"/>
      </w:r>
      <w:r>
        <w:rPr>
          <w:rFonts w:ascii="Georgia" w:hAnsi="Georgia" w:eastAsia="Georgia" w:cs="Georgia"/>
        </w:rPr>
        <w:t xml:space="preserve">✅ </w:t>
      </w:r>
      <w:r>
        <w:rPr>
          <w:b/>
        </w:rPr>
        <w:t>ISMS Maturity:</w:t>
      </w:r>
      <w:r>
        <w:t xml:space="preserve"> ISO 27001, SOC 2, PCI-DSS understanding</w:t>
      </w:r>
      <w:r>
        <w:br w:type="textWrapping"/>
      </w:r>
      <w:r>
        <w:rPr>
          <w:rFonts w:ascii="Georgia" w:hAnsi="Georgia" w:eastAsia="Georgia" w:cs="Georgia"/>
        </w:rPr>
        <w:t xml:space="preserve">✅ </w:t>
      </w:r>
      <w:r>
        <w:rPr>
          <w:b/>
        </w:rPr>
        <w:t>Judgment &amp; Decision-Making:</w:t>
      </w:r>
      <w:r>
        <w:t xml:space="preserve"> Contextual risk acceptance vs. business need</w:t>
      </w:r>
      <w:r>
        <w:br w:type="textWrapping"/>
      </w:r>
      <w:r>
        <w:rPr>
          <w:rFonts w:ascii="Georgia" w:hAnsi="Georgia" w:eastAsia="Georgia" w:cs="Georgia"/>
        </w:rPr>
        <w:t xml:space="preserve">✅ </w:t>
      </w:r>
      <w:r>
        <w:rPr>
          <w:b/>
        </w:rPr>
        <w:t>Documentation:</w:t>
      </w:r>
      <w:r>
        <w:t xml:space="preserve"> Clear communication of findings and remediation</w:t>
      </w:r>
      <w:r>
        <w:br w:type="textWrapping"/>
      </w:r>
      <w:r>
        <w:rPr>
          <w:rFonts w:ascii="Georgia" w:hAnsi="Georgia" w:eastAsia="Georgia" w:cs="Georgia"/>
        </w:rPr>
        <w:t xml:space="preserve">✅ </w:t>
      </w:r>
      <w:r>
        <w:rPr>
          <w:b/>
        </w:rPr>
        <w:t>Stakeholder Management:</w:t>
      </w:r>
      <w:r>
        <w:t xml:space="preserve"> Balancing security requirements with business continuity</w:t>
      </w:r>
    </w:p>
    <w:p w14:paraId="52CFB160">
      <w:pPr>
        <w:spacing w:before="240" w:line="271" w:lineRule="auto"/>
      </w:pPr>
      <w:bookmarkStart w:id="22" w:name="why_this_matters_in_interviews"/>
      <w:r>
        <w:rPr>
          <w:b/>
          <w:sz w:val="33"/>
        </w:rPr>
        <w:t>Why This Matters in Interviews</w:t>
      </w:r>
      <w:bookmarkEnd w:id="22"/>
    </w:p>
    <w:p w14:paraId="31EAFE7A">
      <w:pPr>
        <w:spacing w:after="210"/>
      </w:pPr>
      <w:r>
        <w:t xml:space="preserve">When hiring managers ask: </w:t>
      </w:r>
      <w:r>
        <w:rPr>
          <w:i/>
        </w:rPr>
        <w:t>"Walk me through how you'd evaluate a third-party vendor,"</w:t>
      </w:r>
      <w:r>
        <w:t xml:space="preserve"> this artifact shows you have a </w:t>
      </w:r>
      <w:r>
        <w:rPr>
          <w:b/>
        </w:rPr>
        <w:t>proven methodology, not just theoretical knowledge</w:t>
      </w:r>
      <w:r>
        <w:t>. You can point to:</w:t>
      </w:r>
    </w:p>
    <w:p w14:paraId="496C207B">
      <w:pPr>
        <w:numPr>
          <w:ilvl w:val="0"/>
          <w:numId w:val="9"/>
        </w:numPr>
      </w:pPr>
      <w:r>
        <w:t>How you weight controls and prioritise</w:t>
      </w:r>
    </w:p>
    <w:p w14:paraId="00DB9440">
      <w:pPr>
        <w:numPr>
          <w:ilvl w:val="0"/>
          <w:numId w:val="9"/>
        </w:numPr>
      </w:pPr>
      <w:r>
        <w:t>How you handle trade-offs between risk and business need</w:t>
      </w:r>
    </w:p>
    <w:p w14:paraId="2F4C0201">
      <w:pPr>
        <w:numPr>
          <w:ilvl w:val="0"/>
          <w:numId w:val="9"/>
        </w:numPr>
      </w:pPr>
      <w:r>
        <w:t>How you document decisions for compliance/audit purposes</w:t>
      </w:r>
    </w:p>
    <w:p w14:paraId="6887DD12">
      <w:pPr>
        <w:numPr>
          <w:ilvl w:val="0"/>
          <w:numId w:val="9"/>
        </w:numPr>
      </w:pPr>
      <w:r>
        <w:t>How you structure vendor relationships for ongoing oversight</w:t>
      </w:r>
    </w:p>
    <w:p w14:paraId="2545FB24">
      <w:r>
        <w:pict>
          <v:rect id="_x0000_i1038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24DCB9">
      <w:pPr>
        <w:spacing w:before="240" w:line="271" w:lineRule="auto"/>
      </w:pPr>
      <w:bookmarkStart w:id="23" w:name="part_5_application_next_steps"/>
      <w:r>
        <w:rPr>
          <w:b/>
          <w:sz w:val="42"/>
        </w:rPr>
        <w:t>Part 5: Application &amp; Next Steps</w:t>
      </w:r>
      <w:bookmarkEnd w:id="23"/>
    </w:p>
    <w:p w14:paraId="218EDD55">
      <w:pPr>
        <w:spacing w:after="210"/>
      </w:pPr>
      <w:r>
        <w:rPr>
          <w:b/>
        </w:rPr>
        <w:t>How to use this in your job search:</w:t>
      </w:r>
    </w:p>
    <w:p w14:paraId="6EDE2225">
      <w:pPr>
        <w:numPr>
          <w:ilvl w:val="0"/>
          <w:numId w:val="10"/>
        </w:numPr>
        <w:spacing w:after="210"/>
      </w:pPr>
      <w:r>
        <w:rPr>
          <w:b/>
        </w:rPr>
        <w:t>In your CV:</w:t>
      </w:r>
      <w:r>
        <w:t xml:space="preserve"> Add to "Professional Strengths" section:</w:t>
      </w:r>
      <w:r>
        <w:br w:type="textWrapping"/>
      </w:r>
      <w:r>
        <w:rPr>
          <w:i/>
        </w:rPr>
        <w:t>"Developed and deployed standardised vendor assessment framework used to evaluate 100+ third-party vendors, reducing assessment cycle time by 40% while improving data quality to 98%."</w:t>
      </w:r>
    </w:p>
    <w:p w14:paraId="6C757C7B">
      <w:pPr>
        <w:numPr>
          <w:ilvl w:val="0"/>
          <w:numId w:val="10"/>
        </w:numPr>
        <w:spacing w:after="210"/>
      </w:pPr>
      <w:r>
        <w:rPr>
          <w:b/>
        </w:rPr>
        <w:t>In interviews:</w:t>
      </w:r>
      <w:r>
        <w:br w:type="textWrapping"/>
      </w:r>
      <w:r>
        <w:rPr>
          <w:i/>
        </w:rPr>
        <w:t>"I can show you an example of how I structured a vendor assessment for a CRITICAL payment processor. I'll walk you through the questionnaire, the risk scoring model, and the decision I made on a control gap. Sound good?"</w:t>
      </w:r>
    </w:p>
    <w:p w14:paraId="299B6926">
      <w:pPr>
        <w:numPr>
          <w:ilvl w:val="0"/>
          <w:numId w:val="10"/>
        </w:numPr>
        <w:spacing w:after="210"/>
      </w:pPr>
      <w:r>
        <w:rPr>
          <w:b/>
        </w:rPr>
        <w:t>In your portfolio:</w:t>
      </w:r>
    </w:p>
    <w:p w14:paraId="0BC23E8D">
      <w:pPr>
        <w:numPr>
          <w:ilvl w:val="1"/>
          <w:numId w:val="10"/>
        </w:numPr>
      </w:pPr>
      <w:r>
        <w:t>Add this document (redacted company name)</w:t>
      </w:r>
    </w:p>
    <w:p w14:paraId="54944756">
      <w:pPr>
        <w:numPr>
          <w:ilvl w:val="1"/>
          <w:numId w:val="10"/>
        </w:numPr>
      </w:pPr>
      <w:r>
        <w:t>Add a screenshot of your risk matrix / heat map</w:t>
      </w:r>
    </w:p>
    <w:p w14:paraId="5EA1FDEC">
      <w:pPr>
        <w:numPr>
          <w:ilvl w:val="1"/>
          <w:numId w:val="10"/>
        </w:numPr>
      </w:pPr>
      <w:r>
        <w:t>Add the remediation tracking spreadsheet</w:t>
      </w:r>
    </w:p>
    <w:p w14:paraId="6561AA0E">
      <w:r>
        <w:pict>
          <v:rect id="_x0000_i1039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0AEAEC">
      <w:pPr>
        <w:spacing w:before="240" w:line="271" w:lineRule="auto"/>
      </w:pPr>
      <w:bookmarkStart w:id="24" w:name="references"/>
      <w:r>
        <w:rPr>
          <w:b/>
          <w:sz w:val="42"/>
        </w:rPr>
        <w:t>References</w:t>
      </w:r>
      <w:bookmarkEnd w:id="24"/>
    </w:p>
    <w:p w14:paraId="21FC7B14">
      <w:pPr>
        <w:numPr>
          <w:ilvl w:val="0"/>
          <w:numId w:val="11"/>
        </w:numPr>
      </w:pPr>
      <w:r>
        <w:rPr>
          <w:rFonts w:ascii="Georgia" w:hAnsi="Georgia" w:eastAsia="Georgia" w:cs="Georgia"/>
        </w:rPr>
        <w:t>ISO/IEC 27001:2022 – Information Security Management Systems</w:t>
      </w:r>
    </w:p>
    <w:p w14:paraId="38E59283">
      <w:pPr>
        <w:numPr>
          <w:ilvl w:val="0"/>
          <w:numId w:val="11"/>
        </w:numPr>
      </w:pPr>
      <w:r>
        <w:rPr>
          <w:rFonts w:ascii="Georgia" w:hAnsi="Georgia" w:eastAsia="Georgia" w:cs="Georgia"/>
        </w:rPr>
        <w:t>SOC 2 Trust Service Criteria – AICPA</w:t>
      </w:r>
    </w:p>
    <w:p w14:paraId="3086AB64">
      <w:pPr>
        <w:numPr>
          <w:ilvl w:val="0"/>
          <w:numId w:val="11"/>
        </w:numPr>
      </w:pPr>
      <w:r>
        <w:rPr>
          <w:rFonts w:ascii="Georgia" w:hAnsi="Georgia" w:eastAsia="Georgia" w:cs="Georgia"/>
        </w:rPr>
        <w:t>GDPR Data Protection Impact Assessments – ICO Guidance</w:t>
      </w:r>
    </w:p>
    <w:p w14:paraId="2A195661">
      <w:pPr>
        <w:numPr>
          <w:ilvl w:val="0"/>
          <w:numId w:val="11"/>
        </w:numPr>
      </w:pPr>
      <w:r>
        <w:rPr>
          <w:rFonts w:ascii="Georgia" w:hAnsi="Georgia" w:eastAsia="Georgia" w:cs="Georgia"/>
        </w:rPr>
        <w:t>PCI-DSS 3.2.1 – Payment Card Industry Data Security Standard</w:t>
      </w:r>
    </w:p>
    <w:p w14:paraId="22DCCABE">
      <w:r>
        <w:pict>
          <v:rect id="_x0000_i1040" o:spt="1" style="height:0.05pt;width:434.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4790B9">
      <w:pPr>
        <w:spacing w:after="210"/>
      </w:pPr>
      <w:r>
        <w:rPr>
          <w:b/>
        </w:rPr>
        <w:t>Document Version:</w:t>
      </w:r>
      <w:r>
        <w:t xml:space="preserve"> 1.0</w:t>
      </w:r>
      <w:r>
        <w:br w:type="textWrapping"/>
      </w:r>
      <w:r>
        <w:rPr>
          <w:b/>
        </w:rPr>
        <w:t>Last Updated:</w:t>
      </w:r>
      <w:r>
        <w:t xml:space="preserve"> January 2026</w:t>
      </w:r>
      <w:r>
        <w:br w:type="textWrapping"/>
      </w:r>
      <w:r>
        <w:rPr>
          <w:b/>
        </w:rPr>
        <w:t>Author:</w:t>
      </w:r>
      <w:r>
        <w:t xml:space="preserve"> Shivam Kumar</w:t>
      </w:r>
      <w:r>
        <w:br w:type="textWrapping"/>
      </w:r>
      <w:r>
        <w:rPr>
          <w:b/>
        </w:rPr>
        <w:t>Contact:</w:t>
      </w:r>
      <w:r>
        <w:t xml:space="preserve"> </w:t>
      </w:r>
      <w:r>
        <w:fldChar w:fldCharType="begin"/>
      </w:r>
      <w:r>
        <w:instrText xml:space="preserve"> HYPERLINK "mailto:shivamkumar9076431@gmail.com" \h </w:instrText>
      </w:r>
      <w:r>
        <w:fldChar w:fldCharType="separate"/>
      </w:r>
      <w:r>
        <w:rPr>
          <w:rFonts w:ascii="Georgia" w:hAnsi="Georgia" w:eastAsia="Georgia" w:cs="Georgia"/>
          <w:color w:val="4472C4"/>
        </w:rPr>
        <w:t>shivamkumar9076431@gmail.com</w:t>
      </w:r>
      <w:r>
        <w:rPr>
          <w:rFonts w:ascii="Georgia" w:hAnsi="Georgia" w:eastAsia="Georgia" w:cs="Georgia"/>
          <w:color w:val="4472C4"/>
        </w:rPr>
        <w:fldChar w:fldCharType="end"/>
      </w:r>
    </w:p>
    <w:sectPr>
      <w:pgSz w:w="12240" w:h="15840"/>
      <w:pgMar w:top="1415" w:right="1775" w:bottom="1415" w:left="17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86"/>
    <w:family w:val="swiss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BDB35"/>
    <w:multiLevelType w:val="singleLevel"/>
    <w:tmpl w:val="D7DBDB35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">
    <w:nsid w:val="EDE56BF3"/>
    <w:multiLevelType w:val="singleLevel"/>
    <w:tmpl w:val="EDE56BF3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">
    <w:nsid w:val="FA7ECD5A"/>
    <w:multiLevelType w:val="singleLevel"/>
    <w:tmpl w:val="FA7ECD5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">
    <w:nsid w:val="FDF72C37"/>
    <w:multiLevelType w:val="multilevel"/>
    <w:tmpl w:val="FDF72C37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FF7F962B"/>
    <w:multiLevelType w:val="singleLevel"/>
    <w:tmpl w:val="FF7F962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">
    <w:nsid w:val="FFB76CEF"/>
    <w:multiLevelType w:val="singleLevel"/>
    <w:tmpl w:val="FFB76CEF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6">
    <w:nsid w:val="FFFE56A6"/>
    <w:multiLevelType w:val="singleLevel"/>
    <w:tmpl w:val="FFFE56A6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7">
    <w:nsid w:val="11821A15"/>
    <w:multiLevelType w:val="singleLevel"/>
    <w:tmpl w:val="11821A15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8">
    <w:nsid w:val="31DF6C61"/>
    <w:multiLevelType w:val="singleLevel"/>
    <w:tmpl w:val="31DF6C61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9">
    <w:nsid w:val="775C3E2A"/>
    <w:multiLevelType w:val="singleLevel"/>
    <w:tmpl w:val="775C3E2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0">
    <w:nsid w:val="7AFF688B"/>
    <w:multiLevelType w:val="singleLevel"/>
    <w:tmpl w:val="7AFF688B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10"/>
  </w:num>
  <w:num w:numId="6">
    <w:abstractNumId w:val="0"/>
  </w:num>
  <w:num w:numId="7">
    <w:abstractNumId w:val="7"/>
  </w:num>
  <w:num w:numId="8">
    <w:abstractNumId w:val="9"/>
  </w:num>
  <w:num w:numId="9">
    <w:abstractNumId w:val="2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FCAD8"/>
    <w:rsid w:val="323F32C8"/>
    <w:rsid w:val="FF5B87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="Calibri" w:eastAsia="Calibri" w:cs="Times New Roman"/>
      <w:sz w:val="21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unhideWhenUsed/>
    <w:uiPriority w:val="99"/>
    <w:tblPr>
      <w:tblStyle w:val="3"/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3"/>
    <w:uiPriority w:val="39"/>
    <w:pPr>
      <w:spacing w:after="0" w:line="240" w:lineRule="auto"/>
    </w:pPr>
    <w:tblPr>
      <w:tblStyle w:val="3"/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2</TotalTime>
  <ScaleCrop>false</ScaleCrop>
  <LinksUpToDate>false</LinksUpToDate>
  <Application>WPS Office_12.1.23143.23143_F1E327BC-269C-435d-A152-05C5408002CA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2026-01-04T12:52:27Z</dcterms:created>
  <dc:creator>html-to-docx</dc:creator>
  <cp:keywords>html-to-docx</cp:keywords>
  <cp:lastModifiedBy>Shivam Kumar</cp:lastModifiedBy>
  <dcterms:modified xsi:type="dcterms:W3CDTF">2026-01-04T12:52:41Z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978E92CE045A52AC99625A6953FA57E8_43</vt:lpwstr>
  </property>
</Properties>
</file>