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82E4D" w14:textId="77777777" w:rsidR="00C35713" w:rsidRDefault="00C35713" w:rsidP="00C35713">
      <w:r>
        <w:t>Forensic Summary of Changes</w:t>
      </w:r>
    </w:p>
    <w:p w14:paraId="0FF5243B" w14:textId="77777777" w:rsidR="00C35713" w:rsidRDefault="00C35713" w:rsidP="00C35713">
      <w:r>
        <w:t>I have applied surgical edits to the literature survey to correct metadata errors, remove non-academic or irrelevant biomedical links, and align the text with a conservative academic tone.</w:t>
      </w:r>
    </w:p>
    <w:p w14:paraId="4A7BA042" w14:textId="77777777" w:rsidR="00C35713" w:rsidRDefault="00C35713" w:rsidP="00C35713"/>
    <w:p w14:paraId="03BFDFFE" w14:textId="77777777" w:rsidR="00C35713" w:rsidRDefault="00C35713" w:rsidP="00C35713">
      <w:r>
        <w:t>1. Key Reference Corrections:</w:t>
      </w:r>
    </w:p>
    <w:p w14:paraId="7300C8D8" w14:textId="77777777" w:rsidR="00C35713" w:rsidRDefault="00C35713" w:rsidP="00C35713"/>
    <w:p w14:paraId="002601CE" w14:textId="77777777" w:rsidR="00C35713" w:rsidRDefault="00C35713" w:rsidP="00C35713">
      <w:r>
        <w:t>Wei (2021): Downgraded from an IEEE journal to a PhD dissertation from Michigan State University after verification. The survey claimed it appeared in IEEE L-CSS, but official records confirm the identifier belongs to unrelated medical/engineering papers.[16]</w:t>
      </w:r>
    </w:p>
    <w:p w14:paraId="4D1FEEB6" w14:textId="77777777" w:rsidR="00C35713" w:rsidRDefault="00C35713" w:rsidP="00C35713"/>
    <w:p w14:paraId="5D15A2C5" w14:textId="77777777" w:rsidR="00C35713" w:rsidRDefault="00C35713" w:rsidP="00C35713">
      <w:r>
        <w:t>Ansari et al. (2024): Corrected the attribution for DOI 10.1109/ACCESS.2024.3434645. The survey originally credited "Kim," but the DOI resolves to "</w:t>
      </w:r>
      <w:proofErr w:type="spellStart"/>
      <w:r>
        <w:t>CoLoSSI</w:t>
      </w:r>
      <w:proofErr w:type="spellEnd"/>
      <w:r>
        <w:t>" by Ishaq Ansari et al..[1]</w:t>
      </w:r>
    </w:p>
    <w:p w14:paraId="221241F3" w14:textId="77777777" w:rsidR="00C35713" w:rsidRDefault="00C35713" w:rsidP="00C35713"/>
    <w:p w14:paraId="3178CDB6" w14:textId="77777777" w:rsidR="00C35713" w:rsidRDefault="00C35713" w:rsidP="00C35713">
      <w:r>
        <w:t>Allred (2026): Corrected from a 2023 conference paper to a 2026 PhD dissertation from Utah State University. The original DOI 10.1109/IRC59093.2023.00070 belonged to unrelated household health research.[17]</w:t>
      </w:r>
    </w:p>
    <w:p w14:paraId="02788F12" w14:textId="77777777" w:rsidR="00C35713" w:rsidRDefault="00C35713" w:rsidP="00C35713"/>
    <w:p w14:paraId="661551BF" w14:textId="77777777" w:rsidR="00C35713" w:rsidRDefault="00C35713" w:rsidP="00C35713">
      <w:proofErr w:type="spellStart"/>
      <w:r>
        <w:t>Bhamla</w:t>
      </w:r>
      <w:proofErr w:type="spellEnd"/>
      <w:r>
        <w:t xml:space="preserve"> et al. (2025): Corrected the context of the PNAS publication. The original DOI resolved to unrelated </w:t>
      </w:r>
      <w:proofErr w:type="spellStart"/>
      <w:r>
        <w:t>bioRxiv</w:t>
      </w:r>
      <w:proofErr w:type="spellEnd"/>
      <w:r>
        <w:t xml:space="preserve"> RNA research.[18]</w:t>
      </w:r>
    </w:p>
    <w:p w14:paraId="5AEDECAC" w14:textId="77777777" w:rsidR="00C35713" w:rsidRDefault="00C35713" w:rsidP="00C35713"/>
    <w:p w14:paraId="749D5C9F" w14:textId="77777777" w:rsidR="00C35713" w:rsidRDefault="00C35713" w:rsidP="00C35713">
      <w:proofErr w:type="spellStart"/>
      <w:r>
        <w:t>Dedenon</w:t>
      </w:r>
      <w:proofErr w:type="spellEnd"/>
      <w:r>
        <w:t xml:space="preserve"> et al. (2024): Removed the invalid DOI (which resolved to NCATS NIH Organs-on-chips research [19]) and identified the correct study through physics snippets.[12]</w:t>
      </w:r>
    </w:p>
    <w:p w14:paraId="53F72D4E" w14:textId="77777777" w:rsidR="00C35713" w:rsidRDefault="00C35713" w:rsidP="00C35713"/>
    <w:p w14:paraId="4C91F8C1" w14:textId="77777777" w:rsidR="00C35713" w:rsidRDefault="00C35713" w:rsidP="00C35713">
      <w:r>
        <w:t>2. Claims Flagged as "Insufficient Evidence" or Downgraded:</w:t>
      </w:r>
    </w:p>
    <w:p w14:paraId="1700E1C7" w14:textId="77777777" w:rsidR="00C35713" w:rsidRDefault="00C35713" w:rsidP="00C35713"/>
    <w:p w14:paraId="17E244B8" w14:textId="77777777" w:rsidR="00C35713" w:rsidRDefault="00C35713" w:rsidP="00C35713">
      <w:r>
        <w:t>Gan and Zhu (2026): Downgraded the claim of "hybrid regime switching." While the paper is verified, the ground truth spreadsheet indicates this feature is not explicitly present in the algorithm.[4]</w:t>
      </w:r>
    </w:p>
    <w:p w14:paraId="5E730DE0" w14:textId="77777777" w:rsidR="00C35713" w:rsidRDefault="00C35713" w:rsidP="00C35713"/>
    <w:p w14:paraId="7EE82BB4" w14:textId="77777777" w:rsidR="00C35713" w:rsidRDefault="00C35713" w:rsidP="00C35713">
      <w:r>
        <w:lastRenderedPageBreak/>
        <w:t xml:space="preserve">Hou (2026): Clarified that while the MNCIS framework is verified on </w:t>
      </w:r>
      <w:proofErr w:type="spellStart"/>
      <w:r>
        <w:t>arXiv</w:t>
      </w:r>
      <w:proofErr w:type="spellEnd"/>
      <w:r>
        <w:t>, its application to physical robotic mission kernels is currently theoretical.[10]</w:t>
      </w:r>
    </w:p>
    <w:p w14:paraId="2BE196B9" w14:textId="77777777" w:rsidR="00C35713" w:rsidRDefault="00C35713" w:rsidP="00C35713"/>
    <w:p w14:paraId="085FF447" w14:textId="77777777" w:rsidR="00C35713" w:rsidRDefault="00C35713" w:rsidP="00C35713">
      <w:r>
        <w:t>3. Tone and Academic Integrity Adjustments:</w:t>
      </w:r>
    </w:p>
    <w:p w14:paraId="642AFCB1" w14:textId="77777777" w:rsidR="00C35713" w:rsidRDefault="00C35713" w:rsidP="00C35713"/>
    <w:p w14:paraId="602CF548" w14:textId="77777777" w:rsidR="00C35713" w:rsidRDefault="00C35713" w:rsidP="00C35713">
      <w:r>
        <w:t>Replaced dramatic novelty claims ("entirely absent," "transformative") with conservative academic phrasing ("integration remains limited," "Existing works address these components independently," "to the best of verified records").</w:t>
      </w:r>
    </w:p>
    <w:p w14:paraId="37CAA2F9" w14:textId="77777777" w:rsidR="00C35713" w:rsidRDefault="00C35713" w:rsidP="00C35713"/>
    <w:p w14:paraId="73DAFFCC" w14:textId="77777777" w:rsidR="00C35713" w:rsidRDefault="00C35713" w:rsidP="00C35713">
      <w:r>
        <w:t>Removed irrelevant biomedical metadata associated with incorrect DOI resolutions.</w:t>
      </w:r>
    </w:p>
    <w:p w14:paraId="3394310B" w14:textId="77777777" w:rsidR="00C35713" w:rsidRDefault="00C35713" w:rsidP="00C35713"/>
    <w:p w14:paraId="7838A4D2" w14:textId="5FD37AB8" w:rsidR="00890275" w:rsidRDefault="00C35713" w:rsidP="00C35713">
      <w:r>
        <w:t>Rebuilt the reference list in strict IEEE format, separated by source classification (Robotics/Control, Cross-Domain, and Non-Peer-Reviewed).</w:t>
      </w:r>
      <w:r>
        <w:br/>
      </w:r>
      <w:r>
        <w:br/>
      </w:r>
      <w:r>
        <w:br/>
      </w:r>
      <w:r>
        <w:br/>
      </w:r>
      <w:r w:rsidRPr="00C35713">
        <w:t>4. Table of Forensic Discrepancy Resolution:</w:t>
      </w:r>
    </w:p>
    <w:p w14:paraId="5EC13CD0" w14:textId="77777777" w:rsidR="00C35713" w:rsidRDefault="00C35713" w:rsidP="00C35713"/>
    <w:p w14:paraId="1C9C5D86" w14:textId="77777777" w:rsidR="00C35713" w:rsidRDefault="00C35713" w:rsidP="00C35713">
      <w:r>
        <w:t xml:space="preserve">Paper / </w:t>
      </w:r>
      <w:proofErr w:type="spellStart"/>
      <w:r>
        <w:t>DOI,Found</w:t>
      </w:r>
      <w:proofErr w:type="spellEnd"/>
      <w:r>
        <w:t xml:space="preserve"> </w:t>
      </w:r>
      <w:proofErr w:type="spellStart"/>
      <w:r>
        <w:t>Issue,Forensic</w:t>
      </w:r>
      <w:proofErr w:type="spellEnd"/>
      <w:r>
        <w:t xml:space="preserve"> </w:t>
      </w:r>
      <w:proofErr w:type="spellStart"/>
      <w:r>
        <w:t>Resolution,Corrected</w:t>
      </w:r>
      <w:proofErr w:type="spellEnd"/>
      <w:r>
        <w:t xml:space="preserve"> Reference / Note</w:t>
      </w:r>
    </w:p>
    <w:p w14:paraId="35BCAE27" w14:textId="77777777" w:rsidR="00C35713" w:rsidRDefault="00C35713" w:rsidP="00C35713">
      <w:r>
        <w:t xml:space="preserve">Wei (2021),Wrong DOI / </w:t>
      </w:r>
      <w:proofErr w:type="spellStart"/>
      <w:r>
        <w:t>Venue,Resolved</w:t>
      </w:r>
      <w:proofErr w:type="spellEnd"/>
      <w:r>
        <w:t xml:space="preserve"> as PhD </w:t>
      </w:r>
      <w:proofErr w:type="spellStart"/>
      <w:r>
        <w:t>Diss.,"L</w:t>
      </w:r>
      <w:proofErr w:type="spellEnd"/>
      <w:r>
        <w:t>. Wei, MSU Diss, 2021."</w:t>
      </w:r>
    </w:p>
    <w:p w14:paraId="2271EB28" w14:textId="77777777" w:rsidR="00C35713" w:rsidRDefault="00C35713" w:rsidP="00C35713">
      <w:r>
        <w:t xml:space="preserve">Kim (2024),Attribution </w:t>
      </w:r>
      <w:proofErr w:type="spellStart"/>
      <w:r>
        <w:t>Error,Resolved</w:t>
      </w:r>
      <w:proofErr w:type="spellEnd"/>
      <w:r>
        <w:t xml:space="preserve"> to </w:t>
      </w:r>
      <w:proofErr w:type="spellStart"/>
      <w:r>
        <w:t>Ansari,"I</w:t>
      </w:r>
      <w:proofErr w:type="spellEnd"/>
      <w:r>
        <w:t>. Ansari et al., IEEE Access, 2024."</w:t>
      </w:r>
    </w:p>
    <w:p w14:paraId="075720F8" w14:textId="77777777" w:rsidR="00C35713" w:rsidRDefault="00C35713" w:rsidP="00C35713">
      <w:r>
        <w:t xml:space="preserve">Allred (2023),Date / DOI </w:t>
      </w:r>
      <w:proofErr w:type="spellStart"/>
      <w:r>
        <w:t>Error,Resolved</w:t>
      </w:r>
      <w:proofErr w:type="spellEnd"/>
      <w:r>
        <w:t xml:space="preserve"> as PhD </w:t>
      </w:r>
      <w:proofErr w:type="spellStart"/>
      <w:r>
        <w:t>Diss.,"C</w:t>
      </w:r>
      <w:proofErr w:type="spellEnd"/>
      <w:r>
        <w:t>. Allred, USU Diss, 2026."</w:t>
      </w:r>
    </w:p>
    <w:p w14:paraId="34988FDA" w14:textId="77777777" w:rsidR="00C35713" w:rsidRDefault="00C35713" w:rsidP="00C35713">
      <w:proofErr w:type="spellStart"/>
      <w:r>
        <w:t>Bhamla</w:t>
      </w:r>
      <w:proofErr w:type="spellEnd"/>
      <w:r>
        <w:t xml:space="preserve"> (2025),Invalid </w:t>
      </w:r>
      <w:proofErr w:type="spellStart"/>
      <w:r>
        <w:t>DOI,Resolved</w:t>
      </w:r>
      <w:proofErr w:type="spellEnd"/>
      <w:r>
        <w:t xml:space="preserve"> to PNAS,"S. </w:t>
      </w:r>
      <w:proofErr w:type="spellStart"/>
      <w:r>
        <w:t>Bhamla</w:t>
      </w:r>
      <w:proofErr w:type="spellEnd"/>
      <w:r>
        <w:t xml:space="preserve"> et al., PNAS, 2025."</w:t>
      </w:r>
    </w:p>
    <w:p w14:paraId="5BD37C27" w14:textId="77777777" w:rsidR="00C35713" w:rsidRDefault="00C35713" w:rsidP="00C35713">
      <w:proofErr w:type="spellStart"/>
      <w:r>
        <w:t>Dedenon</w:t>
      </w:r>
      <w:proofErr w:type="spellEnd"/>
      <w:r>
        <w:t xml:space="preserve"> (2024),Wrong </w:t>
      </w:r>
      <w:proofErr w:type="spellStart"/>
      <w:r>
        <w:t>DOI,Resolved</w:t>
      </w:r>
      <w:proofErr w:type="spellEnd"/>
      <w:r>
        <w:t xml:space="preserve"> as </w:t>
      </w:r>
      <w:proofErr w:type="spellStart"/>
      <w:r>
        <w:t>Physics,Verified</w:t>
      </w:r>
      <w:proofErr w:type="spellEnd"/>
      <w:r>
        <w:t xml:space="preserve"> without a resolvable DOI.</w:t>
      </w:r>
    </w:p>
    <w:p w14:paraId="0CEC7156" w14:textId="77777777" w:rsidR="00C35713" w:rsidRDefault="00C35713" w:rsidP="00C35713">
      <w:r>
        <w:t>Gan (2026),</w:t>
      </w:r>
      <w:proofErr w:type="spellStart"/>
      <w:r>
        <w:t>Overstretch,Logic</w:t>
      </w:r>
      <w:proofErr w:type="spellEnd"/>
      <w:r>
        <w:t xml:space="preserve"> vs. </w:t>
      </w:r>
      <w:proofErr w:type="spellStart"/>
      <w:r>
        <w:t>Switching,Marked</w:t>
      </w:r>
      <w:proofErr w:type="spellEnd"/>
      <w:r>
        <w:t xml:space="preserve"> as Assignment Optimization.</w:t>
      </w:r>
      <w:r>
        <w:br/>
      </w:r>
      <w:r>
        <w:br/>
      </w:r>
      <w:r>
        <w:br/>
      </w:r>
      <w:r>
        <w:t>Summary Quality Score: Moderate (due to systemic metadata instability in the original draft).</w:t>
      </w:r>
    </w:p>
    <w:p w14:paraId="55F32D0E" w14:textId="65C4A9B6" w:rsidR="00C35713" w:rsidRDefault="00C35713" w:rsidP="00C35713">
      <w:r>
        <w:t>Final Risk Assessment: Moderate citation risk. Justification: While the core interaction primitives are verified, the integration claims were often supported by dissertations or preprints rather than high-impact peer-reviewed journals. Future work must strictly prioritize resolvable DOIs from authoritative publishers.</w:t>
      </w:r>
    </w:p>
    <w:sectPr w:rsidR="00C357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713"/>
    <w:rsid w:val="00037880"/>
    <w:rsid w:val="007B1165"/>
    <w:rsid w:val="00890275"/>
    <w:rsid w:val="00C35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8B892"/>
  <w15:chartTrackingRefBased/>
  <w15:docId w15:val="{E1987689-FFBD-43F1-9DC0-E12E9F6BD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57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57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57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57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57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57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57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57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57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57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57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57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57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57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57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57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57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57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57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57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57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57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57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57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57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57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57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57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57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469</Words>
  <Characters>2677</Characters>
  <Application>Microsoft Office Word</Application>
  <DocSecurity>0</DocSecurity>
  <Lines>22</Lines>
  <Paragraphs>6</Paragraphs>
  <ScaleCrop>false</ScaleCrop>
  <Company/>
  <LinksUpToDate>false</LinksUpToDate>
  <CharactersWithSpaces>3140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shivammalge@gmail.com</dc:creator>
  <cp:keywords/>
  <dc:description/>
  <cp:lastModifiedBy>Shivam Malge</cp:lastModifiedBy>
  <cp:revision>1</cp:revision>
  <dcterms:created xsi:type="dcterms:W3CDTF">2026-02-24T13:38:00Z</dcterms:created>
  <dcterms:modified xsi:type="dcterms:W3CDTF">2026-02-24T13:39:00Z</dcterms:modified>
</cp:coreProperties>
</file>