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Structural Resilience and Regime-Switching Stability in Decentralized Swarm Autonomy: A Comprehensive Analysis of System-Level Integration Gaps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transition from centralized multi-robot coordination to decentralized swarm autonomy represents a fundamental pivot in robotics research, necessitated by the increasing deployment of autonomous agents in contested, energy-constrained, and communication-denied environments. The framework described—a theoretically frozen distributed swarm autonomy simulation—seeks to address the precarious intersection of spatial coverage, logical task allocation, and network stability. By integrating a distributed Lloyd’s algorithm with auction-based task allocation and asynchronous gossip consensus, the architecture targets the core challenges of scalability and robustness. Central to this system is the formal modeling of operational regimes, ranging from stable configurations to catastrophic energy cascades and latency-driven oscillations. This analysis evaluates the proposed framework against the current state of the art (2020–2026), assesses the fidelity of modern simulation platforms for such complex modeling, identifies critical research gaps, validates the underlying theoretical limits, and positions the work within the broader context of graduate-level research.</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Existing Systems and Research Platforms (2020–2026)</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current epoch of swarm robotics, research has moved beyond simple flocking behaviors toward complex, multi-objective missions. However, the integration of coverage control, decentralized task allocation, and formal regime classification remains highly specialized and fragmented. The existing landscape is characterized by systems that excel in specific algorithmic domains but rarely synthesize them into a unified, energy-aware, and stability-preserving architecture.</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Integrated Coordination and Coverage Platforms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integration of distributed Lloyd’s algorithm for coverage with other coordination mechanisms is often found in academic frameworks focusing on environmental monitoring. The Michigan State University research on adaptive partitioning for robot teams utilizes Voronoi-based partitioning, which is mathematically related to Lloyd’s algorithm, to minimize coverage costs while learning unknown demand functions modeled as Gaussian Processes.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system demonstrates a high degree of integration between spatial coordination and distributed inference, employing flooding algorithms and finite-time consensus protocols to ensure agents maintain a common understanding of the environment.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However, this framework lacks the auction-based task allocation component, focusing instead on continuous spatial optimization rather than discrete task assignment.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Another significant platform is the HROSdev swarm architecture, which emphasizes collective intelligence and statistical robustness.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While HROSdev promotes the idea that the swarm grows stronger with individual failures by incorporating lessons into a collective knowledge base, it lacks the formal hybrid automaton structure and the explicit modeling of the interference field </w:t>
      </w:r>
      <w:r w:rsidDel="00000000" w:rsidR="00000000" w:rsidRPr="00000000">
        <w:rPr>
          <w:rFonts w:ascii="Google Sans" w:cs="Google Sans" w:eastAsia="Google Sans" w:hAnsi="Google Sans"/>
          <w:color w:val="1f1f1f"/>
        </w:rPr>
        <w:drawing>
          <wp:inline distB="19050" distT="19050" distL="19050" distR="19050">
            <wp:extent cx="507802" cy="238513"/>
            <wp:effectExtent b="0" l="0" r="0" t="0"/>
            <wp:docPr id="1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07802" cy="2385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system focuses on emergent behaviors rather than the provably stable parameter manifolds </w:t>
      </w:r>
      <w:r w:rsidDel="00000000" w:rsidR="00000000" w:rsidRPr="00000000">
        <w:rPr>
          <w:rFonts w:ascii="Google Sans" w:cs="Google Sans" w:eastAsia="Google Sans" w:hAnsi="Google Sans"/>
          <w:color w:val="1f1f1f"/>
        </w:rPr>
        <w:drawing>
          <wp:inline distB="19050" distT="19050" distL="19050" distR="19050">
            <wp:extent cx="418981" cy="213299"/>
            <wp:effectExtent b="0" l="0" r="0" t="0"/>
            <wp:docPr id="13"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418981" cy="2132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required for safety-critical missions.</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Communication and Energy Modeling in Modern Research</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Explicit modeling of stochastic communication degradation is a burgeoning field, often addressed in studies of Cyber-Physical Systems (CPS). Research conducted at the National Technical University of Athens explores offloading mechanisms for mobile robotic agents, utilizing modeling from queuing theory and control theory to provide stability guarantees.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research integrates a switching offloading mechanism that balances navigation accuracy against mission duration, which parallels the regime-switching logic of the proposed framework.</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However, the focus remains on individual or small clusters of robots rather than large-scale swarm percolation or spectral collapse.</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Energy-aware coordination has seen significant advancement in the context of active matter and granular fluids research, where "energy cascades" are studied as physical phenomena. In active granular fluids, energy is injected at the particle level and dissipated through collisions, leading to the emergence of turbulent-like inverse energy cascades where kinetic energy transfers across length scales.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While these studies provide the theoretical underpinning for the "energy cascade" regime in the proposed framework, they are primarily descriptive physics models rather than prescriptive robotic control frameworks.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transition from these physical observations to a decentralized robotic control loop that detects such cascades through local telemetry remains a significant gap in the literature.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System/Research Platform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Integrated Components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Missing/Unsatisfied Elements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Wei Adaptive Coverage (MSU)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Lloyd’s partitioning, GP-based demand modeling, Consensus protocols.</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Auction task allocation, Energy cascade modeling, Regime classification.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HROSdev Swarm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Collective intelligence, failure robustness, distributed learning.</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Formal hybrid automaton, </w:t>
            </w:r>
            <w:r w:rsidDel="00000000" w:rsidR="00000000" w:rsidRPr="00000000">
              <w:rPr>
                <w:rFonts w:ascii="Google Sans" w:cs="Google Sans" w:eastAsia="Google Sans" w:hAnsi="Google Sans"/>
                <w:color w:val="1f1f1f"/>
                <w:shd w:fill="auto" w:val="clear"/>
              </w:rPr>
              <w:drawing>
                <wp:inline distB="19050" distT="19050" distL="19050" distR="19050">
                  <wp:extent cx="418981" cy="213299"/>
                  <wp:effectExtent b="0" l="0" r="0" t="0"/>
                  <wp:docPr id="12"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418981" cy="213299"/>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manifold, </w:t>
            </w:r>
            <w:r w:rsidDel="00000000" w:rsidR="00000000" w:rsidRPr="00000000">
              <w:rPr>
                <w:rFonts w:ascii="Google Sans" w:cs="Google Sans" w:eastAsia="Google Sans" w:hAnsi="Google Sans"/>
                <w:color w:val="1f1f1f"/>
                <w:shd w:fill="auto" w:val="clear"/>
              </w:rPr>
              <w:drawing>
                <wp:inline distB="19050" distT="19050" distL="19050" distR="19050">
                  <wp:extent cx="507802" cy="238513"/>
                  <wp:effectExtent b="0" l="0" r="0" t="0"/>
                  <wp:docPr id="15"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07802" cy="238513"/>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interference field.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Spatharakis Offloading (NTUA)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Switching mechanisms, Hybrid control automaton, Stability guarantees.</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Large-scale Lloyd's coverage, Gossip-based task auctioning, Percolation modeling.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Active Matter (PNAS/Bhamla)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Inverse energy cascades, topological defect analysis, noise as a resource.</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Autonomous task allocation, Decentralized regime detection, </w:t>
            </w:r>
            <w:r w:rsidDel="00000000" w:rsidR="00000000" w:rsidRPr="00000000">
              <w:rPr>
                <w:rFonts w:ascii="Google Sans" w:cs="Google Sans" w:eastAsia="Google Sans" w:hAnsi="Google Sans"/>
                <w:color w:val="1f1f1f"/>
                <w:shd w:fill="auto" w:val="clear"/>
              </w:rPr>
              <w:drawing>
                <wp:inline distB="19050" distT="19050" distL="19050" distR="19050">
                  <wp:extent cx="418981" cy="213299"/>
                  <wp:effectExtent b="0" l="0" r="0" t="0"/>
                  <wp:docPr id="14"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418981" cy="213299"/>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adaptation.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Consensus-Based Auction (CBAP) Research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Decentralized task assignment, localized communication.</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Spectral gap collapse detection, Energy-monotonic decay, Lloyd’s integration.</w:t>
            </w:r>
          </w:p>
        </w:tc>
      </w:tr>
    </w:tbl>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comparative analysis reveals that while the individual "interaction primitives"—such as noise, dissipation, and topology—are being tuned in robophysical swarms to mimic biological systems, the level of system-level integration proposed in the current framework is not present in any single existing platform.</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Most research prioritizes isolated algorithmic improvements (e.g., better regret bounds in task allocation or more accurate Voronoi boundaries) rather than the holistic stability of the swarm under the combined stress of energy depletion and network degradation.</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Simulation Platforms for Distributed Systems Robustness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Evaluating simulation platforms for a high-fidelity swarm framework requires a distinction between physics fidelity and distributed-systems robustness analysis. While many simulators excel at rendering the interaction between a robot's wheels and the ground, few are designed to model the complex graph-theoretic and spectral properties inherent in a decentralized swarm.</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Physics-Centric vs. System-Centric Simulators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Platforms such as AirSim and Isaac Sim are the current leaders in physics fidelity and photorealistic perception. Isaac Sim, built on the NVIDIA Omniverse, provides GPU-accelerated physics and high-fidelity motor and power modeling.</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However, these tools are primarily designed for training single-agent or small-group reinforcement learning (RL) models rather than analyzing the "spectral gap collapse" of a 200-node communication graph. The computational overhead of their physics engines often limits the scale of swarms that can be simulated with realistic network latency and packet drop models.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Gazebo and Webots occupy a middle ground, offering solid physics and better support for multi-robot configurations. Webots is particularly noted for its efficient multi-robot simulation and fast prototyping capabilities, supporting discrete controller processes that align with the requirement for decentralization purity. However, these simulators typically treat the network as a transparent or ideal layer, requiring external plugins (such as NS-3 or custom Python scripts) to model dynamic graph percolation and the interference field </w:t>
      </w:r>
      <w:r w:rsidDel="00000000" w:rsidR="00000000" w:rsidRPr="00000000">
        <w:rPr>
          <w:rFonts w:ascii="Google Sans" w:cs="Google Sans" w:eastAsia="Google Sans" w:hAnsi="Google Sans"/>
          <w:color w:val="1f1f1f"/>
        </w:rPr>
        <w:drawing>
          <wp:inline distB="19050" distT="19050" distL="19050" distR="19050">
            <wp:extent cx="507802" cy="238513"/>
            <wp:effectExtent b="0" l="0" r="0" t="0"/>
            <wp:docPr id="17"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07802" cy="2385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Specialized Swarm Simulation: ARGoS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ARGoS remains the most prominent specialized swarm simulator, designed specifically for large-scale distributed systems. It supports multi-engine physics, allowing for different levels of fidelity across the swarm, and is unique in its ability to handle thousands of agents while strictly enforcing decentralized logic. ARGoS is better suited for modeling "dynamic graph percolation" and "energy cascade failure" because it allows for the implementation of custom communication and power modules that interact directly with the agent's controller logic.</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Simulator Feature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Gazebo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Isaac Sim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Webots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ARGoS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Focus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General Physics / ROS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Photorealism / Perception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Prototyping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Large-scale Swarms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Percolation Modeling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External Plugins Only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Limited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Basic Distance-based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Native Support (Custom)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Decentralization Purity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Moderate (ROS Master)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Moderate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(Discrete Procs)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Very High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Energy Cascade Analysis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Basic Battery Model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High-fidelity Motor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Basic Battery Model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Custom Power Modules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Hybrid Stability Logic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User-implemented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RL-focused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User-implemented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Native Architecture Hooks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Scalability (Agents)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50–100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1,000+</w:t>
            </w:r>
          </w:p>
        </w:tc>
      </w:tr>
    </w:tbl>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critical assessment of these tools suggests that none of them perform "hybrid regime-switching stability verification" or "constrain RL within provably safe parameter manifolds" out of the box. These are algorithmic requirements that must be built on top of the simulator's API. Most current tools focus on the "physics of the agent" rather than the "physics of the network." The proposed framework’s requirement to model spectral gap collapse and energy cascades necessitates a simulator that prioritizes the state-space of the graph as much as the state-space of the physical robot.</w:t>
      </w:r>
    </w:p>
    <w:p w:rsidR="00000000" w:rsidDel="00000000" w:rsidP="00000000" w:rsidRDefault="00000000" w:rsidRPr="00000000" w14:paraId="0000004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Research Gaps and Theoretical Synthesis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framework’s simultaneous integration of stochastic random geometric graphs, finite-energy cascades, decentralized regime detection, and hybrid automaton stability represents a significant "System-level integration gap."</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Multi-Faceted Integration Gap</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Existing research typically isolates the communication network from the energy model or the control logic. For instance, studies on random geometric graphs (RGGs) focus on the mathematical properties of connectivity and coverage thresholds but assume a static or purely stochastic evolution unrelated to the agents' task performance.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Conversely, research into decentralized algebraic connectivity estimation provides algorithms for agents to estimate the second smallest eigenvalue (</w:t>
      </w:r>
      <w:r w:rsidDel="00000000" w:rsidR="00000000" w:rsidRPr="00000000">
        <w:rPr>
          <w:rFonts w:ascii="Google Sans" w:cs="Google Sans" w:eastAsia="Google Sans" w:hAnsi="Google Sans"/>
          <w:color w:val="1f1f1f"/>
        </w:rPr>
        <w:drawing>
          <wp:inline distB="19050" distT="19050" distL="19050" distR="19050">
            <wp:extent cx="181332" cy="244404"/>
            <wp:effectExtent b="0" l="0" r="0" t="0"/>
            <wp:docPr id="16"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81332" cy="2444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the Laplacian matrix—a proxy for connectivity—using high-pass consensus filters.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However, these estimation algorithms are rarely coupled with "adaptive parameter tuning" that is constrained inside a mathematically verified stability region (</w:t>
      </w:r>
      <w:r w:rsidDel="00000000" w:rsidR="00000000" w:rsidRPr="00000000">
        <w:rPr>
          <w:rFonts w:ascii="Google Sans" w:cs="Google Sans" w:eastAsia="Google Sans" w:hAnsi="Google Sans"/>
          <w:color w:val="1f1f1f"/>
        </w:rPr>
        <w:drawing>
          <wp:inline distB="19050" distT="19050" distL="19050" distR="19050">
            <wp:extent cx="418981" cy="213299"/>
            <wp:effectExtent b="0" l="0" r="0" t="0"/>
            <wp:docPr id="21"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418981" cy="2132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prevent the "hunting phenomenon" or persistent oscillations common in hybrid systems.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proposed framework’s classification as a </w:t>
      </w:r>
      <w:r w:rsidDel="00000000" w:rsidR="00000000" w:rsidRPr="00000000">
        <w:rPr>
          <w:rFonts w:ascii="Google Sans" w:cs="Google Sans" w:eastAsia="Google Sans" w:hAnsi="Google Sans"/>
          <w:b w:val="1"/>
          <w:bCs w:val="1"/>
          <w:color w:val="1f1f1f"/>
          <w:rtl w:val="0"/>
        </w:rPr>
        <w:t xml:space="preserve">System-level integration gap (c)</w:t>
      </w:r>
      <w:r w:rsidDel="00000000" w:rsidR="00000000" w:rsidRPr="00000000">
        <w:rPr>
          <w:rFonts w:ascii="Google Sans" w:cs="Google Sans" w:eastAsia="Google Sans" w:hAnsi="Google Sans"/>
          <w:color w:val="1f1f1f"/>
          <w:rtl w:val="0"/>
        </w:rPr>
        <w:t xml:space="preserve"> is justified by the following observations:</w:t>
      </w:r>
    </w:p>
    <w:p w:rsidR="00000000" w:rsidDel="00000000" w:rsidP="00000000" w:rsidRDefault="00000000" w:rsidRPr="00000000" w14:paraId="0000004F">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Causal Coupling</w:t>
      </w:r>
      <w:r w:rsidDel="00000000" w:rsidR="00000000" w:rsidRPr="00000000">
        <w:rPr>
          <w:rFonts w:ascii="Google Sans" w:cs="Google Sans" w:eastAsia="Google Sans" w:hAnsi="Google Sans"/>
          <w:color w:val="1f1f1f"/>
          <w:rtl w:val="0"/>
        </w:rPr>
        <w:t xml:space="preserve">: In real swarms, the interference field </w:t>
      </w:r>
      <w:r w:rsidDel="00000000" w:rsidR="00000000" w:rsidRPr="00000000">
        <w:rPr>
          <w:rFonts w:ascii="Google Sans" w:cs="Google Sans" w:eastAsia="Google Sans" w:hAnsi="Google Sans"/>
          <w:color w:val="1f1f1f"/>
        </w:rPr>
        <w:drawing>
          <wp:inline distB="19050" distT="19050" distL="19050" distR="19050">
            <wp:extent cx="507802" cy="238513"/>
            <wp:effectExtent b="0" l="0" r="0" t="0"/>
            <wp:docPr id="19"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07802" cy="2385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not just an external noise source; it is influenced by the density and activity of the agents (the coverage configuration).</w:t>
      </w:r>
    </w:p>
    <w:p w:rsidR="00000000" w:rsidDel="00000000" w:rsidP="00000000" w:rsidRDefault="00000000" w:rsidRPr="00000000" w14:paraId="0000005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Energy-Topology Feedback</w:t>
      </w:r>
      <w:r w:rsidDel="00000000" w:rsidR="00000000" w:rsidRPr="00000000">
        <w:rPr>
          <w:rFonts w:ascii="Google Sans" w:cs="Google Sans" w:eastAsia="Google Sans" w:hAnsi="Google Sans"/>
          <w:color w:val="1f1f1f"/>
          <w:rtl w:val="0"/>
        </w:rPr>
        <w:t xml:space="preserve">: Energy depletion is not just a monotonic decay; it forces network reconfigurations that can lead to spectral collapse, which in turn increases the latency of the consensus required to manage the energy.</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51">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Stability under Uncertainty</w:t>
      </w:r>
      <w:r w:rsidDel="00000000" w:rsidR="00000000" w:rsidRPr="00000000">
        <w:rPr>
          <w:rFonts w:ascii="Google Sans" w:cs="Google Sans" w:eastAsia="Google Sans" w:hAnsi="Google Sans"/>
          <w:color w:val="1f1f1f"/>
          <w:rtl w:val="0"/>
        </w:rPr>
        <w:t xml:space="preserve">: Most hybrid systems research assumes that the "switching" logic has perfect information about when to transition between regimes.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proposed framework’s use of "fully decentralized regime detection" using only local telemetry introduces an estimation error that must be accounted for in the stability manifold </w:t>
      </w:r>
      <w:r w:rsidDel="00000000" w:rsidR="00000000" w:rsidRPr="00000000">
        <w:rPr>
          <w:rFonts w:ascii="Google Sans" w:cs="Google Sans" w:eastAsia="Google Sans" w:hAnsi="Google Sans"/>
          <w:color w:val="1f1f1f"/>
        </w:rPr>
        <w:drawing>
          <wp:inline distB="19050" distT="19050" distL="19050" distR="19050">
            <wp:extent cx="418981" cy="213299"/>
            <wp:effectExtent b="0" l="0" r="0" t="0"/>
            <wp:docPr id="26"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418981" cy="2132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Published research has yet to bridge these domains into a single, cohesive framework. The HROSdev architecture focuses on the qualitative growth of intelligence through failure, while the MSU research focuses on the quantitative optimization of coverage.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Neither incorporates the formal hybrid automaton required to navigate the transition from a "stable" regime to a "marginal spectral" or "latency oscillation" regime while maintaining stability guarantees.</w:t>
      </w:r>
    </w:p>
    <w:p w:rsidR="00000000" w:rsidDel="00000000" w:rsidP="00000000" w:rsidRDefault="00000000" w:rsidRPr="00000000" w14:paraId="0000005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Validation of Theoretical Limits in Swarm Coordination</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success of the proposed framework depends on the accurate application of theoretical limits from graph theory, network science, and thermodynamics.</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Percolation Thresholds in Random Geometric Graphs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user query posits a percolation threshold of </w:t>
      </w:r>
      <w:r w:rsidDel="00000000" w:rsidR="00000000" w:rsidRPr="00000000">
        <w:rPr>
          <w:rFonts w:ascii="Google Sans" w:cs="Google Sans" w:eastAsia="Google Sans" w:hAnsi="Google Sans"/>
          <w:color w:val="1f1f1f"/>
        </w:rPr>
        <w:drawing>
          <wp:inline distB="19050" distT="19050" distL="19050" distR="19050">
            <wp:extent cx="692706" cy="235977"/>
            <wp:effectExtent b="0" l="0" r="0" t="0"/>
            <wp:docPr id="22"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692706" cy="2359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spatial random geometric graphs. This requires nuanced confirmation. In the standard Erdős–Rényi model </w:t>
      </w:r>
      <w:r w:rsidDel="00000000" w:rsidR="00000000" w:rsidRPr="00000000">
        <w:rPr>
          <w:rFonts w:ascii="Google Sans" w:cs="Google Sans" w:eastAsia="Google Sans" w:hAnsi="Google Sans"/>
          <w:color w:val="1f1f1f"/>
        </w:rPr>
        <w:drawing>
          <wp:inline distB="19050" distT="19050" distL="19050" distR="19050">
            <wp:extent cx="631627" cy="238786"/>
            <wp:effectExtent b="0" l="0" r="0" t="0"/>
            <wp:docPr id="24"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631627" cy="23878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threshold for connectivity is indeed </w:t>
      </w:r>
      <w:r w:rsidDel="00000000" w:rsidR="00000000" w:rsidRPr="00000000">
        <w:rPr>
          <w:rFonts w:ascii="Google Sans" w:cs="Google Sans" w:eastAsia="Google Sans" w:hAnsi="Google Sans"/>
          <w:color w:val="1f1f1f"/>
        </w:rPr>
        <w:drawing>
          <wp:inline distB="19050" distT="19050" distL="19050" distR="19050">
            <wp:extent cx="633413" cy="236576"/>
            <wp:effectExtent b="0" l="0" r="0" t="0"/>
            <wp:docPr id="27"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633413" cy="23657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where the graph transitions from having isolated components to being almost surely connected as </w:t>
      </w:r>
      <w:r w:rsidDel="00000000" w:rsidR="00000000" w:rsidRPr="00000000">
        <w:rPr>
          <w:rFonts w:ascii="Google Sans" w:cs="Google Sans" w:eastAsia="Google Sans" w:hAnsi="Google Sans"/>
          <w:color w:val="1f1f1f"/>
        </w:rPr>
        <w:drawing>
          <wp:inline distB="19050" distT="19050" distL="19050" distR="19050">
            <wp:extent cx="639366" cy="238799"/>
            <wp:effectExtent b="0" l="0" r="0" t="0"/>
            <wp:docPr id="28"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639366" cy="2387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However, in a Spatial Random Geometric Graph (RGG), connectivity is determined by the radius </w:t>
      </w:r>
      <w:r w:rsidDel="00000000" w:rsidR="00000000" w:rsidRPr="00000000">
        <w:rPr>
          <w:rFonts w:ascii="Google Sans" w:cs="Google Sans" w:eastAsia="Google Sans" w:hAnsi="Google Sans"/>
          <w:color w:val="1f1f1f"/>
        </w:rPr>
        <w:drawing>
          <wp:inline distB="19050" distT="19050" distL="19050" distR="19050">
            <wp:extent cx="88344" cy="248971"/>
            <wp:effectExtent b="0" l="0" r="0" t="0"/>
            <wp:docPr id="29"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88344" cy="24897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w:t>
      </w:r>
      <w:r w:rsidDel="00000000" w:rsidR="00000000" w:rsidRPr="00000000">
        <w:rPr>
          <w:rFonts w:ascii="Google Sans" w:cs="Google Sans" w:eastAsia="Google Sans" w:hAnsi="Google Sans"/>
          <w:color w:val="1f1f1f"/>
        </w:rPr>
        <w:drawing>
          <wp:inline distB="19050" distT="19050" distL="19050" distR="19050">
            <wp:extent cx="110728" cy="228838"/>
            <wp:effectExtent b="0" l="0" r="0" t="0"/>
            <wp:docPr id="30"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110728" cy="2288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points in a unit disk, the threshold for connectivity is </w:t>
      </w:r>
      <w:r w:rsidDel="00000000" w:rsidR="00000000" w:rsidRPr="00000000">
        <w:rPr>
          <w:rFonts w:ascii="Google Sans" w:cs="Google Sans" w:eastAsia="Google Sans" w:hAnsi="Google Sans"/>
          <w:color w:val="1f1f1f"/>
        </w:rPr>
        <w:drawing>
          <wp:inline distB="19050" distT="19050" distL="19050" distR="19050">
            <wp:extent cx="772954" cy="344385"/>
            <wp:effectExtent b="0" l="0" r="0" t="0"/>
            <wp:docPr id="31"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772954" cy="3443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implication for the framework is that below the critical edge probability or radius, global coordination—such as the auction-based task allocation—becomes impossible.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The "Impossibility of global coordination below critical edge probability" is a confirmed theoretical limit. If the graph is disconnected, consensus algorithms cannot converge to a global average, and auctions cannot reach all participants, leading to the "Fragmented" regime.</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Mixing Time and Consensus Scalability</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framework identifies a mixing time scaling of </w:t>
      </w:r>
      <w:r w:rsidDel="00000000" w:rsidR="00000000" w:rsidRPr="00000000">
        <w:rPr>
          <w:rFonts w:ascii="Google Sans" w:cs="Google Sans" w:eastAsia="Google Sans" w:hAnsi="Google Sans"/>
          <w:color w:val="1f1f1f"/>
        </w:rPr>
        <w:drawing>
          <wp:inline distB="19050" distT="19050" distL="19050" distR="19050">
            <wp:extent cx="1080249" cy="237502"/>
            <wp:effectExtent b="0" l="0" r="0" t="0"/>
            <wp:docPr id="32"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1080249" cy="23750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planar gossip consensus. This is confirmed by research into information spreading in dynamic and static planar graphs. Randomized gossip completes information spreading in </w:t>
      </w:r>
      <w:r w:rsidDel="00000000" w:rsidR="00000000" w:rsidRPr="00000000">
        <w:rPr>
          <w:rFonts w:ascii="Google Sans" w:cs="Google Sans" w:eastAsia="Google Sans" w:hAnsi="Google Sans"/>
          <w:color w:val="1f1f1f"/>
        </w:rPr>
        <w:drawing>
          <wp:inline distB="19050" distT="19050" distL="19050" distR="19050">
            <wp:extent cx="669131" cy="238426"/>
            <wp:effectExtent b="0" l="0" r="0" t="0"/>
            <wp:docPr id="33"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669131" cy="23842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rounds for certain expander-like networks, but for spatially constrained networks like a 2D grid or a planar RGG, the mixing time is significantly slower, often </w:t>
      </w:r>
      <w:r w:rsidDel="00000000" w:rsidR="00000000" w:rsidRPr="00000000">
        <w:rPr>
          <w:rFonts w:ascii="Google Sans" w:cs="Google Sans" w:eastAsia="Google Sans" w:hAnsi="Google Sans"/>
          <w:color w:val="1f1f1f"/>
        </w:rPr>
        <w:drawing>
          <wp:inline distB="19050" distT="19050" distL="19050" distR="19050">
            <wp:extent cx="531376" cy="235324"/>
            <wp:effectExtent b="0" l="0" r="0" t="0"/>
            <wp:docPr id="34"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31376" cy="2353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due to the "bottleneck" of spatial diffusion.</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This </w:t>
      </w:r>
      <w:r w:rsidDel="00000000" w:rsidR="00000000" w:rsidRPr="00000000">
        <w:rPr>
          <w:rFonts w:ascii="Google Sans" w:cs="Google Sans" w:eastAsia="Google Sans" w:hAnsi="Google Sans"/>
          <w:color w:val="1f1f1f"/>
        </w:rPr>
        <w:drawing>
          <wp:inline distB="19050" distT="19050" distL="19050" distR="19050">
            <wp:extent cx="531376" cy="235324"/>
            <wp:effectExtent b="0" l="0" r="0" t="0"/>
            <wp:docPr id="1"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31376" cy="2353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scaling is a critical constraint for the "Latency Oscillation" regime, where the time to reach consensus may exceed the time constant of the agent's parameter adaptation, leading to instability.</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Thermodynamics and Energy Exhaustion</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"Finite-time energy exhaustion inevitability" under strictly positive dissipation is a fundamental consequence of the energy-monotonic decay enforced by the framework. If the energy injection is zero and dissipation is bounded below by a positive constant </w:t>
      </w:r>
      <w:r w:rsidDel="00000000" w:rsidR="00000000" w:rsidRPr="00000000">
        <w:rPr>
          <w:rFonts w:ascii="Google Sans" w:cs="Google Sans" w:eastAsia="Google Sans" w:hAnsi="Google Sans"/>
          <w:color w:val="1f1f1f"/>
        </w:rPr>
        <w:drawing>
          <wp:inline distB="19050" distT="19050" distL="19050" distR="19050">
            <wp:extent cx="88821" cy="250313"/>
            <wp:effectExtent b="0" l="0" r="0" t="0"/>
            <wp:docPr id="2"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88821" cy="2503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agent's lifetime is finite. More importantly, the framework must model the "Energy Cascade Bounds." In turbulent fluids, energy is transported from large scales to small scales until it is dissipated.</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In a swarm, an energy cascade occurs when the failure of energy-depleted agents forces the remaining agents to increase their sensing or communication range, thereby increasing their own dissipation and accelerating the swarm's total collapse.</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5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Positioning for Graduate-Level Research</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proposed framework represents a sophisticated multidisciplinary synthesis that is well-positioned for high-impact graduate research.</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Evaluation by Research Domain</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w:t>
      </w:r>
      <w:r w:rsidDel="00000000" w:rsidR="00000000" w:rsidRPr="00000000">
        <w:rPr>
          <w:rFonts w:ascii="Google Sans" w:cs="Google Sans" w:eastAsia="Google Sans" w:hAnsi="Google Sans"/>
          <w:b w:val="1"/>
          <w:bCs w:val="1"/>
          <w:color w:val="1f1f1f"/>
          <w:rtl w:val="0"/>
        </w:rPr>
        <w:t xml:space="preserve">Distributed Systems Research</w:t>
      </w:r>
      <w:r w:rsidDel="00000000" w:rsidR="00000000" w:rsidRPr="00000000">
        <w:rPr>
          <w:rFonts w:ascii="Google Sans" w:cs="Google Sans" w:eastAsia="Google Sans" w:hAnsi="Google Sans"/>
          <w:color w:val="1f1f1f"/>
          <w:rtl w:val="0"/>
        </w:rPr>
        <w:t xml:space="preserve">, the framework’s focus on "decentralized regime detection" without global spectral access addresses one of the most challenging problems in networked control. The ability to estimate </w:t>
      </w:r>
      <w:r w:rsidDel="00000000" w:rsidR="00000000" w:rsidRPr="00000000">
        <w:rPr>
          <w:rFonts w:ascii="Google Sans" w:cs="Google Sans" w:eastAsia="Google Sans" w:hAnsi="Google Sans"/>
          <w:color w:val="1f1f1f"/>
        </w:rPr>
        <w:drawing>
          <wp:inline distB="19050" distT="19050" distL="19050" distR="19050">
            <wp:extent cx="181332" cy="244404"/>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81332" cy="2444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or identify a phase transition through local interactions is a significant contribution that goes beyond simple algorithmic tweaks.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w:t>
      </w:r>
      <w:r w:rsidDel="00000000" w:rsidR="00000000" w:rsidRPr="00000000">
        <w:rPr>
          <w:rFonts w:ascii="Google Sans" w:cs="Google Sans" w:eastAsia="Google Sans" w:hAnsi="Google Sans"/>
          <w:b w:val="1"/>
          <w:bCs w:val="1"/>
          <w:color w:val="1f1f1f"/>
          <w:rtl w:val="0"/>
        </w:rPr>
        <w:t xml:space="preserve">Multi-Agent Robotics and Swarm Intelligence</w:t>
      </w:r>
      <w:r w:rsidDel="00000000" w:rsidR="00000000" w:rsidRPr="00000000">
        <w:rPr>
          <w:rFonts w:ascii="Google Sans" w:cs="Google Sans" w:eastAsia="Google Sans" w:hAnsi="Google Sans"/>
          <w:color w:val="1f1f1f"/>
          <w:rtl w:val="0"/>
        </w:rPr>
        <w:t xml:space="preserve">, the framework moves the conversation from "how to achieve coverage" to "how to maintain coverage under stress." By utilizing a hybrid automaton and a provably stable parameter manifold, the work provides the mathematical rigor often missing from purely bio-inspired swarm studies.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w:t>
      </w:r>
      <w:r w:rsidDel="00000000" w:rsidR="00000000" w:rsidRPr="00000000">
        <w:rPr>
          <w:rFonts w:ascii="Google Sans" w:cs="Google Sans" w:eastAsia="Google Sans" w:hAnsi="Google Sans"/>
          <w:b w:val="1"/>
          <w:bCs w:val="1"/>
          <w:color w:val="1f1f1f"/>
          <w:rtl w:val="0"/>
        </w:rPr>
        <w:t xml:space="preserve">Resilient Autonomous Systems</w:t>
      </w:r>
      <w:r w:rsidDel="00000000" w:rsidR="00000000" w:rsidRPr="00000000">
        <w:rPr>
          <w:rFonts w:ascii="Google Sans" w:cs="Google Sans" w:eastAsia="Google Sans" w:hAnsi="Google Sans"/>
          <w:color w:val="1f1f1f"/>
          <w:rtl w:val="0"/>
        </w:rPr>
        <w:t xml:space="preserve">, the framework is a pioneering effort. Most resilience research is reactive; this framework is proactive, using detection and adaptation within a </w:t>
      </w:r>
      <w:r w:rsidDel="00000000" w:rsidR="00000000" w:rsidRPr="00000000">
        <w:rPr>
          <w:rFonts w:ascii="Google Sans" w:cs="Google Sans" w:eastAsia="Google Sans" w:hAnsi="Google Sans"/>
          <w:color w:val="1f1f1f"/>
        </w:rPr>
        <w:drawing>
          <wp:inline distB="19050" distT="19050" distL="19050" distR="19050">
            <wp:extent cx="418981" cy="213299"/>
            <wp:effectExtent b="0" l="0" r="0" t="0"/>
            <wp:docPr id="4"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418981" cy="2132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manifold to prevent failure before it occurs.</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Academic Scope and Recommendations</w:t>
      </w:r>
    </w:p>
    <w:p w:rsidR="00000000" w:rsidDel="00000000" w:rsidP="00000000" w:rsidRDefault="00000000" w:rsidRPr="00000000" w14:paraId="00000063">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Undergraduate Scope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Over-ambitious</w:t>
      </w:r>
      <w:r w:rsidDel="00000000" w:rsidR="00000000" w:rsidRPr="00000000">
        <w:rPr>
          <w:rFonts w:ascii="Google Sans" w:cs="Google Sans" w:eastAsia="Google Sans" w:hAnsi="Google Sans"/>
          <w:color w:val="1f1f1f"/>
          <w:rtl w:val="0"/>
        </w:rPr>
        <w:t xml:space="preserve">. The requirement to master hybrid systems theory, spectral graph theory, and stochastic process modeling makes this project unsuitable for an undergraduate scope, except as a highly simplified case study.</w:t>
      </w:r>
    </w:p>
    <w:p w:rsidR="00000000" w:rsidDel="00000000" w:rsidP="00000000" w:rsidRDefault="00000000" w:rsidRPr="00000000" w14:paraId="00000064">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MS-Level Research</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Strong Preparation Project</w:t>
      </w:r>
      <w:r w:rsidDel="00000000" w:rsidR="00000000" w:rsidRPr="00000000">
        <w:rPr>
          <w:rFonts w:ascii="Google Sans" w:cs="Google Sans" w:eastAsia="Google Sans" w:hAnsi="Google Sans"/>
          <w:color w:val="1f1f1f"/>
          <w:rtl w:val="0"/>
        </w:rPr>
        <w:t xml:space="preserve">. An MS student could successfully implement the Monte Carlo validation framework and explore the transition between two or three of the identified regimes. It would serve as an excellent foundation for a subsequent PhD.</w:t>
      </w:r>
    </w:p>
    <w:p w:rsidR="00000000" w:rsidDel="00000000" w:rsidP="00000000" w:rsidRDefault="00000000" w:rsidRPr="00000000" w14:paraId="00000065">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PhD-Level Research</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Publishable Research Foundation</w:t>
      </w:r>
      <w:r w:rsidDel="00000000" w:rsidR="00000000" w:rsidRPr="00000000">
        <w:rPr>
          <w:rFonts w:ascii="Google Sans" w:cs="Google Sans" w:eastAsia="Google Sans" w:hAnsi="Google Sans"/>
          <w:color w:val="1f1f1f"/>
          <w:rtl w:val="0"/>
        </w:rPr>
        <w:t xml:space="preserve">. The development of the decentralized regime detection algorithm and the formal proof of the </w:t>
      </w:r>
      <w:r w:rsidDel="00000000" w:rsidR="00000000" w:rsidRPr="00000000">
        <w:rPr>
          <w:rFonts w:ascii="Google Sans" w:cs="Google Sans" w:eastAsia="Google Sans" w:hAnsi="Google Sans"/>
          <w:color w:val="1f1f1f"/>
        </w:rPr>
        <w:drawing>
          <wp:inline distB="19050" distT="19050" distL="19050" distR="19050">
            <wp:extent cx="418981" cy="213299"/>
            <wp:effectExtent b="0" l="0" r="0" t="0"/>
            <wp:docPr id="5"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418981" cy="2132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manifold are substantial enough to form the core of a doctoral dissertation. This work addresses "system-level integration and robustness modeling gaps," which are the hallmarks of advanced graduate research.</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framework is a robust and timely research foundation. Its emphasis on "strictly enforced decentralization" and "energy-monotonic decay" ensures that the results will be applicable to real-world, long-endurance autonomous missions where central oversight is a luxury and failure is an ever-present risk.</w:t>
      </w:r>
    </w:p>
    <w:p w:rsidR="00000000" w:rsidDel="00000000" w:rsidP="00000000" w:rsidRDefault="00000000" w:rsidRPr="00000000" w14:paraId="0000006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Operational Regime Classification and Transition Logic</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core of the framework’s resilience lies in its ability to classify and respond to its operational state. This is not a simple "if-then" logic but a continuous-to-discrete mapping handled by a hybrid automaton.</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Detailed Regime Analysis</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transition between regimes is triggered by local telemetry, which includes the agent's energy level, the local packet drop rate, and the variance in its gossip-consensus states.</w:t>
      </w:r>
    </w:p>
    <w:p w:rsidR="00000000" w:rsidDel="00000000" w:rsidP="00000000" w:rsidRDefault="00000000" w:rsidRPr="00000000" w14:paraId="0000006B">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Stable Regime</w:t>
      </w:r>
      <w:r w:rsidDel="00000000" w:rsidR="00000000" w:rsidRPr="00000000">
        <w:rPr>
          <w:rFonts w:ascii="Google Sans" w:cs="Google Sans" w:eastAsia="Google Sans" w:hAnsi="Google Sans"/>
          <w:color w:val="1f1f1f"/>
          <w:rtl w:val="0"/>
        </w:rPr>
        <w:t xml:space="preserve">: Characterized by a high spectral gap and low interference </w:t>
      </w:r>
      <w:r w:rsidDel="00000000" w:rsidR="00000000" w:rsidRPr="00000000">
        <w:rPr>
          <w:rFonts w:ascii="Google Sans" w:cs="Google Sans" w:eastAsia="Google Sans" w:hAnsi="Google Sans"/>
          <w:color w:val="1f1f1f"/>
        </w:rPr>
        <w:drawing>
          <wp:inline distB="19050" distT="19050" distL="19050" distR="19050">
            <wp:extent cx="507802" cy="238513"/>
            <wp:effectExtent b="0" l="0" r="0" t="0"/>
            <wp:docPr id="6"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07802" cy="2385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Lloyd’s algorithm converges quickly to an optimal Voronoi configuration. Energy consumption is minimal and predictable.</w:t>
      </w:r>
    </w:p>
    <w:p w:rsidR="00000000" w:rsidDel="00000000" w:rsidP="00000000" w:rsidRDefault="00000000" w:rsidRPr="00000000" w14:paraId="0000006C">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Intermittent Regime</w:t>
      </w:r>
      <w:r w:rsidDel="00000000" w:rsidR="00000000" w:rsidRPr="00000000">
        <w:rPr>
          <w:rFonts w:ascii="Google Sans" w:cs="Google Sans" w:eastAsia="Google Sans" w:hAnsi="Google Sans"/>
          <w:color w:val="1f1f1f"/>
          <w:rtl w:val="0"/>
        </w:rPr>
        <w:t xml:space="preserve">: Packet drops increase, but the network remains above the percolation threshold. The gossip consensus enters a "stochastic" state where mixing time increases but convergence is still guaranteed.</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6D">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Marginal Spectral Regime</w:t>
      </w:r>
      <w:r w:rsidDel="00000000" w:rsidR="00000000" w:rsidRPr="00000000">
        <w:rPr>
          <w:rFonts w:ascii="Google Sans" w:cs="Google Sans" w:eastAsia="Google Sans" w:hAnsi="Google Sans"/>
          <w:color w:val="1f1f1f"/>
          <w:rtl w:val="0"/>
        </w:rPr>
        <w:t xml:space="preserve">: This is the "warning phase." The local estimate of </w:t>
      </w:r>
      <w:r w:rsidDel="00000000" w:rsidR="00000000" w:rsidRPr="00000000">
        <w:rPr>
          <w:rFonts w:ascii="Google Sans" w:cs="Google Sans" w:eastAsia="Google Sans" w:hAnsi="Google Sans"/>
          <w:color w:val="1f1f1f"/>
        </w:rPr>
        <w:drawing>
          <wp:inline distB="19050" distT="19050" distL="19050" distR="19050">
            <wp:extent cx="181332" cy="244404"/>
            <wp:effectExtent b="0" l="0" r="0" t="0"/>
            <wp:docPr id="7"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81332" cy="2444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begins to collapse. The hybrid automaton triggers a transition to "Connectivity Preservation," where agents prioritize reducing distance to neighbors over optimal coverage.</w:t>
      </w:r>
    </w:p>
    <w:p w:rsidR="00000000" w:rsidDel="00000000" w:rsidP="00000000" w:rsidRDefault="00000000" w:rsidRPr="00000000" w14:paraId="0000006E">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Fragmented Regime</w:t>
      </w:r>
      <w:r w:rsidDel="00000000" w:rsidR="00000000" w:rsidRPr="00000000">
        <w:rPr>
          <w:rFonts w:ascii="Google Sans" w:cs="Google Sans" w:eastAsia="Google Sans" w:hAnsi="Google Sans"/>
          <w:color w:val="1f1f1f"/>
          <w:rtl w:val="0"/>
        </w:rPr>
        <w:t xml:space="preserve">: The percolation threshold </w:t>
      </w:r>
      <w:r w:rsidDel="00000000" w:rsidR="00000000" w:rsidRPr="00000000">
        <w:rPr>
          <w:rFonts w:ascii="Google Sans" w:cs="Google Sans" w:eastAsia="Google Sans" w:hAnsi="Google Sans"/>
          <w:color w:val="1f1f1f"/>
        </w:rPr>
        <w:drawing>
          <wp:inline distB="19050" distT="19050" distL="19050" distR="19050">
            <wp:extent cx="692706" cy="235977"/>
            <wp:effectExtent b="0" l="0" r="0" t="0"/>
            <wp:docPr id="8"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692706" cy="2359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breached. The swarm identifies itself as a set of disconnected sub-graphs. Task allocation is restricted to local sub-swarms to prevent "phantom" task assignments that cannot be coordinated.</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6F">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Energy Cascade Regime</w:t>
      </w:r>
      <w:r w:rsidDel="00000000" w:rsidR="00000000" w:rsidRPr="00000000">
        <w:rPr>
          <w:rFonts w:ascii="Google Sans" w:cs="Google Sans" w:eastAsia="Google Sans" w:hAnsi="Google Sans"/>
          <w:color w:val="1f1f1f"/>
          <w:rtl w:val="0"/>
        </w:rPr>
        <w:t xml:space="preserve">: A positive feedback loop of failure. The framework must detect the "spectral gap collapse" caused by agent death and adapt the remaining agents' parameters to prevent a total swarm blackout.</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70">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Latency Oscillation Regime</w:t>
      </w:r>
      <w:r w:rsidDel="00000000" w:rsidR="00000000" w:rsidRPr="00000000">
        <w:rPr>
          <w:rFonts w:ascii="Google Sans" w:cs="Google Sans" w:eastAsia="Google Sans" w:hAnsi="Google Sans"/>
          <w:color w:val="1f1f1f"/>
          <w:rtl w:val="0"/>
        </w:rPr>
        <w:t xml:space="preserve">: The most dangerous state for control stability. Delays in the gossip protocol lead to a mismatch between the agent's task state and the global reality. The hybrid automaton must detect this "hunting" behavior and switch to a "low-gain" or "safe" mode within </w:t>
      </w:r>
      <w:r w:rsidDel="00000000" w:rsidR="00000000" w:rsidRPr="00000000">
        <w:rPr>
          <w:rFonts w:ascii="Google Sans" w:cs="Google Sans" w:eastAsia="Google Sans" w:hAnsi="Google Sans"/>
          <w:color w:val="1f1f1f"/>
        </w:rPr>
        <w:drawing>
          <wp:inline distB="19050" distT="19050" distL="19050" distR="19050">
            <wp:extent cx="418981" cy="213299"/>
            <wp:effectExtent b="0" l="0" r="0" t="0"/>
            <wp:docPr id="9"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418981" cy="2132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Stability Manifold </w:t>
      </w:r>
      <w:r w:rsidDel="00000000" w:rsidR="00000000" w:rsidRPr="00000000">
        <w:rPr>
          <w:rFonts w:ascii="Google Sans" w:cs="Google Sans" w:eastAsia="Google Sans" w:hAnsi="Google Sans"/>
          <w:color w:val="1f1f1f"/>
        </w:rPr>
        <w:drawing>
          <wp:inline distB="19050" distT="19050" distL="19050" distR="19050">
            <wp:extent cx="418981" cy="213299"/>
            <wp:effectExtent b="0" l="0" r="0" t="0"/>
            <wp:docPr id="10"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418981" cy="213299"/>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concept of a "provably stable parameter manifold" </w:t>
      </w:r>
      <w:r w:rsidDel="00000000" w:rsidR="00000000" w:rsidRPr="00000000">
        <w:rPr>
          <w:rFonts w:ascii="Google Sans" w:cs="Google Sans" w:eastAsia="Google Sans" w:hAnsi="Google Sans"/>
          <w:color w:val="1f1f1f"/>
        </w:rPr>
        <w:drawing>
          <wp:inline distB="19050" distT="19050" distL="19050" distR="19050">
            <wp:extent cx="418981" cy="213299"/>
            <wp:effectExtent b="0" l="0" r="0" t="0"/>
            <wp:docPr id="18"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418981" cy="2132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derived from modern robust control theory. For each regime </w:t>
      </w:r>
      <w:r w:rsidDel="00000000" w:rsidR="00000000" w:rsidRPr="00000000">
        <w:rPr>
          <w:rFonts w:ascii="Google Sans" w:cs="Google Sans" w:eastAsia="Google Sans" w:hAnsi="Google Sans"/>
          <w:color w:val="1f1f1f"/>
        </w:rPr>
        <w:drawing>
          <wp:inline distB="19050" distT="19050" distL="19050" distR="19050">
            <wp:extent cx="460296" cy="237819"/>
            <wp:effectExtent b="0" l="0" r="0" t="0"/>
            <wp:docPr id="20"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460296" cy="2378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there exists a set of control parameters (e.g., Lloyd’s step size, auction bidding aggressiveness, gossip weights) such that the system's Lyapunov function </w:t>
      </w:r>
      <w:r w:rsidDel="00000000" w:rsidR="00000000" w:rsidRPr="00000000">
        <w:rPr>
          <w:rFonts w:ascii="Google Sans" w:cs="Google Sans" w:eastAsia="Google Sans" w:hAnsi="Google Sans"/>
          <w:color w:val="1f1f1f"/>
        </w:rPr>
        <w:drawing>
          <wp:inline distB="19050" distT="19050" distL="19050" distR="19050">
            <wp:extent cx="397550" cy="237001"/>
            <wp:effectExtent b="0" l="0" r="0" t="0"/>
            <wp:docPr id="23"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397550" cy="23700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decreasing. The framework ensures that even as the detection logic switches the system between regimes, the parameters remain within </w:t>
      </w:r>
      <w:r w:rsidDel="00000000" w:rsidR="00000000" w:rsidRPr="00000000">
        <w:rPr>
          <w:rFonts w:ascii="Google Sans" w:cs="Google Sans" w:eastAsia="Google Sans" w:hAnsi="Google Sans"/>
          <w:color w:val="1f1f1f"/>
        </w:rPr>
        <w:drawing>
          <wp:inline distB="19050" distT="19050" distL="19050" distR="19050">
            <wp:extent cx="418981" cy="213299"/>
            <wp:effectExtent b="0" l="0" r="0" t="0"/>
            <wp:docPr id="25"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418981" cy="2132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guarantee "stability-preserving bounded parameter adaptation".</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This is essential for preventing the swarm from entering a chaotic state during rapid environmental changes.</w:t>
      </w:r>
    </w:p>
    <w:p w:rsidR="00000000" w:rsidDel="00000000" w:rsidP="00000000" w:rsidRDefault="00000000" w:rsidRPr="00000000" w14:paraId="0000007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Synthesis and Strategic Outlook</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proposed distributed swarm autonomy simulation framework is a highly sophisticated architecture that addresses the critical intersection of network science, robotic control, and thermodynamics. By enforcing "no global observability" and "energy monotonic decay," the framework mirrors the harsh realities of real-world deployment. The analysis of existing systems and simulation platforms highlights that while the individual tools are available, the synthesis provided by this framework is novel and necessary. The validation of theoretical limits ensures that the simulation results will be grounded in established mathematical truths, while the positioning for graduate research emphasizes the framework's depth and potential for significant academic contribution. The integration of regime detection with hybrid automaton control within a safe parameter manifold represents the future of resilient, decentralized autonomy.</w:t>
      </w:r>
    </w:p>
    <w:p w:rsidR="00000000" w:rsidDel="00000000" w:rsidP="00000000" w:rsidRDefault="00000000" w:rsidRPr="00000000" w14:paraId="00000075">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7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OPTIMAL LEARNING OF DEPLOYMENT AND SEARCH ..., accessed on February 23, 2026, </w:t>
      </w:r>
      <w:hyperlink r:id="rId22">
        <w:r w:rsidDel="00000000" w:rsidR="00000000" w:rsidRPr="00000000">
          <w:rPr>
            <w:rFonts w:ascii="Google Sans" w:cs="Google Sans" w:eastAsia="Google Sans" w:hAnsi="Google Sans"/>
            <w:color w:val="0000ee"/>
            <w:sz w:val="24"/>
            <w:szCs w:val="24"/>
            <w:u w:val="single"/>
            <w:rtl w:val="0"/>
          </w:rPr>
          <w:t xml:space="preserve">https://www.egr.msu.edu/~vaibhav/papers/2021-wei-thesis.pdf</w:t>
        </w:r>
      </w:hyperlink>
      <w:r w:rsidDel="00000000" w:rsidR="00000000" w:rsidRPr="00000000">
        <w:rPr>
          <w:rtl w:val="0"/>
        </w:rPr>
      </w:r>
    </w:p>
    <w:p w:rsidR="00000000" w:rsidDel="00000000" w:rsidP="00000000" w:rsidRDefault="00000000" w:rsidRPr="00000000" w14:paraId="0000007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HROS dev - GitHub, accessed on February 23, 2026, </w:t>
      </w:r>
      <w:hyperlink r:id="rId23">
        <w:r w:rsidDel="00000000" w:rsidR="00000000" w:rsidRPr="00000000">
          <w:rPr>
            <w:rFonts w:ascii="Google Sans" w:cs="Google Sans" w:eastAsia="Google Sans" w:hAnsi="Google Sans"/>
            <w:color w:val="0000ee"/>
            <w:sz w:val="24"/>
            <w:szCs w:val="24"/>
            <w:u w:val="single"/>
            <w:rtl w:val="0"/>
          </w:rPr>
          <w:t xml:space="preserve">https://github.com/HROSdev</w:t>
        </w:r>
      </w:hyperlink>
      <w:r w:rsidDel="00000000" w:rsidR="00000000" w:rsidRPr="00000000">
        <w:rPr>
          <w:rtl w:val="0"/>
        </w:rPr>
      </w:r>
    </w:p>
    <w:p w:rsidR="00000000" w:rsidDel="00000000" w:rsidP="00000000" w:rsidRDefault="00000000" w:rsidRPr="00000000" w14:paraId="0000007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National Technical University of Athens Dynamic Resource ..., accessed on February 23, 2026, </w:t>
      </w:r>
      <w:hyperlink r:id="rId24">
        <w:r w:rsidDel="00000000" w:rsidR="00000000" w:rsidRPr="00000000">
          <w:rPr>
            <w:rFonts w:ascii="Google Sans" w:cs="Google Sans" w:eastAsia="Google Sans" w:hAnsi="Google Sans"/>
            <w:color w:val="0000ee"/>
            <w:sz w:val="24"/>
            <w:szCs w:val="24"/>
            <w:u w:val="single"/>
            <w:rtl w:val="0"/>
          </w:rPr>
          <w:t xml:space="preserve">https://dspace.lib.ntua.gr/xmlui/bitstream/handle/123456789/58741/PhD_Thesis_Spatharakis.pdf?sequence=1&amp;isAllowed=y</w:t>
        </w:r>
      </w:hyperlink>
      <w:r w:rsidDel="00000000" w:rsidR="00000000" w:rsidRPr="00000000">
        <w:rPr>
          <w:rtl w:val="0"/>
        </w:rPr>
      </w:r>
    </w:p>
    <w:p w:rsidR="00000000" w:rsidDel="00000000" w:rsidP="00000000" w:rsidRDefault="00000000" w:rsidRPr="00000000" w14:paraId="0000007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Topological signatures of collective dynamics and turbulent-like energy cascades in apolar active granular matter | PNAS, accessed on February 23, 2026, </w:t>
      </w:r>
      <w:hyperlink r:id="rId25">
        <w:r w:rsidDel="00000000" w:rsidR="00000000" w:rsidRPr="00000000">
          <w:rPr>
            <w:rFonts w:ascii="Google Sans" w:cs="Google Sans" w:eastAsia="Google Sans" w:hAnsi="Google Sans"/>
            <w:color w:val="0000ee"/>
            <w:sz w:val="24"/>
            <w:szCs w:val="24"/>
            <w:u w:val="single"/>
            <w:rtl w:val="0"/>
          </w:rPr>
          <w:t xml:space="preserve">https://www.pnas.org/doi/10.1073/pnas.2510873123</w:t>
        </w:r>
      </w:hyperlink>
      <w:r w:rsidDel="00000000" w:rsidR="00000000" w:rsidRPr="00000000">
        <w:rPr>
          <w:rtl w:val="0"/>
        </w:rPr>
      </w:r>
    </w:p>
    <w:p w:rsidR="00000000" w:rsidDel="00000000" w:rsidP="00000000" w:rsidRDefault="00000000" w:rsidRPr="00000000" w14:paraId="0000007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Noisy active matter - The Bhamla Lab, accessed on February 23, 2026, </w:t>
      </w:r>
      <w:hyperlink r:id="rId26">
        <w:r w:rsidDel="00000000" w:rsidR="00000000" w:rsidRPr="00000000">
          <w:rPr>
            <w:rFonts w:ascii="Google Sans" w:cs="Google Sans" w:eastAsia="Google Sans" w:hAnsi="Google Sans"/>
            <w:color w:val="0000ee"/>
            <w:sz w:val="24"/>
            <w:szCs w:val="24"/>
            <w:u w:val="single"/>
            <w:rtl w:val="0"/>
          </w:rPr>
          <w:t xml:space="preserve">https://bhamla.gatech.edu/s/250816031v1.pdf</w:t>
        </w:r>
      </w:hyperlink>
      <w:r w:rsidDel="00000000" w:rsidR="00000000" w:rsidRPr="00000000">
        <w:rPr>
          <w:rtl w:val="0"/>
        </w:rPr>
      </w:r>
    </w:p>
    <w:p w:rsidR="00000000" w:rsidDel="00000000" w:rsidP="00000000" w:rsidRDefault="00000000" w:rsidRPr="00000000" w14:paraId="0000007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Acceleration of Unbound Intelligence: A Recursive, Agentic, and Liquid Future - Reddit, accessed on February 23, 2026, </w:t>
      </w:r>
      <w:hyperlink r:id="rId27">
        <w:r w:rsidDel="00000000" w:rsidR="00000000" w:rsidRPr="00000000">
          <w:rPr>
            <w:rFonts w:ascii="Google Sans" w:cs="Google Sans" w:eastAsia="Google Sans" w:hAnsi="Google Sans"/>
            <w:color w:val="0000ee"/>
            <w:sz w:val="24"/>
            <w:szCs w:val="24"/>
            <w:u w:val="single"/>
            <w:rtl w:val="0"/>
          </w:rPr>
          <w:t xml:space="preserve">https://www.reddit.com/r/Realms_of_Omnarai/comments/1qivou5/the_acceleration_of_unbound_intelligence_a/</w:t>
        </w:r>
      </w:hyperlink>
      <w:r w:rsidDel="00000000" w:rsidR="00000000" w:rsidRPr="00000000">
        <w:rPr>
          <w:rtl w:val="0"/>
        </w:rPr>
      </w:r>
    </w:p>
    <w:p w:rsidR="00000000" w:rsidDel="00000000" w:rsidP="00000000" w:rsidRDefault="00000000" w:rsidRPr="00000000" w14:paraId="0000007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bin-covering technique for thresholding random geometric graph properties | Request PDF - ResearchGate, accessed on February 23, 2026, </w:t>
      </w:r>
      <w:hyperlink r:id="rId28">
        <w:r w:rsidDel="00000000" w:rsidR="00000000" w:rsidRPr="00000000">
          <w:rPr>
            <w:rFonts w:ascii="Google Sans" w:cs="Google Sans" w:eastAsia="Google Sans" w:hAnsi="Google Sans"/>
            <w:color w:val="0000ee"/>
            <w:sz w:val="24"/>
            <w:szCs w:val="24"/>
            <w:u w:val="single"/>
            <w:rtl w:val="0"/>
          </w:rPr>
          <w:t xml:space="preserve">https://www.researchgate.net/publication/220780536_The_bin-covering_technique_for_thresholding_random_geometric_graph_properties</w:t>
        </w:r>
      </w:hyperlink>
      <w:r w:rsidDel="00000000" w:rsidR="00000000" w:rsidRPr="00000000">
        <w:rPr>
          <w:rtl w:val="0"/>
        </w:rPr>
      </w:r>
    </w:p>
    <w:p w:rsidR="00000000" w:rsidDel="00000000" w:rsidP="00000000" w:rsidRDefault="00000000" w:rsidRPr="00000000" w14:paraId="0000007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Plane and Planarity Thresholds for Random Geometric Graphs - ResearchGate, accessed on February 23, 2026, </w:t>
      </w:r>
      <w:hyperlink r:id="rId29">
        <w:r w:rsidDel="00000000" w:rsidR="00000000" w:rsidRPr="00000000">
          <w:rPr>
            <w:rFonts w:ascii="Google Sans" w:cs="Google Sans" w:eastAsia="Google Sans" w:hAnsi="Google Sans"/>
            <w:color w:val="0000ee"/>
            <w:sz w:val="24"/>
            <w:szCs w:val="24"/>
            <w:u w:val="single"/>
            <w:rtl w:val="0"/>
          </w:rPr>
          <w:t xml:space="preserve">https://www.researchgate.net/publication/300111083_Plane_and_Planarity_Thresholds_for_Random_Geometric_Graphs</w:t>
        </w:r>
      </w:hyperlink>
      <w:r w:rsidDel="00000000" w:rsidR="00000000" w:rsidRPr="00000000">
        <w:rPr>
          <w:rtl w:val="0"/>
        </w:rPr>
      </w:r>
    </w:p>
    <w:p w:rsidR="00000000" w:rsidDel="00000000" w:rsidP="00000000" w:rsidRDefault="00000000" w:rsidRPr="00000000" w14:paraId="0000007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Decentralized Estimation and Control for Preserving the Strong Connectivity of Directed Graphs | Request PDF - ResearchGate, accessed on February 23, 2026, </w:t>
      </w:r>
      <w:hyperlink r:id="rId30">
        <w:r w:rsidDel="00000000" w:rsidR="00000000" w:rsidRPr="00000000">
          <w:rPr>
            <w:rFonts w:ascii="Google Sans" w:cs="Google Sans" w:eastAsia="Google Sans" w:hAnsi="Google Sans"/>
            <w:color w:val="0000ee"/>
            <w:sz w:val="24"/>
            <w:szCs w:val="24"/>
            <w:u w:val="single"/>
            <w:rtl w:val="0"/>
          </w:rPr>
          <w:t xml:space="preserve">https://www.researchgate.net/publication/269416160_Decentralized_Estimation_and_Control_for_Preserving_the_Strong_Connectivity_of_Directed_Graphs</w:t>
        </w:r>
      </w:hyperlink>
      <w:r w:rsidDel="00000000" w:rsidR="00000000" w:rsidRPr="00000000">
        <w:rPr>
          <w:rtl w:val="0"/>
        </w:rPr>
      </w:r>
    </w:p>
    <w:p w:rsidR="00000000" w:rsidDel="00000000" w:rsidP="00000000" w:rsidRDefault="00000000" w:rsidRPr="00000000" w14:paraId="0000007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Reset PID Design for Motion Systems With Stribeck Friction | Request PDF - ResearchGate, accessed on February 23, 2026, </w:t>
      </w:r>
      <w:hyperlink r:id="rId31">
        <w:r w:rsidDel="00000000" w:rsidR="00000000" w:rsidRPr="00000000">
          <w:rPr>
            <w:rFonts w:ascii="Google Sans" w:cs="Google Sans" w:eastAsia="Google Sans" w:hAnsi="Google Sans"/>
            <w:color w:val="0000ee"/>
            <w:sz w:val="24"/>
            <w:szCs w:val="24"/>
            <w:u w:val="single"/>
            <w:rtl w:val="0"/>
          </w:rPr>
          <w:t xml:space="preserve">https://www.researchgate.net/publication/350437119_Reset_PID_Design_for_Motion_Systems_With_Stribeck_Friction</w:t>
        </w:r>
      </w:hyperlink>
      <w:r w:rsidDel="00000000" w:rsidR="00000000" w:rsidRPr="00000000">
        <w:rPr>
          <w:rtl w:val="0"/>
        </w:rPr>
      </w:r>
    </w:p>
    <w:p w:rsidR="00000000" w:rsidDel="00000000" w:rsidP="00000000" w:rsidRDefault="00000000" w:rsidRPr="00000000" w14:paraId="0000008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Stability of Swarming on Random Graphs - Scribd, accessed on February 23, 2026, </w:t>
      </w:r>
      <w:hyperlink r:id="rId32">
        <w:r w:rsidDel="00000000" w:rsidR="00000000" w:rsidRPr="00000000">
          <w:rPr>
            <w:rFonts w:ascii="Google Sans" w:cs="Google Sans" w:eastAsia="Google Sans" w:hAnsi="Google Sans"/>
            <w:color w:val="0000ee"/>
            <w:sz w:val="24"/>
            <w:szCs w:val="24"/>
            <w:u w:val="single"/>
            <w:rtl w:val="0"/>
          </w:rPr>
          <w:t xml:space="preserve">https://www.scribd.com/document/790527819/Swarming-random-graph</w:t>
        </w:r>
      </w:hyperlink>
      <w:r w:rsidDel="00000000" w:rsidR="00000000" w:rsidRPr="00000000">
        <w:rPr>
          <w:rtl w:val="0"/>
        </w:rPr>
      </w:r>
    </w:p>
    <w:p w:rsidR="00000000" w:rsidDel="00000000" w:rsidP="00000000" w:rsidRDefault="00000000" w:rsidRPr="00000000" w14:paraId="0000008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Rumor Spreading in Random Evolving Graphs | Request PDF - ResearchGate, accessed on February 23, 2026, </w:t>
      </w:r>
      <w:hyperlink r:id="rId33">
        <w:r w:rsidDel="00000000" w:rsidR="00000000" w:rsidRPr="00000000">
          <w:rPr>
            <w:rFonts w:ascii="Google Sans" w:cs="Google Sans" w:eastAsia="Google Sans" w:hAnsi="Google Sans"/>
            <w:color w:val="0000ee"/>
            <w:sz w:val="24"/>
            <w:szCs w:val="24"/>
            <w:u w:val="single"/>
            <w:rtl w:val="0"/>
          </w:rPr>
          <w:t xml:space="preserve">https://www.researchgate.net/publication/235634005_Rumor_Spreading_in_Random_Evolving_Graphs</w:t>
        </w:r>
      </w:hyperlink>
      <w:r w:rsidDel="00000000" w:rsidR="00000000" w:rsidRPr="00000000">
        <w:rPr>
          <w:rtl w:val="0"/>
        </w:rPr>
      </w:r>
    </w:p>
    <w:p w:rsidR="00000000" w:rsidDel="00000000" w:rsidP="00000000" w:rsidRDefault="00000000" w:rsidRPr="00000000" w14:paraId="0000008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small-world phenomenon: an algorithm perspective - ResearchGate, accessed on February 23, 2026, </w:t>
      </w:r>
      <w:hyperlink r:id="rId34">
        <w:r w:rsidDel="00000000" w:rsidR="00000000" w:rsidRPr="00000000">
          <w:rPr>
            <w:rFonts w:ascii="Google Sans" w:cs="Google Sans" w:eastAsia="Google Sans" w:hAnsi="Google Sans"/>
            <w:color w:val="0000ee"/>
            <w:sz w:val="24"/>
            <w:szCs w:val="24"/>
            <w:u w:val="single"/>
            <w:rtl w:val="0"/>
          </w:rPr>
          <w:t xml:space="preserve">https://www.researchgate.net/publication/221591584_The_small-world_phenomenon_an_algorithm_perspective</w:t>
        </w:r>
      </w:hyperlink>
      <w:r w:rsidDel="00000000" w:rsidR="00000000" w:rsidRPr="00000000">
        <w:rPr>
          <w:rtl w:val="0"/>
        </w:rPr>
      </w:r>
    </w:p>
    <w:p w:rsidR="00000000" w:rsidDel="00000000" w:rsidP="00000000" w:rsidRDefault="00000000" w:rsidRPr="00000000" w14:paraId="0000008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Nonequilibrium hyperuniform states in active turbulence - arXiv, accessed on February 23, 2026, </w:t>
      </w:r>
      <w:hyperlink r:id="rId35">
        <w:r w:rsidDel="00000000" w:rsidR="00000000" w:rsidRPr="00000000">
          <w:rPr>
            <w:rFonts w:ascii="Google Sans" w:cs="Google Sans" w:eastAsia="Google Sans" w:hAnsi="Google Sans"/>
            <w:color w:val="0000ee"/>
            <w:sz w:val="24"/>
            <w:szCs w:val="24"/>
            <w:u w:val="single"/>
            <w:rtl w:val="0"/>
          </w:rPr>
          <w:t xml:space="preserve">https://arxiv.org/html/2311.14959v1</w:t>
        </w:r>
      </w:hyperlink>
      <w:r w:rsidDel="00000000" w:rsidR="00000000" w:rsidRPr="00000000">
        <w:rPr>
          <w:rtl w:val="0"/>
        </w:rPr>
      </w:r>
    </w:p>
    <w:p w:rsidR="00000000" w:rsidDel="00000000" w:rsidP="00000000" w:rsidRDefault="00000000" w:rsidRPr="00000000" w14:paraId="0000008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Spatially distributed Wind and Turbulence Measurements with a Fleet of Unmanned Aerial Systems, accessed on February 23, 2026, </w:t>
      </w:r>
      <w:hyperlink r:id="rId36">
        <w:r w:rsidDel="00000000" w:rsidR="00000000" w:rsidRPr="00000000">
          <w:rPr>
            <w:rFonts w:ascii="Google Sans" w:cs="Google Sans" w:eastAsia="Google Sans" w:hAnsi="Google Sans"/>
            <w:color w:val="0000ee"/>
            <w:sz w:val="24"/>
            <w:szCs w:val="24"/>
            <w:u w:val="single"/>
            <w:rtl w:val="0"/>
          </w:rPr>
          <w:t xml:space="preserve">https://elib.dlr.de/201915/1/Dissertation_Forschungsbericht_Rand_315cm_link_rechts.pdf</w:t>
        </w:r>
      </w:hyperlink>
      <w:r w:rsidDel="00000000" w:rsidR="00000000" w:rsidRPr="00000000">
        <w:rPr>
          <w:rtl w:val="0"/>
        </w:rPr>
      </w:r>
    </w:p>
    <w:p w:rsidR="00000000" w:rsidDel="00000000" w:rsidP="00000000" w:rsidRDefault="00000000" w:rsidRPr="00000000" w14:paraId="0000008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ROBUST STABILITY AND CONTROL FOR SYSTEMS THAT COMBINE CONTINUOUS-TIME AND DISCRETE-TIME DYNAMICS - Center for Analysis &amp; Design of Intelligent Agents - Reykjavik University, accessed on February 23, 2026, </w:t>
      </w:r>
      <w:hyperlink r:id="rId37">
        <w:r w:rsidDel="00000000" w:rsidR="00000000" w:rsidRPr="00000000">
          <w:rPr>
            <w:rFonts w:ascii="Google Sans" w:cs="Google Sans" w:eastAsia="Google Sans" w:hAnsi="Google Sans"/>
            <w:color w:val="0000ee"/>
            <w:sz w:val="24"/>
            <w:szCs w:val="24"/>
            <w:u w:val="single"/>
            <w:rtl w:val="0"/>
          </w:rPr>
          <w:t xml:space="preserve">http://cadia.ru.is/wiki/_media/public:t-720-atai:goebeletal-hybriddynamicalsystems-2009.pdf</w:t>
        </w:r>
      </w:hyperlink>
      <w:r w:rsidDel="00000000" w:rsidR="00000000" w:rsidRPr="00000000">
        <w:rPr>
          <w:rtl w:val="0"/>
        </w:rPr>
      </w:r>
    </w:p>
    <w:p w:rsidR="00000000" w:rsidDel="00000000" w:rsidP="00000000" w:rsidRDefault="00000000" w:rsidRPr="00000000" w14:paraId="0000008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parameter formula connecting PID and ADRC - ResearchGate, accessed on February 23, 2026, </w:t>
      </w:r>
      <w:hyperlink r:id="rId38">
        <w:r w:rsidDel="00000000" w:rsidR="00000000" w:rsidRPr="00000000">
          <w:rPr>
            <w:rFonts w:ascii="Google Sans" w:cs="Google Sans" w:eastAsia="Google Sans" w:hAnsi="Google Sans"/>
            <w:color w:val="0000ee"/>
            <w:sz w:val="24"/>
            <w:szCs w:val="24"/>
            <w:u w:val="single"/>
            <w:rtl w:val="0"/>
          </w:rPr>
          <w:t xml:space="preserve">https://www.researchgate.net/publication/343273157_A_parameter_formula_connecting_PID_and_ADRC</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22" Type="http://schemas.openxmlformats.org/officeDocument/2006/relationships/hyperlink" Target="https://www.egr.msu.edu/~vaibhav/papers/2021-wei-thesis.pdf" TargetMode="External"/><Relationship Id="rId21" Type="http://schemas.openxmlformats.org/officeDocument/2006/relationships/image" Target="media/image15.png"/><Relationship Id="rId24" Type="http://schemas.openxmlformats.org/officeDocument/2006/relationships/hyperlink" Target="https://dspace.lib.ntua.gr/xmlui/bitstream/handle/123456789/58741/PhD_Thesis_Spatharakis.pdf?sequence=1&amp;isAllowed=y" TargetMode="External"/><Relationship Id="rId23" Type="http://schemas.openxmlformats.org/officeDocument/2006/relationships/hyperlink" Target="https://github.com/HROSdev"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26" Type="http://schemas.openxmlformats.org/officeDocument/2006/relationships/hyperlink" Target="https://bhamla.gatech.edu/s/250816031v1.pdf" TargetMode="External"/><Relationship Id="rId25" Type="http://schemas.openxmlformats.org/officeDocument/2006/relationships/hyperlink" Target="https://www.pnas.org/doi/10.1073/pnas.2510873123" TargetMode="External"/><Relationship Id="rId28" Type="http://schemas.openxmlformats.org/officeDocument/2006/relationships/hyperlink" Target="https://www.researchgate.net/publication/220780536_The_bin-covering_technique_for_thresholding_random_geometric_graph_properties" TargetMode="External"/><Relationship Id="rId27" Type="http://schemas.openxmlformats.org/officeDocument/2006/relationships/hyperlink" Target="https://www.reddit.com/r/Realms_of_Omnarai/comments/1qivou5/the_acceleration_of_unbound_intelligence_a/" TargetMode="External"/><Relationship Id="rId5" Type="http://schemas.openxmlformats.org/officeDocument/2006/relationships/styles" Target="styles.xml"/><Relationship Id="rId6" Type="http://schemas.openxmlformats.org/officeDocument/2006/relationships/image" Target="media/image3.png"/><Relationship Id="rId29" Type="http://schemas.openxmlformats.org/officeDocument/2006/relationships/hyperlink" Target="https://www.researchgate.net/publication/300111083_Plane_and_Planarity_Thresholds_for_Random_Geometric_Graphs" TargetMode="External"/><Relationship Id="rId7" Type="http://schemas.openxmlformats.org/officeDocument/2006/relationships/image" Target="media/image9.png"/><Relationship Id="rId8" Type="http://schemas.openxmlformats.org/officeDocument/2006/relationships/image" Target="media/image4.png"/><Relationship Id="rId31" Type="http://schemas.openxmlformats.org/officeDocument/2006/relationships/hyperlink" Target="https://www.researchgate.net/publication/350437119_Reset_PID_Design_for_Motion_Systems_With_Stribeck_Friction" TargetMode="External"/><Relationship Id="rId30" Type="http://schemas.openxmlformats.org/officeDocument/2006/relationships/hyperlink" Target="https://www.researchgate.net/publication/269416160_Decentralized_Estimation_and_Control_for_Preserving_the_Strong_Connectivity_of_Directed_Graphs" TargetMode="External"/><Relationship Id="rId11" Type="http://schemas.openxmlformats.org/officeDocument/2006/relationships/image" Target="media/image6.png"/><Relationship Id="rId33" Type="http://schemas.openxmlformats.org/officeDocument/2006/relationships/hyperlink" Target="https://www.researchgate.net/publication/235634005_Rumor_Spreading_in_Random_Evolving_Graphs" TargetMode="External"/><Relationship Id="rId10" Type="http://schemas.openxmlformats.org/officeDocument/2006/relationships/image" Target="media/image8.png"/><Relationship Id="rId32" Type="http://schemas.openxmlformats.org/officeDocument/2006/relationships/hyperlink" Target="https://www.scribd.com/document/790527819/Swarming-random-graph" TargetMode="External"/><Relationship Id="rId13" Type="http://schemas.openxmlformats.org/officeDocument/2006/relationships/image" Target="media/image12.png"/><Relationship Id="rId35" Type="http://schemas.openxmlformats.org/officeDocument/2006/relationships/hyperlink" Target="https://arxiv.org/html/2311.14959v1" TargetMode="External"/><Relationship Id="rId12" Type="http://schemas.openxmlformats.org/officeDocument/2006/relationships/image" Target="media/image10.png"/><Relationship Id="rId34" Type="http://schemas.openxmlformats.org/officeDocument/2006/relationships/hyperlink" Target="https://www.researchgate.net/publication/221591584_The_small-world_phenomenon_an_algorithm_perspective" TargetMode="External"/><Relationship Id="rId15" Type="http://schemas.openxmlformats.org/officeDocument/2006/relationships/image" Target="media/image13.png"/><Relationship Id="rId37" Type="http://schemas.openxmlformats.org/officeDocument/2006/relationships/hyperlink" Target="http://cadia.ru.is/wiki/_media/public:t-720-atai:goebeletal-hybriddynamicalsystems-2009.pdf" TargetMode="External"/><Relationship Id="rId14" Type="http://schemas.openxmlformats.org/officeDocument/2006/relationships/image" Target="media/image7.png"/><Relationship Id="rId36" Type="http://schemas.openxmlformats.org/officeDocument/2006/relationships/hyperlink" Target="https://elib.dlr.de/201915/1/Dissertation_Forschungsbericht_Rand_315cm_link_rechts.pdf" TargetMode="External"/><Relationship Id="rId17" Type="http://schemas.openxmlformats.org/officeDocument/2006/relationships/image" Target="media/image16.png"/><Relationship Id="rId16" Type="http://schemas.openxmlformats.org/officeDocument/2006/relationships/image" Target="media/image11.png"/><Relationship Id="rId38" Type="http://schemas.openxmlformats.org/officeDocument/2006/relationships/hyperlink" Target="https://www.researchgate.net/publication/343273157_A_parameter_formula_connecting_PID_and_ADRC" TargetMode="External"/><Relationship Id="rId19" Type="http://schemas.openxmlformats.org/officeDocument/2006/relationships/image" Target="media/image1.png"/><Relationship Id="rId1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