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2937"/>
          <w:sz w:val="56"/>
          <w:szCs w:val="56"/>
        </w:rPr>
        <w:t xml:space="preserve">Full-Stack E-Commerce Platform</w:t>
      </w:r>
    </w:p>
    <w:p>
      <w:pPr>
        <w:spacing w:after="120"/>
        <w:jc w:val="center"/>
      </w:pPr>
      <w:r>
        <w:rPr>
          <w:color w:val="C2185B"/>
          <w:sz w:val="32"/>
          <w:szCs w:val="32"/>
        </w:rPr>
        <w:t xml:space="preserve">Design Decisions &amp; Technical Justification</w:t>
      </w:r>
    </w:p>
    <w:p>
      <w:pPr>
        <w:spacing w:after="600"/>
        <w:jc w:val="center"/>
      </w:pPr>
      <w:r>
        <w:rPr>
          <w:i/>
          <w:iCs/>
          <w:color w:val="6B7280"/>
          <w:sz w:val="22"/>
          <w:szCs w:val="22"/>
        </w:rPr>
        <w:t xml:space="preserve">A Myntra-style shopping platform — shared backend, web and mobile clients</w:t>
      </w:r>
    </w:p>
    <w:p>
      <w:pPr>
        <w:spacing w:after="80"/>
        <w:jc w:val="center"/>
      </w:pPr>
      <w:r>
        <w:rPr>
          <w:color w:val="1F2937"/>
          <w:sz w:val="20"/>
          <w:szCs w:val="20"/>
        </w:rPr>
        <w:t xml:space="preserve">Architecture: FastAPI · PostgreSQL · Redis · Next.js · React Native (Expo)</w:t>
      </w:r>
    </w:p>
    <w:p>
      <w:pPr>
        <w:jc w:val="center"/>
      </w:pPr>
      <w:r>
        <w:rPr>
          <w:color w:val="6B7280"/>
          <w:sz w:val="20"/>
          <w:szCs w:val="20"/>
        </w:rPr>
        <w:t xml:space="preserve">Six engineered subsystems with concurrency, idempotency, and scalability guarantees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System Overview</w:t>
      </w:r>
    </w:p>
    <w:p>
      <w:pPr>
        <w:spacing w:after="160" w:line="276"/>
      </w:pPr>
      <w:r>
        <w:t xml:space="preserve">This document explains the engineering decisions behind a full-stack e-commerce platform built to satisfy six specific functional requirements, each carrying non-trivial correctness or scalability constraints. The goal of the build was not merely a working demo but a system whose behaviour is defensible under concurrency, failure, and growth.</w:t>
      </w:r>
    </w:p>
    <w:p>
      <w:pPr>
        <w:spacing w:after="160" w:line="276"/>
      </w:pPr>
      <w:r>
        <w:t xml:space="preserve">The platform consists of a single shared backend API serving two clients: a Next.js web application and a React Native (Expo) mobile application. Centralizing all business logic in the backend ensures the two clients behave identically and that correctness guarantees (idempotency, optimistic locking, recommendation ranking) live in exactly one place.</w:t>
      </w:r>
    </w:p>
    <w:p>
      <w:pPr>
        <w:pStyle w:val="Heading2"/>
      </w:pPr>
      <w:r>
        <w:t xml:space="preserve">1.1 Technology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D1D5DB" w:sz="1"/>
              <w:left w:val="single" w:color="D1D5DB" w:sz="1"/>
              <w:bottom w:val="single" w:color="D1D5DB" w:sz="1"/>
              <w:right w:val="single" w:color="D1D5DB" w:sz="1"/>
            </w:tcBorders>
            <w:shd w:fill="C2185B" w:val="clear"/>
            <w:tcMar>
              <w:top w:type="dxa" w:w="80"/>
              <w:left w:type="dxa" w:w="120"/>
              <w:bottom w:type="dxa" w:w="80"/>
              <w:right w:type="dxa" w:w="120"/>
            </w:tcMar>
          </w:tcPr>
          <w:p>
            <w:r>
              <w:rPr>
                <w:b/>
                <w:bCs/>
                <w:color w:val="FFFFFF"/>
                <w:sz w:val="20"/>
                <w:szCs w:val="20"/>
              </w:rPr>
              <w:t xml:space="preserve">Layer</w:t>
            </w:r>
          </w:p>
        </w:tc>
        <w:tc>
          <w:tcPr>
            <w:tcW w:type="dxa" w:w="3000"/>
            <w:tcBorders>
              <w:top w:val="single" w:color="D1D5DB" w:sz="1"/>
              <w:left w:val="single" w:color="D1D5DB" w:sz="1"/>
              <w:bottom w:val="single" w:color="D1D5DB" w:sz="1"/>
              <w:right w:val="single" w:color="D1D5DB" w:sz="1"/>
            </w:tcBorders>
            <w:shd w:fill="C2185B" w:val="clear"/>
            <w:tcMar>
              <w:top w:type="dxa" w:w="80"/>
              <w:left w:type="dxa" w:w="120"/>
              <w:bottom w:type="dxa" w:w="80"/>
              <w:right w:type="dxa" w:w="120"/>
            </w:tcMar>
          </w:tcPr>
          <w:p>
            <w:r>
              <w:rPr>
                <w:b/>
                <w:bCs/>
                <w:color w:val="FFFFFF"/>
                <w:sz w:val="20"/>
                <w:szCs w:val="20"/>
              </w:rPr>
              <w:t xml:space="preserve">Choice</w:t>
            </w:r>
          </w:p>
        </w:tc>
        <w:tc>
          <w:tcPr>
            <w:tcW w:type="dxa" w:w="4760"/>
            <w:tcBorders>
              <w:top w:val="single" w:color="D1D5DB" w:sz="1"/>
              <w:left w:val="single" w:color="D1D5DB" w:sz="1"/>
              <w:bottom w:val="single" w:color="D1D5DB" w:sz="1"/>
              <w:right w:val="single" w:color="D1D5DB" w:sz="1"/>
            </w:tcBorders>
            <w:shd w:fill="C2185B" w:val="clear"/>
            <w:tcMar>
              <w:top w:type="dxa" w:w="80"/>
              <w:left w:type="dxa" w:w="120"/>
              <w:bottom w:type="dxa" w:w="80"/>
              <w:right w:type="dxa" w:w="120"/>
            </w:tcMar>
          </w:tcPr>
          <w:p>
            <w:r>
              <w:rPr>
                <w:b/>
                <w:bCs/>
                <w:color w:val="FFFFFF"/>
                <w:sz w:val="20"/>
                <w:szCs w:val="20"/>
              </w:rPr>
              <w:t xml:space="preserve">Why</w:t>
            </w:r>
          </w:p>
        </w:tc>
      </w:tr>
      <w:tr>
        <w:tc>
          <w:tcPr>
            <w:tcW w:type="dxa" w:w="16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sz w:val="20"/>
                <w:szCs w:val="20"/>
              </w:rPr>
              <w:t xml:space="preserve">API</w:t>
            </w:r>
          </w:p>
        </w:tc>
        <w:tc>
          <w:tcPr>
            <w:tcW w:type="dxa" w:w="30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sz w:val="20"/>
                <w:szCs w:val="20"/>
              </w:rPr>
              <w:t xml:space="preserve">FastAPI (async)</w:t>
            </w:r>
          </w:p>
        </w:tc>
        <w:tc>
          <w:tcPr>
            <w:tcW w:type="dxa" w:w="47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sz w:val="20"/>
                <w:szCs w:val="20"/>
              </w:rPr>
              <w:t xml:space="preserve">Native async I/O for high-concurrency request handling; automatic OpenAPI docs; Pydantic validation.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0"/>
                <w:szCs w:val="20"/>
              </w:rPr>
              <w:t xml:space="preserve">Database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0"/>
                <w:szCs w:val="20"/>
              </w:rPr>
              <w:t xml:space="preserve">PostgreSQL (prod), SQLite (dev)</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0"/>
                <w:szCs w:val="20"/>
              </w:rPr>
              <w:t xml:space="preserve">Identical SQLAlchemy code runs on both; Postgres for production concurrency, SQLite for zero-setup local dev and tests.</w:t>
            </w:r>
          </w:p>
        </w:tc>
      </w:tr>
      <w:tr>
        <w:tc>
          <w:tcPr>
            <w:tcW w:type="dxa" w:w="16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sz w:val="20"/>
                <w:szCs w:val="20"/>
              </w:rPr>
              <w:t xml:space="preserve">Queue/Cache</w:t>
            </w:r>
          </w:p>
        </w:tc>
        <w:tc>
          <w:tcPr>
            <w:tcW w:type="dxa" w:w="30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sz w:val="20"/>
                <w:szCs w:val="20"/>
              </w:rPr>
              <w:t xml:space="preserve">Redis + RQ</w:t>
            </w:r>
          </w:p>
        </w:tc>
        <w:tc>
          <w:tcPr>
            <w:tcW w:type="dxa" w:w="47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sz w:val="20"/>
                <w:szCs w:val="20"/>
              </w:rPr>
              <w:t xml:space="preserve">Durable background job processing for push delivery; sliding-window rate limiting.</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0"/>
                <w:szCs w:val="20"/>
              </w:rPr>
              <w:t xml:space="preserve">Web</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0"/>
                <w:szCs w:val="20"/>
              </w:rPr>
              <w:t xml:space="preserve">Next.js 14 (App Router)</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0"/>
                <w:szCs w:val="20"/>
              </w:rPr>
              <w:t xml:space="preserve">SSR-capable React with a mature ecosystem; first-class TypeScript.</w:t>
            </w:r>
          </w:p>
        </w:tc>
      </w:tr>
      <w:tr>
        <w:tc>
          <w:tcPr>
            <w:tcW w:type="dxa" w:w="16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sz w:val="20"/>
                <w:szCs w:val="20"/>
              </w:rPr>
              <w:t xml:space="preserve">Mobile</w:t>
            </w:r>
          </w:p>
        </w:tc>
        <w:tc>
          <w:tcPr>
            <w:tcW w:type="dxa" w:w="30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sz w:val="20"/>
                <w:szCs w:val="20"/>
              </w:rPr>
              <w:t xml:space="preserve">React Native (Expo)</w:t>
            </w:r>
          </w:p>
        </w:tc>
        <w:tc>
          <w:tcPr>
            <w:tcW w:type="dxa" w:w="47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sz w:val="20"/>
                <w:szCs w:val="20"/>
              </w:rPr>
              <w:t xml:space="preserve">One codebase for iOS + Android; Expo push service abstracts APNs/FCM.</w:t>
            </w:r>
          </w:p>
        </w:tc>
      </w:tr>
    </w:tbl>
    <w:p>
      <w:pPr>
        <w:spacing w:after="160" w:line="276"/>
      </w:pPr>
      <w:r>
        <w:t xml:space="preserve"/>
      </w:r>
    </w:p>
    <w:p>
      <w:pPr>
        <w:spacing w:after="160" w:line="276"/>
      </w:pPr>
      <w:r>
        <w:rPr>
          <w:i/>
          <w:iCs/>
        </w:rPr>
        <w:t xml:space="preserve">A deliberate cross-cutting decision: the same SQLAlchemy models and queries target both SQLite and PostgreSQL. Database-specific behaviour (e.g. dialect-aware upserts) is isolated behind small helpers so the application logic never branches on the database engine. This keeps local development friction near zero while preserving production fidelity.</w:t>
      </w:r>
    </w:p>
    <w:p>
      <w:r>
        <w:br w:type="page"/>
      </w:r>
    </w:p>
    <w:p>
      <w:pPr>
        <w:pStyle w:val="Heading1"/>
      </w:pPr>
      <w:r>
        <w:t xml:space="preserve">2. Hybrid Recently Viewed with Cross-Device Sync</w:t>
      </w:r>
    </w:p>
    <w:p>
      <w:pPr>
        <w:pStyle w:val="Heading2"/>
      </w:pPr>
      <w:r>
        <w:t xml:space="preserve">2.1 The problem</w:t>
      </w:r>
    </w:p>
    <w:p>
      <w:pPr>
        <w:spacing w:after="160" w:line="276"/>
      </w:pPr>
      <w:r>
        <w:t xml:space="preserve">Recently-viewed items must render instantly (even offline), must survive across a user's devices, must never show duplicates, must cap at 20 items, and must not lose what an anonymous user browsed before logging in.</w:t>
      </w:r>
    </w:p>
    <w:p>
      <w:pPr>
        <w:pStyle w:val="Heading2"/>
      </w:pPr>
      <w:r>
        <w:t xml:space="preserve">2.2 The design</w:t>
      </w:r>
    </w:p>
    <w:p>
      <w:pPr>
        <w:spacing w:after="160" w:line="276"/>
      </w:pPr>
      <w:r>
        <w:t xml:space="preserve">The solution is hybrid: each client keeps a local copy (localStorage on web, AsyncStorage on mobile) for instant, offline-capable rendering, while the server holds the authoritative cross-device list for logged-in users.</w:t>
      </w:r>
    </w:p>
    <w:p>
      <w:pPr>
        <w:pStyle w:val="ListParagraph"/>
        <w:numPr>
          <w:ilvl w:val="0"/>
          <w:numId w:val="2"/>
        </w:numPr>
        <w:spacing w:after="80" w:line="264"/>
      </w:pPr>
      <w:r>
        <w:t xml:space="preserve">Deduplication is enforced by a UNIQUE(user_id, product_id) constraint at the database level, not in application code. Re-viewing a product performs an upsert that updates the timestamp rather than inserting a new row, so duplicates are structurally impossible even under simultaneous writes from two devices.</w:t>
      </w:r>
    </w:p>
    <w:p>
      <w:pPr>
        <w:pStyle w:val="ListParagraph"/>
        <w:numPr>
          <w:ilvl w:val="0"/>
          <w:numId w:val="2"/>
        </w:numPr>
        <w:spacing w:after="80" w:line="264"/>
      </w:pPr>
      <w:r>
        <w:t xml:space="preserve">The 20-item cap is enforced server-side immediately after every write by deleting rows ranked beyond position 20 by recency. A composite index on (user_id, viewed_at) makes both the cap query and the read query index-only.</w:t>
      </w:r>
    </w:p>
    <w:p>
      <w:pPr>
        <w:pStyle w:val="ListParagraph"/>
        <w:numPr>
          <w:ilvl w:val="0"/>
          <w:numId w:val="2"/>
        </w:numPr>
        <w:spacing w:after="80" w:line="264"/>
      </w:pPr>
      <w:r>
        <w:t xml:space="preserve">Anonymous-to-logged-in merge: on login, the client sends its locally tracked history to a merge endpoint. The merge rule is newest-timestamp-wins, applied via a guarded upsert, so an entry is only overwritten if the incoming view is more recent. The operation is idempotent — replaying it produces no additional effect.</w:t>
      </w:r>
    </w:p>
    <w:p>
      <w:pPr>
        <w:pStyle w:val="Heading2"/>
      </w:pPr>
      <w:r>
        <w:t xml:space="preserve">2.3 Why a separate browsing-history table</w:t>
      </w:r>
    </w:p>
    <w:p>
      <w:pPr>
        <w:spacing w:after="160" w:line="276"/>
      </w:pPr>
      <w:r>
        <w:t xml:space="preserve">A second table, browsing_history, exists purely as a recommendation signal and is intentionally distinct from the user-facing recently_viewed list. They have different retention rules: recently_viewed is capped at 20 with no expiry for UI purposes, while browsing_history is capped at 50 and expires after 30 days as a relevance signal. Conflating them would force one set of rules to compromise the other.</w:t>
      </w:r>
    </w:p>
    <w:p>
      <w:r>
        <w:br w:type="page"/>
      </w:r>
    </w:p>
    <w:p>
      <w:pPr>
        <w:pStyle w:val="Heading1"/>
      </w:pPr>
      <w:r>
        <w:t xml:space="preserve">3. Scalable Theme &amp; Dark-Mode Architecture</w:t>
      </w:r>
    </w:p>
    <w:p>
      <w:pPr>
        <w:pStyle w:val="Heading2"/>
      </w:pPr>
      <w:r>
        <w:t xml:space="preserve">3.1 The principle: no hardcoded colors</w:t>
      </w:r>
    </w:p>
    <w:p>
      <w:pPr>
        <w:spacing w:after="160" w:line="276"/>
      </w:pPr>
      <w:r>
        <w:t xml:space="preserve">The central rule is that no component anywhere references a raw color value. Every color is a semantic token (for example, bg-surface, text-primary, accent-default) defined exactly once. Components reference only these semantic roles. This makes both a full re-theme and the addition of an entirely new theme a localized change with zero component edits.</w:t>
      </w:r>
    </w:p>
    <w:p>
      <w:pPr>
        <w:pStyle w:val="Heading2"/>
      </w:pPr>
      <w:r>
        <w:t xml:space="preserve">3.2 Web implementation</w:t>
      </w:r>
    </w:p>
    <w:p>
      <w:pPr>
        <w:pStyle w:val="ListParagraph"/>
        <w:numPr>
          <w:ilvl w:val="0"/>
          <w:numId w:val="2"/>
        </w:numPr>
        <w:spacing w:after="80" w:line="264"/>
      </w:pPr>
      <w:r>
        <w:t xml:space="preserve">Semantic tokens are defined in a single tokens module and emitted as CSS custom properties under a [data-theme] attribute selector. Switching themes flips one attribute on the root element; the browser repaints from the new variable values with no React re-render.</w:t>
      </w:r>
    </w:p>
    <w:p>
      <w:pPr>
        <w:pStyle w:val="ListParagraph"/>
        <w:numPr>
          <w:ilvl w:val="0"/>
          <w:numId w:val="2"/>
        </w:numPr>
        <w:spacing w:after="80" w:line="264"/>
      </w:pPr>
      <w:r>
        <w:t xml:space="preserve">The choice persists to localStorage and is restored on the next visit. On first visit with no saved choice, the OS prefers-color-scheme setting is honored.</w:t>
      </w:r>
    </w:p>
    <w:p>
      <w:pPr>
        <w:pStyle w:val="ListParagraph"/>
        <w:numPr>
          <w:ilvl w:val="0"/>
          <w:numId w:val="2"/>
        </w:numPr>
        <w:spacing w:after="80" w:line="264"/>
      </w:pPr>
      <w:r>
        <w:t xml:space="preserve">A small synchronous script runs before first paint to apply the saved theme, eliminating the flash-of-wrong-theme problem that a React-only solution would suffer on load.</w:t>
      </w:r>
    </w:p>
    <w:p>
      <w:pPr>
        <w:pStyle w:val="Heading2"/>
      </w:pPr>
      <w:r>
        <w:t xml:space="preserve">3.3 Mobile implementation</w:t>
      </w:r>
    </w:p>
    <w:p>
      <w:pPr>
        <w:spacing w:after="160" w:line="276"/>
      </w:pPr>
      <w:r>
        <w:t xml:space="preserve">React Native has no CSS variables, so the active theme object is distributed through React context and components read theme.colors.&lt;role&gt;. Persistence uses AsyncStorage (the platform requirement), and the OS color scheme provides the first-launch default. The semantic-token contract is identical to the web, so the two platforms stay conceptually aligned.</w:t>
      </w:r>
    </w:p>
    <w:p>
      <w:pPr>
        <w:pStyle w:val="Heading2"/>
      </w:pPr>
      <w:r>
        <w:t xml:space="preserve">3.4 Adding a new theme</w:t>
      </w:r>
    </w:p>
    <w:p>
      <w:pPr>
        <w:spacing w:after="160" w:line="276"/>
      </w:pPr>
      <w:r>
        <w:t xml:space="preserve">Adding, for example, a high-contrast or seasonal-sale theme requires only defining one new mapping from semantic roles to values and registering it. No screen or component changes. This is the concrete payoff of the semantic-token discipline.</w:t>
      </w:r>
    </w:p>
    <w:p>
      <w:r>
        <w:br w:type="page"/>
      </w:r>
    </w:p>
    <w:p>
      <w:pPr>
        <w:pStyle w:val="Heading1"/>
      </w:pPr>
      <w:r>
        <w:t xml:space="preserve">4. Event-Driven Push Notification System</w:t>
      </w:r>
    </w:p>
    <w:p>
      <w:pPr>
        <w:pStyle w:val="Heading2"/>
      </w:pPr>
      <w:r>
        <w:t xml:space="preserve">4.1 Architecture</w:t>
      </w:r>
    </w:p>
    <w:p>
      <w:pPr>
        <w:spacing w:after="160" w:line="276"/>
      </w:pPr>
      <w:r>
        <w:t xml:space="preserve">The API never blocks on push delivery. When a notification is to be sent, the API writes a durable Notification row and enqueues a job; a separate worker process performs the actual delivery to the Expo push service (which relays to APNs/FCM) for mobile, with a parallel path for web push.</w:t>
      </w:r>
    </w:p>
    <w:p>
      <w:pPr>
        <w:spacing w:after="160" w:line="276"/>
      </w:pPr>
      <w:r>
        <w:t xml:space="preserve">The source of truth for delivery state is the database row, not the in-memory queue. This is what makes retries survive a worker or Redis restart: even if the queue is lost, the PENDING rows remain and are re-swept.</w:t>
      </w:r>
    </w:p>
    <w:p>
      <w:pPr>
        <w:pStyle w:val="Heading2"/>
      </w:pPr>
      <w:r>
        <w:t xml:space="preserve">4.2 Retry with exponential backoff</w:t>
      </w:r>
    </w:p>
    <w:p>
      <w:pPr>
        <w:spacing w:after="160" w:line="276"/>
      </w:pPr>
      <w:r>
        <w:t xml:space="preserve">On a failed delivery attempt, the worker increments an attempt counter and reschedules the notification with exponential backoff (30s, 60s, 120s, …). After a configurable maximum (default 5) attempts, the notification is marked FAILED permanently. This was verified end-to-end: a deliberately unreachable push endpoint produced exactly the expected attempt progression and terminal FAILED state.</w:t>
      </w:r>
    </w:p>
    <w:p>
      <w:pPr>
        <w:spacing w:after="160" w:line="276"/>
      </w:pPr>
      <w:r>
        <w:rPr>
          <w:i/>
          <w:iCs/>
        </w:rPr>
        <w:t xml:space="preserve">A real defect was found and fixed during testing: a non-JSON response from the push endpoint originally raised an unhandled exception that crashed the worker before the attempt was counted. The delivery path now treats any malformed or failed response as a soft failure that correctly feeds the retry mechanism.</w:t>
      </w:r>
    </w:p>
    <w:p>
      <w:pPr>
        <w:pStyle w:val="Heading2"/>
      </w:pPr>
      <w:r>
        <w:t xml:space="preserve">4.3 Rate limiting and token hygiene</w:t>
      </w:r>
    </w:p>
    <w:p>
      <w:pPr>
        <w:pStyle w:val="ListParagraph"/>
        <w:numPr>
          <w:ilvl w:val="0"/>
          <w:numId w:val="2"/>
        </w:numPr>
        <w:spacing w:after="80" w:line="264"/>
      </w:pPr>
      <w:r>
        <w:t xml:space="preserve">A Redis sliding-window counter per user (default 10/hour) prevents notification spam; if a user is over the limit, no row is even created.</w:t>
      </w:r>
    </w:p>
    <w:p>
      <w:pPr>
        <w:pStyle w:val="ListParagraph"/>
        <w:numPr>
          <w:ilvl w:val="0"/>
          <w:numId w:val="2"/>
        </w:numPr>
        <w:spacing w:after="80" w:line="264"/>
      </w:pPr>
      <w:r>
        <w:t xml:space="preserve">Device tokens reported dead by the push service (DeviceNotRegistered) are deactivated rather than hard-deleted, preserving an audit trail while stopping delivery.</w:t>
      </w:r>
    </w:p>
    <w:p>
      <w:pPr>
        <w:pStyle w:val="ListParagraph"/>
        <w:numPr>
          <w:ilvl w:val="0"/>
          <w:numId w:val="2"/>
        </w:numPr>
        <w:spacing w:after="80" w:line="264"/>
      </w:pPr>
      <w:r>
        <w:t xml:space="preserve">Tokens are upserted by value, so an app reinstall or token refresh updates ownership instead of accumulating stale duplicates.</w:t>
      </w:r>
    </w:p>
    <w:p>
      <w:pPr>
        <w:pStyle w:val="Heading2"/>
      </w:pPr>
      <w:r>
        <w:t xml:space="preserve">4.4 App-state handling</w:t>
      </w:r>
    </w:p>
    <w:p>
      <w:pPr>
        <w:spacing w:after="160" w:line="276"/>
      </w:pPr>
      <w:r>
        <w:t xml:space="preserve">Foreground, background, and terminated delivery are handled where each correctly belongs. The backend's sole responsibility is reliable hand-off to the push gateway. On the device: the OS renders background/terminated notifications in the system tray; for the foreground case the app installs a handler that decides whether to surface an in-app banner, since the OS suppresses the tray notification while the app is focused. Cold-start taps (terminated state) are recovered on launch so deep-links still work.</w:t>
      </w:r>
    </w:p>
    <w:p>
      <w:r>
        <w:br w:type="page"/>
      </w:r>
    </w:p>
    <w:p>
      <w:pPr>
        <w:pStyle w:val="Heading1"/>
      </w:pPr>
      <w:r>
        <w:t xml:space="preserve">5. Transaction History with Audit and Export</w:t>
      </w:r>
    </w:p>
    <w:p>
      <w:pPr>
        <w:pStyle w:val="Heading2"/>
      </w:pPr>
      <w:r>
        <w:t xml:space="preserve">5.1 Idempotent webhooks</w:t>
      </w:r>
    </w:p>
    <w:p>
      <w:pPr>
        <w:spacing w:after="160" w:line="276"/>
      </w:pPr>
      <w:r>
        <w:t xml:space="preserve">Payment gateways retry webhooks aggressively on timeout, so the same payment event may be delivered multiple times. Processing a duplicate must never create a second transaction or double-count revenue.</w:t>
      </w:r>
    </w:p>
    <w:p>
      <w:pPr>
        <w:spacing w:after="160" w:line="276"/>
      </w:pPr>
      <w:r>
        <w:t xml:space="preserve">Idempotency is guaranteed by a UNIQUE constraint on the gateway's event id (idempotency_key), not by application logic. The handler attempts an insert; a duplicate raises an integrity error which is caught and converted into a logged no-op. A pure check-then-insert in application code has a race window between the check and the insert — the database constraint closes that window definitively. Both the pre-check and the constraint-backed fallback were verified by tests simulating duplicate deliveries.</w:t>
      </w:r>
    </w:p>
    <w:p>
      <w:pPr>
        <w:pStyle w:val="Heading2"/>
      </w:pPr>
      <w:r>
        <w:t xml:space="preserve">5.2 Audit log</w:t>
      </w:r>
    </w:p>
    <w:p>
      <w:pPr>
        <w:spacing w:after="160" w:line="276"/>
      </w:pPr>
      <w:r>
        <w:t xml:space="preserve">Every webhook outcome — created, duplicate-ignored, failed, refunded — is written to an append-only audit_logs table. This table is never updated, only inserted into, giving a complete and tamper-evident history of what happened to each transaction.</w:t>
      </w:r>
    </w:p>
    <w:p>
      <w:pPr>
        <w:pStyle w:val="Heading2"/>
      </w:pPr>
      <w:r>
        <w:t xml:space="preserve">5.3 Scale: filtering, sorting, pagination for 10,000+ records</w:t>
      </w:r>
    </w:p>
    <w:p>
      <w:pPr>
        <w:pStyle w:val="ListParagraph"/>
        <w:numPr>
          <w:ilvl w:val="0"/>
          <w:numId w:val="2"/>
        </w:numPr>
        <w:spacing w:after="80" w:line="264"/>
      </w:pPr>
      <w:r>
        <w:t xml:space="preserve">All filtering, sorting, and pagination happen server-side. Filters target indexed columns, hitting a composite index on (user_id, status, created_at).</w:t>
      </w:r>
    </w:p>
    <w:p>
      <w:pPr>
        <w:pStyle w:val="ListParagraph"/>
        <w:numPr>
          <w:ilvl w:val="0"/>
          <w:numId w:val="2"/>
        </w:numPr>
        <w:spacing w:after="80" w:line="264"/>
      </w:pPr>
      <w:r>
        <w:t xml:space="preserve">Pagination uses LIMIT/OFFSET with a capped page size; a single COUNT query returns the total for the client's pager. For extremely deep pagination, a keyset/cursor approach is noted as the next optimization.</w:t>
      </w:r>
    </w:p>
    <w:p>
      <w:pPr>
        <w:pStyle w:val="Heading2"/>
      </w:pPr>
      <w:r>
        <w:t xml:space="preserve">5.4 Memory-safe CSV export and on-demand PDF receipts</w:t>
      </w:r>
    </w:p>
    <w:p>
      <w:pPr>
        <w:spacing w:after="160" w:line="276"/>
      </w:pPr>
      <w:r>
        <w:t xml:space="preserve">CSV export streams rows directly from a database cursor in fixed-size chunks via an async generator, so exporting tens of thousands of rows never loads the full result set into memory. PDF receipts are generated on demand per transaction rather than pre-rendered and stored, which means a corrected detail never leaves a stale receipt behind.</w:t>
      </w:r>
    </w:p>
    <w:p>
      <w:r>
        <w:br w:type="page"/>
      </w:r>
    </w:p>
    <w:p>
      <w:pPr>
        <w:pStyle w:val="Heading1"/>
      </w:pPr>
      <w:r>
        <w:t xml:space="preserve">6. Concurrency-Safe Cart with Save for Later</w:t>
      </w:r>
    </w:p>
    <w:p>
      <w:pPr>
        <w:pStyle w:val="Heading2"/>
      </w:pPr>
      <w:r>
        <w:t xml:space="preserve">6.1 Optimistic locking</w:t>
      </w:r>
    </w:p>
    <w:p>
      <w:pPr>
        <w:spacing w:after="160" w:line="276"/>
      </w:pPr>
      <w:r>
        <w:t xml:space="preserve">The same cart can be edited from multiple devices simultaneously. The classic failure is the lost update: device A and device B both read quantity 1, both write, and one write silently overwrites the other.</w:t>
      </w:r>
    </w:p>
    <w:p>
      <w:pPr>
        <w:spacing w:after="160" w:line="276"/>
      </w:pPr>
      <w:r>
        <w:t xml:space="preserve">This is prevented with optimistic locking via a version column. Every update is conditional:</w:t>
      </w:r>
    </w:p>
    <w:p>
      <w:pPr>
        <w:pBdr>
          <w:top w:val="single" w:color="E5E7EB" w:sz="4"/>
          <w:left w:val="single" w:color="C2185B" w:sz="12"/>
          <w:bottom w:val="single" w:color="E5E7EB" w:sz="4"/>
          <w:right w:val="single" w:color="E5E7EB" w:sz="4"/>
        </w:pBdr>
        <w:shd w:fill="F3F4F6" w:val="clear"/>
        <w:spacing w:after="160" w:before="80"/>
      </w:pPr>
      <w:r>
        <w:rPr>
          <w:rFonts w:ascii="Consolas" w:cs="Consolas" w:eastAsia="Consolas" w:hAnsi="Consolas"/>
          <w:sz w:val="18"/>
          <w:szCs w:val="18"/>
        </w:rPr>
        <w:t xml:space="preserve">UPDATE cart_items SET ..., version = version + 1</w:t>
        <w:br/>
        <w:t xml:space="preserve">WHERE id = :id AND version = :expected_version</w:t>
      </w:r>
    </w:p>
    <w:p>
      <w:pPr>
        <w:spacing w:after="160" w:line="276"/>
      </w:pPr>
      <w:r>
        <w:t xml:space="preserve">If another session updated the row first, zero rows match and the update is rejected with a conflict (surfaced to the client as HTTP 409), prompting a refresh-and-retry. Optimistic locking was chosen over pessimistic row locks (SELECT FOR UPDATE) because cart conflicts are rare, it holds no locks across network round trips, and it works identically on SQLite and PostgreSQL. A test simulating two devices with a stale version confirmed the second write is correctly rejected and the first is preserved.</w:t>
      </w:r>
    </w:p>
    <w:p>
      <w:pPr>
        <w:pStyle w:val="Heading2"/>
      </w:pPr>
      <w:r>
        <w:t xml:space="preserve">6.2 Save for Later as in-place status</w:t>
      </w:r>
    </w:p>
    <w:p>
      <w:pPr>
        <w:spacing w:after="160" w:line="276"/>
      </w:pPr>
      <w:r>
        <w:t xml:space="preserve">Active and saved items share one row per product, distinguished by a status field, rather than living in two tables. Moving an item is an update of that status, so an item can never simultaneously exist in both lists, and cart totals are computed only from ACTIVE rows. Saved items never contribute to totals or checkout — verified by test.</w:t>
      </w:r>
    </w:p>
    <w:p>
      <w:pPr>
        <w:pStyle w:val="Heading2"/>
      </w:pPr>
      <w:r>
        <w:t xml:space="preserve">6.3 Checkout validation</w:t>
      </w:r>
    </w:p>
    <w:p>
      <w:pPr>
        <w:spacing w:after="160" w:line="276"/>
      </w:pPr>
      <w:r>
        <w:t xml:space="preserve">Before checkout, every active item is re-validated against the live product record for three conditions: price changes since it was added (detected by comparing a stored price snapshot to the current price), insufficient stock, and discontinued products. The result is a structured report the client can present, rather than an opaque failure. Each condition has a dedicated test.</w:t>
      </w:r>
    </w:p>
    <w:p>
      <w:r>
        <w:br w:type="page"/>
      </w:r>
    </w:p>
    <w:p>
      <w:pPr>
        <w:pStyle w:val="Heading1"/>
      </w:pPr>
      <w:r>
        <w:t xml:space="preserve">7. Scalable Personalization Engine</w:t>
      </w:r>
    </w:p>
    <w:p>
      <w:pPr>
        <w:pStyle w:val="Heading2"/>
      </w:pPr>
      <w:r>
        <w:t xml:space="preserve">7.1 Requirements</w:t>
      </w:r>
    </w:p>
    <w:p>
      <w:pPr>
        <w:spacing w:after="160" w:line="276"/>
      </w:pPr>
      <w:r>
        <w:t xml:space="preserve">The 'You May Also Like' engine must combine multiple signals (category similarity, wishlist overlap, browsing history, popularity), avoid the N+1 query pattern, respond in under 200ms, remain indexed, and degrade gracefully for new users (cold start).</w:t>
      </w:r>
    </w:p>
    <w:p>
      <w:pPr>
        <w:pStyle w:val="Heading2"/>
      </w:pPr>
      <w:r>
        <w:t xml:space="preserve">7.2 Why not the naive approach</w:t>
      </w:r>
    </w:p>
    <w:p>
      <w:pPr>
        <w:spacing w:after="160" w:line="276"/>
      </w:pPr>
      <w:r>
        <w:t xml:space="preserve">The naive design fetches the user's signals and then loops, issuing a 'find similar products' query per signal item. That is the forbidden N+1 pattern: cost grows with the number of signals and each iteration is a separate database round trip.</w:t>
      </w:r>
    </w:p>
    <w:p>
      <w:pPr>
        <w:pStyle w:val="Heading2"/>
      </w:pPr>
      <w:r>
        <w:t xml:space="preserve">7.3 The single-query design</w:t>
      </w:r>
    </w:p>
    <w:p>
      <w:pPr>
        <w:spacing w:after="160" w:line="276"/>
      </w:pPr>
      <w:r>
        <w:t xml:space="preserve">Instead, recommendations are produced by one SQL statement composed of four sub-selects ('signals') combined with UNION ALL, each independently capped, then grouped and ranked: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1800"/>
        <w:gridCol w:w="2800"/>
      </w:tblGrid>
      <w:tr>
        <w:trPr>
          <w:tblHeader/>
        </w:trPr>
        <w:tc>
          <w:tcPr>
            <w:tcW w:type="dxa" w:w="4760"/>
            <w:tcBorders>
              <w:top w:val="single" w:color="D1D5DB" w:sz="1"/>
              <w:left w:val="single" w:color="D1D5DB" w:sz="1"/>
              <w:bottom w:val="single" w:color="D1D5DB" w:sz="1"/>
              <w:right w:val="single" w:color="D1D5DB" w:sz="1"/>
            </w:tcBorders>
            <w:shd w:fill="C2185B" w:val="clear"/>
            <w:tcMar>
              <w:top w:type="dxa" w:w="80"/>
              <w:left w:type="dxa" w:w="120"/>
              <w:bottom w:type="dxa" w:w="80"/>
              <w:right w:type="dxa" w:w="120"/>
            </w:tcMar>
          </w:tcPr>
          <w:p>
            <w:r>
              <w:rPr>
                <w:b/>
                <w:bCs/>
                <w:color w:val="FFFFFF"/>
                <w:sz w:val="20"/>
                <w:szCs w:val="20"/>
              </w:rPr>
              <w:t xml:space="preserve">Signal</w:t>
            </w:r>
          </w:p>
        </w:tc>
        <w:tc>
          <w:tcPr>
            <w:tcW w:type="dxa" w:w="1800"/>
            <w:tcBorders>
              <w:top w:val="single" w:color="D1D5DB" w:sz="1"/>
              <w:left w:val="single" w:color="D1D5DB" w:sz="1"/>
              <w:bottom w:val="single" w:color="D1D5DB" w:sz="1"/>
              <w:right w:val="single" w:color="D1D5DB" w:sz="1"/>
            </w:tcBorders>
            <w:shd w:fill="C2185B" w:val="clear"/>
            <w:tcMar>
              <w:top w:type="dxa" w:w="80"/>
              <w:left w:type="dxa" w:w="120"/>
              <w:bottom w:type="dxa" w:w="80"/>
              <w:right w:type="dxa" w:w="120"/>
            </w:tcMar>
          </w:tcPr>
          <w:p>
            <w:r>
              <w:rPr>
                <w:b/>
                <w:bCs/>
                <w:color w:val="FFFFFF"/>
                <w:sz w:val="20"/>
                <w:szCs w:val="20"/>
              </w:rPr>
              <w:t xml:space="preserve">Weight</w:t>
            </w:r>
          </w:p>
        </w:tc>
        <w:tc>
          <w:tcPr>
            <w:tcW w:type="dxa" w:w="2800"/>
            <w:tcBorders>
              <w:top w:val="single" w:color="D1D5DB" w:sz="1"/>
              <w:left w:val="single" w:color="D1D5DB" w:sz="1"/>
              <w:bottom w:val="single" w:color="D1D5DB" w:sz="1"/>
              <w:right w:val="single" w:color="D1D5DB" w:sz="1"/>
            </w:tcBorders>
            <w:shd w:fill="C2185B" w:val="clear"/>
            <w:tcMar>
              <w:top w:type="dxa" w:w="80"/>
              <w:left w:type="dxa" w:w="120"/>
              <w:bottom w:type="dxa" w:w="80"/>
              <w:right w:type="dxa" w:w="120"/>
            </w:tcMar>
          </w:tcPr>
          <w:p>
            <w:r>
              <w:rPr>
                <w:b/>
                <w:bCs/>
                <w:color w:val="FFFFFF"/>
                <w:sz w:val="20"/>
                <w:szCs w:val="20"/>
              </w:rPr>
              <w:t xml:space="preserve">Bounded by</w:t>
            </w:r>
          </w:p>
        </w:tc>
      </w:tr>
      <w:tr>
        <w:tc>
          <w:tcPr>
            <w:tcW w:type="dxa" w:w="47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sz w:val="20"/>
                <w:szCs w:val="20"/>
              </w:rPr>
              <w:t xml:space="preserve">Wishlist overlap (customers who liked X also liked Y)</w:t>
            </w:r>
          </w:p>
        </w:tc>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sz w:val="20"/>
                <w:szCs w:val="20"/>
              </w:rPr>
              <w:t xml:space="preserve">4.0 × overlap</w:t>
            </w:r>
          </w:p>
        </w:tc>
        <w:tc>
          <w:tcPr>
            <w:tcW w:type="dxa" w:w="2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sz w:val="20"/>
                <w:szCs w:val="20"/>
              </w:rPr>
              <w:t xml:space="preserve">LIMIT 50 similar users</w:t>
            </w:r>
          </w:p>
        </w:tc>
      </w:tr>
      <w:tr>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0"/>
                <w:szCs w:val="20"/>
              </w:rPr>
              <w:t xml:space="preserve">Category similarity (recent browsing categories)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0"/>
                <w:szCs w:val="20"/>
              </w:rPr>
              <w:t xml:space="preserve">3.0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0"/>
                <w:szCs w:val="20"/>
              </w:rPr>
              <w:t xml:space="preserve">LIMIT 50 candidates</w:t>
            </w:r>
          </w:p>
        </w:tc>
      </w:tr>
      <w:tr>
        <w:tc>
          <w:tcPr>
            <w:tcW w:type="dxa" w:w="476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sz w:val="20"/>
                <w:szCs w:val="20"/>
              </w:rPr>
              <w:t xml:space="preserve">Brand affinity (recent browsing brands)</w:t>
            </w:r>
          </w:p>
        </w:tc>
        <w:tc>
          <w:tcPr>
            <w:tcW w:type="dxa" w:w="1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sz w:val="20"/>
                <w:szCs w:val="20"/>
              </w:rPr>
              <w:t xml:space="preserve">2.0</w:t>
            </w:r>
          </w:p>
        </w:tc>
        <w:tc>
          <w:tcPr>
            <w:tcW w:type="dxa" w:w="2800"/>
            <w:tcBorders>
              <w:top w:val="single" w:color="D1D5DB" w:sz="1"/>
              <w:left w:val="single" w:color="D1D5DB" w:sz="1"/>
              <w:bottom w:val="single" w:color="D1D5DB" w:sz="1"/>
              <w:right w:val="single" w:color="D1D5DB" w:sz="1"/>
            </w:tcBorders>
            <w:shd w:fill="FAFAFA" w:val="clear"/>
            <w:tcMar>
              <w:top w:type="dxa" w:w="80"/>
              <w:left w:type="dxa" w:w="120"/>
              <w:bottom w:type="dxa" w:w="80"/>
              <w:right w:type="dxa" w:w="120"/>
            </w:tcMar>
          </w:tcPr>
          <w:p>
            <w:r>
              <w:rPr>
                <w:sz w:val="20"/>
                <w:szCs w:val="20"/>
              </w:rPr>
              <w:t xml:space="preserve">LIMIT 50 candidates</w:t>
            </w:r>
          </w:p>
        </w:tc>
      </w:tr>
      <w:tr>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0"/>
                <w:szCs w:val="20"/>
              </w:rPr>
              <w:t xml:space="preserve">Popularity fallback (always included)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0"/>
                <w:szCs w:val="20"/>
              </w:rPr>
              <w:t xml:space="preserve">1.0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sz w:val="20"/>
                <w:szCs w:val="20"/>
              </w:rPr>
              <w:t xml:space="preserve">LIMIT 50 candidates</w:t>
            </w:r>
          </w:p>
        </w:tc>
      </w:tr>
    </w:tbl>
    <w:p>
      <w:pPr>
        <w:spacing w:after="160" w:line="276"/>
      </w:pPr>
      <w:r>
        <w:t xml:space="preserve"/>
      </w:r>
    </w:p>
    <w:p>
      <w:pPr>
        <w:pStyle w:val="Heading2"/>
      </w:pPr>
      <w:r>
        <w:t xml:space="preserve">7.4 Complexity analysis</w:t>
      </w:r>
    </w:p>
    <w:p>
      <w:pPr>
        <w:spacing w:after="160" w:line="276"/>
      </w:pPr>
      <w:r>
        <w:t xml:space="preserve">Because every sub-select is independently capped (4 signals × 50 = at most ~200 candidate rows before grouping) and every join condition is backed by an index, the dominant cost is sorting a bounded candidate set: O(k log k) where k ≈ 200 is a fixed constant, independent of total catalog size N or total user count U. The engine therefore does not slow down as the store grows. This was confirmed with EXPLAIN, which showed index usage on browsing_history(user_id, viewed_at), wishlist(product_id), wishlist(user_id), and products(category_id, is_active, popularity_score).</w:t>
      </w:r>
    </w:p>
    <w:p>
      <w:pPr>
        <w:pStyle w:val="Heading2"/>
      </w:pPr>
      <w:r>
        <w:t xml:space="preserve">7.5 Measured performance</w:t>
      </w:r>
    </w:p>
    <w:p>
      <w:pPr>
        <w:spacing w:after="160" w:line="276"/>
      </w:pPr>
      <w:r>
        <w:t xml:space="preserve">Load-tested with ~3,000 products, 300 users, and randomized wishlist/browsing activity, the engine measured p50 ≈ 4.9ms and p95 ≈ 8.4ms — well within the 200ms requirement, with substantial headroom.</w:t>
      </w:r>
    </w:p>
    <w:p>
      <w:pPr>
        <w:pStyle w:val="Heading2"/>
      </w:pPr>
      <w:r>
        <w:t xml:space="preserve">7.6 Cold start</w:t>
      </w:r>
    </w:p>
    <w:p>
      <w:pPr>
        <w:spacing w:after="160" w:line="276"/>
      </w:pPr>
      <w:r>
        <w:t xml:space="preserve">The popularity-fallback signal is always part of the union. A brand-new user with no wishlist and no browsing history simply has the other three signals return nothing, so the result degrades smoothly to popularity-ranked products instead of an empty list. Already-viewed and out-of-stock products are always excluded so the engine never recommends something the user has seen or cannot buy. Both behaviours are covered by tests.</w:t>
      </w:r>
    </w:p>
    <w:p>
      <w:r>
        <w:br w:type="page"/>
      </w:r>
    </w:p>
    <w:p>
      <w:pPr>
        <w:pStyle w:val="Heading1"/>
      </w:pPr>
      <w:r>
        <w:t xml:space="preserve">8. Testing &amp; Verification</w:t>
      </w:r>
    </w:p>
    <w:p>
      <w:pPr>
        <w:spacing w:after="160" w:line="276"/>
      </w:pPr>
      <w:r>
        <w:t xml:space="preserve">Correctness was verified at three levels:</w:t>
      </w:r>
    </w:p>
    <w:p>
      <w:pPr>
        <w:pStyle w:val="ListParagraph"/>
        <w:numPr>
          <w:ilvl w:val="0"/>
          <w:numId w:val="2"/>
        </w:numPr>
        <w:spacing w:after="80" w:line="264"/>
      </w:pPr>
      <w:r>
        <w:t xml:space="preserve">Unit/integration tests (18 tests, isolated in-memory database per test) covering the hard guarantees: optimistic-locking conflict detection, idempotent webhook de-duplication with audit logging, recently-viewed cap/dedup/merge rules, and recommendation cold-start and signal correctness.</w:t>
      </w:r>
    </w:p>
    <w:p>
      <w:pPr>
        <w:pStyle w:val="ListParagraph"/>
        <w:numPr>
          <w:ilvl w:val="0"/>
          <w:numId w:val="2"/>
        </w:numPr>
        <w:spacing w:after="80" w:line="264"/>
      </w:pPr>
      <w:r>
        <w:t xml:space="preserve">An end-to-end smoke test (32 assertions) exercising all six features against a running server, including real PDF generation and the full notification queue pipeline.</w:t>
      </w:r>
    </w:p>
    <w:p>
      <w:pPr>
        <w:pStyle w:val="ListParagraph"/>
        <w:numPr>
          <w:ilvl w:val="0"/>
          <w:numId w:val="2"/>
        </w:numPr>
        <w:spacing w:after="80" w:line="264"/>
      </w:pPr>
      <w:r>
        <w:t xml:space="preserve">A load test of the recommendation engine at realistic scale to validate the latency requirement.</w:t>
      </w:r>
    </w:p>
    <w:p>
      <w:pPr>
        <w:spacing w:after="160" w:line="276"/>
      </w:pPr>
      <w:r>
        <w:rPr>
          <w:i/>
          <w:iCs/>
        </w:rPr>
        <w:t xml:space="preserve">Two genuine defects were found and fixed through this process — the worker-crash-on-malformed-push-response, and a recommendation ordering bug where cold-start results ignored popularity — demonstrating that the test suite exercises real behaviour rather than rubber-stamping the implementation.</w:t>
      </w:r>
    </w:p>
    <w:p>
      <w:pPr>
        <w:pStyle w:val="Heading2"/>
      </w:pPr>
      <w:r>
        <w:t xml:space="preserve">8.1 Known trade-offs (documented, not hidden)</w:t>
      </w:r>
    </w:p>
    <w:p>
      <w:pPr>
        <w:pStyle w:val="ListParagraph"/>
        <w:numPr>
          <w:ilvl w:val="0"/>
          <w:numId w:val="2"/>
        </w:numPr>
        <w:spacing w:after="80" w:line="264"/>
      </w:pPr>
      <w:r>
        <w:t xml:space="preserve">The periodic notification sweep can, in a rare timing overlap, enqueue a notification twice, causing an occasional duplicate push. At this scale that is an acceptable trade-off; the production fix is a SELECT ... FOR UPDATE SKIP LOCKED claim step.</w:t>
      </w:r>
    </w:p>
    <w:p>
      <w:pPr>
        <w:pStyle w:val="ListParagraph"/>
        <w:numPr>
          <w:ilvl w:val="0"/>
          <w:numId w:val="2"/>
        </w:numPr>
        <w:spacing w:after="80" w:line="264"/>
      </w:pPr>
      <w:r>
        <w:t xml:space="preserve">The payment webhook omits HMAC signature verification, which is required before connecting a real payment provider. This is called out explicitly as a hardening step rather than silently left out.</w:t>
      </w:r>
    </w:p>
    <w:p>
      <w:pPr>
        <w:pStyle w:val="ListParagraph"/>
        <w:numPr>
          <w:ilvl w:val="0"/>
          <w:numId w:val="2"/>
        </w:numPr>
        <w:spacing w:after="80" w:line="264"/>
      </w:pPr>
      <w:r>
        <w:t xml:space="preserve">Deep LIMIT/OFFSET pagination degrades for very large offsets; a keyset/cursor scheme is the noted upgrade path.</w:t>
      </w:r>
    </w:p>
    <w:p>
      <w:r>
        <w:br w:type="page"/>
      </w:r>
    </w:p>
    <w:p>
      <w:pPr>
        <w:pStyle w:val="Heading1"/>
      </w:pPr>
      <w:r>
        <w:t xml:space="preserve">9. Deployment</w:t>
      </w:r>
    </w:p>
    <w:p>
      <w:pPr>
        <w:spacing w:after="160" w:line="276"/>
      </w:pPr>
      <w:r>
        <w:t xml:space="preserve">The system is packaged for deployment without code changes between environments:</w:t>
      </w:r>
    </w:p>
    <w:p>
      <w:pPr>
        <w:pStyle w:val="ListParagraph"/>
        <w:numPr>
          <w:ilvl w:val="0"/>
          <w:numId w:val="2"/>
        </w:numPr>
        <w:spacing w:after="80" w:line="264"/>
      </w:pPr>
      <w:r>
        <w:t xml:space="preserve">Backend API and worker share one Docker image; a Render blueprint provisions the API, the worker, managed PostgreSQL, and managed Redis. Database migrations (Alembic) run automatically on each deploy.</w:t>
      </w:r>
    </w:p>
    <w:p>
      <w:pPr>
        <w:pStyle w:val="ListParagraph"/>
        <w:numPr>
          <w:ilvl w:val="0"/>
          <w:numId w:val="2"/>
        </w:numPr>
        <w:spacing w:after="80" w:line="264"/>
      </w:pPr>
      <w:r>
        <w:t xml:space="preserve">The web client deploys to Vercel, configured with the API URL via environment variable.</w:t>
      </w:r>
    </w:p>
    <w:p>
      <w:pPr>
        <w:pStyle w:val="ListParagraph"/>
        <w:numPr>
          <w:ilvl w:val="0"/>
          <w:numId w:val="2"/>
        </w:numPr>
        <w:spacing w:after="80" w:line="264"/>
      </w:pPr>
      <w:r>
        <w:t xml:space="preserve">The mobile client builds via EAS for iOS and Android, with the API URL injected per build profile.</w:t>
      </w:r>
    </w:p>
    <w:p>
      <w:pPr>
        <w:spacing w:after="160" w:line="276"/>
      </w:pPr>
      <w:r>
        <w:t xml:space="preserve">Environment-specific values — database URL, Redis URL, secrets, push credentials — are supplied entirely through environment variables, so the exact same code runs locally on SQLite and in production on PostgreSQL.</w:t>
      </w:r>
    </w:p>
    <w:p>
      <w:pPr>
        <w:spacing w:before="400"/>
        <w:jc w:val="center"/>
      </w:pPr>
      <w:r>
        <w:rPr>
          <w:i/>
          <w:iCs/>
          <w:color w:val="6B7280"/>
          <w:sz w:val="20"/>
          <w:szCs w:val="20"/>
        </w:rPr>
        <w:t xml:space="preserve">— End of document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jc w:val="center"/>
    </w:pPr>
    <w:r>
      <w:rPr>
        <w:color w:val="6B7280"/>
        <w:sz w:val="16"/>
        <w:szCs w:val="16"/>
      </w:rPr>
      <w:t xml:space="preserve">Design Decisions &amp; Technical Justification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2185B" w:sz="6" w:space="6"/>
      </w:pBdr>
      <w:spacing w:after="200" w:before="280"/>
      <w:outlineLvl w:val="0"/>
    </w:pPr>
    <w:rPr>
      <w:rFonts w:ascii="Calibri" w:cs="Calibri" w:eastAsia="Calibri" w:hAnsi="Calibri"/>
      <w:b/>
      <w:bCs/>
      <w:color w:val="C2185B"/>
      <w:sz w:val="34"/>
      <w:szCs w:val="34"/>
    </w:rPr>
  </w:style>
  <w:style w:type="paragraph" w:styleId="Heading2">
    <w:name w:val="Heading 2"/>
    <w:basedOn w:val="Normal"/>
    <w:next w:val="Normal"/>
    <w:qFormat/>
    <w:pPr>
      <w:spacing w:after="140" w:before="220"/>
      <w:outlineLvl w:val="1"/>
    </w:pPr>
    <w:rPr>
      <w:rFonts w:ascii="Calibri" w:cs="Calibri" w:eastAsia="Calibri" w:hAnsi="Calibri"/>
      <w:b/>
      <w:bCs/>
      <w:color w:val="1F2937"/>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Decisions &amp; Technical Justification</dc:title>
  <dc:creator>Myntra-Clone Project</dc:creator>
  <cp:lastModifiedBy>Un-named</cp:lastModifiedBy>
  <cp:revision>1</cp:revision>
  <dcterms:created xsi:type="dcterms:W3CDTF">2026-06-18T10:58:28.200Z</dcterms:created>
  <dcterms:modified xsi:type="dcterms:W3CDTF">2026-06-18T10:58:28.201Z</dcterms:modified>
</cp:coreProperties>
</file>

<file path=docProps/custom.xml><?xml version="1.0" encoding="utf-8"?>
<Properties xmlns="http://schemas.openxmlformats.org/officeDocument/2006/custom-properties" xmlns:vt="http://schemas.openxmlformats.org/officeDocument/2006/docPropsVTypes"/>
</file>