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Sales Comparison by Region – Tableau Dashboard Insights</w:t>
      </w:r>
    </w:p>
    <w:p>
      <w:pPr>
        <w:pStyle w:val="Heading2"/>
      </w:pPr>
      <w:r>
        <w:t>Overview</w:t>
      </w:r>
    </w:p>
    <w:p>
      <w:r>
        <w:t>This document summarizes key insights from the Tableau dashboard comparing sales performance across four regions: West, East, Central, and South. The analysis covers total sales, customers, orders, product category performance, and regional trends.</w:t>
      </w:r>
    </w:p>
    <w:p>
      <w:pPr>
        <w:pStyle w:val="Heading2"/>
      </w:pPr>
      <w:r>
        <w:t>Regional Sales Summary</w:t>
      </w:r>
    </w:p>
    <w:p>
      <w:r>
        <w:t>West Region: Highest overall sales ($725,458), largest customer base (686), and highest order volume (1,611). Key revenue drivers include Phones, Chairs, and Storage.</w:t>
      </w:r>
    </w:p>
    <w:p>
      <w:r>
        <w:t>East Region: Second highest sales ($678,781) with strong average order value ($238.3). Phones and Chairs contribute significantly to revenue.</w:t>
      </w:r>
    </w:p>
    <w:p>
      <w:r>
        <w:t>Central Region: Moderate performance with $501,240 in sales and 1,175 orders. Strong categories include Chairs and Machines.</w:t>
      </w:r>
    </w:p>
    <w:p>
      <w:r>
        <w:t>South Region: Lowest overall sales ($391,722) but highest average sales per order ($241.8). This suggests fewer but higher-value purchases.</w:t>
      </w:r>
    </w:p>
    <w:p>
      <w:pPr>
        <w:pStyle w:val="Heading2"/>
      </w:pPr>
      <w:r>
        <w:t>Key Insights</w:t>
      </w:r>
    </w:p>
    <w:p>
      <w:r>
        <w:t>1. West region is the primary revenue driver for the business.</w:t>
      </w:r>
    </w:p>
    <w:p>
      <w:r>
        <w:t>2. East region shows strong high-ticket purchases and competitive performance.</w:t>
      </w:r>
    </w:p>
    <w:p>
      <w:r>
        <w:t>3. Central region has stable but mid-level sales performance.</w:t>
      </w:r>
    </w:p>
    <w:p>
      <w:r>
        <w:t>4. South region has growth potential due to high average order value but low customer count.</w:t>
      </w:r>
    </w:p>
    <w:p>
      <w:r>
        <w:t>5. Phones, Chairs, Storage, and Machines are the top-performing product categories across regions.</w:t>
      </w:r>
    </w:p>
    <w:p>
      <w:r>
        <w:t>6. Fasteners, Labels, Envelopes, and Art generate minimal revenue across regions.</w:t>
      </w:r>
    </w:p>
    <w:p>
      <w:pPr>
        <w:pStyle w:val="Heading2"/>
      </w:pPr>
      <w:r>
        <w:t>Strategic Recommendations</w:t>
      </w:r>
    </w:p>
    <w:p>
      <w:r>
        <w:t>Increase marketing and customer acquisition in the South region to leverage high order values.</w:t>
      </w:r>
    </w:p>
    <w:p>
      <w:r>
        <w:t>Prioritize inventory and promotions for top-performing products like Phones and Chairs.</w:t>
      </w:r>
    </w:p>
    <w:p>
      <w:r>
        <w:t>Consider bundling or promotional strategies for low-performing product categories.</w:t>
      </w:r>
    </w:p>
    <w:p>
      <w:r>
        <w:t>Expand sales initiatives in Central region to boost market penetration.</w:t>
      </w:r>
    </w:p>
    <w:p>
      <w:pPr>
        <w:pStyle w:val="Heading2"/>
      </w:pPr>
      <w:r>
        <w:t>Dashboard Screenshots</w:t>
      </w:r>
    </w:p>
    <w:p>
      <w:r>
        <w:drawing>
          <wp:inline xmlns:a="http://schemas.openxmlformats.org/drawingml/2006/main" xmlns:pic="http://schemas.openxmlformats.org/drawingml/2006/picture">
            <wp:extent cx="5486400" cy="26233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3-08 12524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33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6837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3-08 12530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37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6608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3-08 12533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0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6396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3-08 12534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965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