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2435B" w14:textId="77777777" w:rsidR="001E5904" w:rsidRDefault="001E5904" w:rsidP="001E5904">
      <w:pPr>
        <w:pStyle w:val="Heading1"/>
      </w:pPr>
    </w:p>
    <w:p w14:paraId="595310AA" w14:textId="77777777" w:rsidR="000657CC" w:rsidRDefault="000657CC" w:rsidP="000657CC"/>
    <w:p w14:paraId="0CB17E89" w14:textId="77777777" w:rsidR="000657CC" w:rsidRDefault="000657CC" w:rsidP="000657CC"/>
    <w:p w14:paraId="6783689C" w14:textId="77777777" w:rsidR="000657CC" w:rsidRPr="00F244A8" w:rsidRDefault="000657CC" w:rsidP="000657CC">
      <w:pPr>
        <w:rPr>
          <w:rFonts w:ascii="Algerian" w:hAnsi="Algerian"/>
        </w:rPr>
      </w:pPr>
    </w:p>
    <w:p w14:paraId="3CC58BA3" w14:textId="77777777" w:rsidR="000657CC" w:rsidRPr="00F244A8" w:rsidRDefault="000657CC" w:rsidP="000657CC">
      <w:pPr>
        <w:pStyle w:val="Heading2"/>
        <w:rPr>
          <w:rFonts w:ascii="Algerian" w:hAnsi="Algerian"/>
          <w:color w:val="548DD4" w:themeColor="text2" w:themeTint="99"/>
        </w:rPr>
      </w:pPr>
    </w:p>
    <w:p w14:paraId="443314E1" w14:textId="4ED1EF32" w:rsidR="000657CC" w:rsidRPr="00F244A8" w:rsidRDefault="000657CC" w:rsidP="000657CC">
      <w:pPr>
        <w:pStyle w:val="Heading2"/>
        <w:jc w:val="center"/>
        <w:rPr>
          <w:rFonts w:ascii="Algerian" w:hAnsi="Algerian"/>
          <w:color w:val="548DD4" w:themeColor="text2" w:themeTint="99"/>
          <w:sz w:val="72"/>
          <w:szCs w:val="72"/>
        </w:rPr>
      </w:pPr>
      <w:r w:rsidRPr="00F244A8">
        <w:rPr>
          <w:rFonts w:ascii="Algerian" w:hAnsi="Algerian"/>
          <w:color w:val="548DD4" w:themeColor="text2" w:themeTint="99"/>
          <w:sz w:val="72"/>
          <w:szCs w:val="72"/>
        </w:rPr>
        <w:t>SHOPNEST DASHBOARD COMPREHENSIVE REPORT</w:t>
      </w:r>
    </w:p>
    <w:p w14:paraId="11197B6C" w14:textId="77777777" w:rsidR="000657CC" w:rsidRDefault="000657CC" w:rsidP="000657CC"/>
    <w:p w14:paraId="43DF984D" w14:textId="77777777" w:rsidR="000657CC" w:rsidRDefault="000657CC" w:rsidP="000657CC"/>
    <w:p w14:paraId="57B409E8" w14:textId="77777777" w:rsidR="000657CC" w:rsidRPr="00F244A8" w:rsidRDefault="000657CC" w:rsidP="000657CC">
      <w:pPr>
        <w:rPr>
          <w:color w:val="548DD4" w:themeColor="text2" w:themeTint="99"/>
        </w:rPr>
      </w:pPr>
    </w:p>
    <w:p w14:paraId="0B226A51" w14:textId="77777777" w:rsidR="000657CC" w:rsidRDefault="000657CC" w:rsidP="000657CC"/>
    <w:p w14:paraId="2F843A9C" w14:textId="77777777" w:rsidR="000657CC" w:rsidRDefault="000657CC" w:rsidP="000657CC">
      <w:pPr>
        <w:jc w:val="center"/>
      </w:pPr>
      <w:r>
        <w:rPr>
          <w:rFonts w:asciiTheme="majorHAnsi" w:eastAsiaTheme="majorEastAsia" w:hAnsiTheme="majorHAnsi" w:cstheme="majorBidi"/>
          <w:b/>
          <w:bCs/>
          <w:noProof/>
          <w:color w:val="365F91" w:themeColor="accent1" w:themeShade="BF"/>
          <w:sz w:val="28"/>
          <w:szCs w:val="28"/>
        </w:rPr>
        <w:drawing>
          <wp:inline distT="0" distB="0" distL="0" distR="0" wp14:anchorId="29E35237" wp14:editId="19AE8A89">
            <wp:extent cx="2962275" cy="2266950"/>
            <wp:effectExtent l="0" t="0" r="9525" b="0"/>
            <wp:docPr id="256331157" name="Picture 3" descr="A logo with a yellow and purple triangl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31157" name="Picture 3" descr="A logo with a yellow and purple triangle and black text&#10;&#10;AI-generated content may be incorrect."/>
                    <pic:cNvPicPr/>
                  </pic:nvPicPr>
                  <pic:blipFill>
                    <a:blip r:embed="rId8"/>
                    <a:stretch>
                      <a:fillRect/>
                    </a:stretch>
                  </pic:blipFill>
                  <pic:spPr>
                    <a:xfrm>
                      <a:off x="0" y="0"/>
                      <a:ext cx="2962275" cy="2266950"/>
                    </a:xfrm>
                    <a:prstGeom prst="rect">
                      <a:avLst/>
                    </a:prstGeom>
                  </pic:spPr>
                </pic:pic>
              </a:graphicData>
            </a:graphic>
          </wp:inline>
        </w:drawing>
      </w:r>
    </w:p>
    <w:p w14:paraId="0C69452E" w14:textId="77777777" w:rsidR="000657CC" w:rsidRDefault="000657CC" w:rsidP="000657CC">
      <w:pPr>
        <w:jc w:val="center"/>
      </w:pPr>
    </w:p>
    <w:p w14:paraId="491B81F9" w14:textId="77777777" w:rsidR="000657CC" w:rsidRDefault="000657CC" w:rsidP="000657CC">
      <w:pPr>
        <w:jc w:val="center"/>
      </w:pPr>
    </w:p>
    <w:p w14:paraId="0D2345F9" w14:textId="77777777" w:rsidR="000A6A48" w:rsidRDefault="000A6A48" w:rsidP="00F244A8">
      <w:pPr>
        <w:pStyle w:val="Heading2"/>
        <w:rPr>
          <w:sz w:val="44"/>
          <w:szCs w:val="44"/>
        </w:rPr>
      </w:pPr>
    </w:p>
    <w:p w14:paraId="40025464" w14:textId="77777777" w:rsidR="000A6A48" w:rsidRDefault="000A6A48" w:rsidP="000657CC">
      <w:pPr>
        <w:pStyle w:val="Heading2"/>
        <w:jc w:val="right"/>
        <w:rPr>
          <w:sz w:val="44"/>
          <w:szCs w:val="44"/>
        </w:rPr>
      </w:pPr>
    </w:p>
    <w:p w14:paraId="6413F660" w14:textId="0AA8E4F3" w:rsidR="001E5904" w:rsidRPr="000657CC" w:rsidRDefault="00F244A8" w:rsidP="00F244A8">
      <w:pPr>
        <w:pStyle w:val="Heading2"/>
        <w:rPr>
          <w:color w:val="365F91" w:themeColor="accent1" w:themeShade="BF"/>
          <w:sz w:val="44"/>
          <w:szCs w:val="44"/>
        </w:rPr>
      </w:pPr>
      <w:r>
        <w:rPr>
          <w:sz w:val="44"/>
          <w:szCs w:val="44"/>
        </w:rPr>
        <w:t>S M SHIVAMANI</w:t>
      </w:r>
      <w:r w:rsidR="001E5904" w:rsidRPr="000657CC">
        <w:rPr>
          <w:sz w:val="44"/>
          <w:szCs w:val="44"/>
        </w:rPr>
        <w:br w:type="page"/>
      </w:r>
    </w:p>
    <w:p w14:paraId="4864E89C" w14:textId="298EBDCC" w:rsidR="001E5904" w:rsidRDefault="001E5904" w:rsidP="001E5904">
      <w:pPr>
        <w:pStyle w:val="Heading1"/>
      </w:pPr>
      <w:r>
        <w:lastRenderedPageBreak/>
        <w:tab/>
      </w:r>
      <w:r>
        <w:tab/>
      </w:r>
      <w:r>
        <w:tab/>
      </w:r>
      <w:r>
        <w:tab/>
      </w:r>
      <w:r>
        <w:tab/>
      </w:r>
      <w:r>
        <w:tab/>
      </w:r>
    </w:p>
    <w:p w14:paraId="6E039294" w14:textId="77777777" w:rsidR="001E5904" w:rsidRDefault="001E5904" w:rsidP="001E5904"/>
    <w:p w14:paraId="21F12ED3" w14:textId="77777777" w:rsidR="001E5904" w:rsidRDefault="001E5904" w:rsidP="001E5904"/>
    <w:p w14:paraId="1898E9E9" w14:textId="77777777" w:rsidR="001E5904" w:rsidRDefault="001E5904" w:rsidP="001E5904"/>
    <w:p w14:paraId="179DF12B" w14:textId="77777777" w:rsidR="001E5904" w:rsidRDefault="001E5904" w:rsidP="001E5904"/>
    <w:p w14:paraId="4151EE23" w14:textId="77777777" w:rsidR="001E5904" w:rsidRDefault="001E5904" w:rsidP="001E5904"/>
    <w:p w14:paraId="77E4540A" w14:textId="77777777" w:rsidR="001E5904" w:rsidRDefault="001E5904" w:rsidP="001E5904"/>
    <w:p w14:paraId="76613CD0" w14:textId="77777777" w:rsidR="001E5904" w:rsidRDefault="001E5904" w:rsidP="001E5904"/>
    <w:p w14:paraId="08D44506" w14:textId="77777777" w:rsidR="001E5904" w:rsidRDefault="001E5904" w:rsidP="001E5904"/>
    <w:p w14:paraId="1619CD2E" w14:textId="77777777" w:rsidR="001E5904" w:rsidRDefault="001E5904" w:rsidP="001E5904"/>
    <w:sdt>
      <w:sdtPr>
        <w:rPr>
          <w:rFonts w:ascii="Calibri" w:eastAsiaTheme="minorEastAsia" w:hAnsi="Calibri" w:cstheme="minorBidi"/>
          <w:b w:val="0"/>
          <w:bCs w:val="0"/>
          <w:color w:val="auto"/>
          <w:sz w:val="22"/>
          <w:szCs w:val="22"/>
        </w:rPr>
        <w:id w:val="-1522071083"/>
        <w:docPartObj>
          <w:docPartGallery w:val="Table of Contents"/>
          <w:docPartUnique/>
        </w:docPartObj>
      </w:sdtPr>
      <w:sdtEndPr>
        <w:rPr>
          <w:noProof/>
        </w:rPr>
      </w:sdtEndPr>
      <w:sdtContent>
        <w:p w14:paraId="6CDFB4B6" w14:textId="323FBF8D" w:rsidR="001E5904" w:rsidRDefault="001E5904">
          <w:pPr>
            <w:pStyle w:val="TOCHeading"/>
          </w:pPr>
          <w:r>
            <w:t>Contents</w:t>
          </w:r>
        </w:p>
        <w:p w14:paraId="255226F8" w14:textId="27F0B0EF" w:rsidR="001E5904" w:rsidRDefault="001E5904">
          <w:pPr>
            <w:pStyle w:val="TOC2"/>
            <w:tabs>
              <w:tab w:val="right" w:leader="dot" w:pos="9980"/>
            </w:tabs>
            <w:rPr>
              <w:rFonts w:asciiTheme="minorHAnsi" w:hAnsiTheme="minorHAnsi"/>
              <w:noProof/>
              <w:kern w:val="2"/>
              <w:sz w:val="24"/>
              <w:szCs w:val="24"/>
              <w:lang w:val="en-IN" w:eastAsia="en-IN"/>
              <w14:ligatures w14:val="standardContextual"/>
            </w:rPr>
          </w:pPr>
          <w:r>
            <w:fldChar w:fldCharType="begin"/>
          </w:r>
          <w:r>
            <w:instrText xml:space="preserve"> TOC \o "1-3" \h \z \u </w:instrText>
          </w:r>
          <w:r>
            <w:fldChar w:fldCharType="separate"/>
          </w:r>
          <w:hyperlink w:anchor="_Toc208695170" w:history="1">
            <w:r w:rsidRPr="00824CD8">
              <w:rPr>
                <w:rStyle w:val="Hyperlink"/>
                <w:noProof/>
              </w:rPr>
              <w:t>Executive Summary</w:t>
            </w:r>
            <w:r>
              <w:rPr>
                <w:noProof/>
                <w:webHidden/>
              </w:rPr>
              <w:tab/>
            </w:r>
            <w:r>
              <w:rPr>
                <w:noProof/>
                <w:webHidden/>
              </w:rPr>
              <w:fldChar w:fldCharType="begin"/>
            </w:r>
            <w:r>
              <w:rPr>
                <w:noProof/>
                <w:webHidden/>
              </w:rPr>
              <w:instrText xml:space="preserve"> PAGEREF _Toc208695170 \h </w:instrText>
            </w:r>
            <w:r>
              <w:rPr>
                <w:noProof/>
                <w:webHidden/>
              </w:rPr>
            </w:r>
            <w:r>
              <w:rPr>
                <w:noProof/>
                <w:webHidden/>
              </w:rPr>
              <w:fldChar w:fldCharType="separate"/>
            </w:r>
            <w:r>
              <w:rPr>
                <w:noProof/>
                <w:webHidden/>
              </w:rPr>
              <w:t>3</w:t>
            </w:r>
            <w:r>
              <w:rPr>
                <w:noProof/>
                <w:webHidden/>
              </w:rPr>
              <w:fldChar w:fldCharType="end"/>
            </w:r>
          </w:hyperlink>
        </w:p>
        <w:p w14:paraId="5BADD095" w14:textId="0D9F1B1F" w:rsidR="001E5904" w:rsidRDefault="001E5904">
          <w:pPr>
            <w:pStyle w:val="TOC2"/>
            <w:tabs>
              <w:tab w:val="right" w:leader="dot" w:pos="9980"/>
            </w:tabs>
            <w:rPr>
              <w:rFonts w:asciiTheme="minorHAnsi" w:hAnsiTheme="minorHAnsi"/>
              <w:noProof/>
              <w:kern w:val="2"/>
              <w:sz w:val="24"/>
              <w:szCs w:val="24"/>
              <w:lang w:val="en-IN" w:eastAsia="en-IN"/>
              <w14:ligatures w14:val="standardContextual"/>
            </w:rPr>
          </w:pPr>
          <w:hyperlink w:anchor="_Toc208695171" w:history="1">
            <w:r w:rsidRPr="00824CD8">
              <w:rPr>
                <w:rStyle w:val="Hyperlink"/>
                <w:noProof/>
              </w:rPr>
              <w:t>Methodology</w:t>
            </w:r>
            <w:r>
              <w:rPr>
                <w:noProof/>
                <w:webHidden/>
              </w:rPr>
              <w:tab/>
            </w:r>
            <w:r>
              <w:rPr>
                <w:noProof/>
                <w:webHidden/>
              </w:rPr>
              <w:fldChar w:fldCharType="begin"/>
            </w:r>
            <w:r>
              <w:rPr>
                <w:noProof/>
                <w:webHidden/>
              </w:rPr>
              <w:instrText xml:space="preserve"> PAGEREF _Toc208695171 \h </w:instrText>
            </w:r>
            <w:r>
              <w:rPr>
                <w:noProof/>
                <w:webHidden/>
              </w:rPr>
            </w:r>
            <w:r>
              <w:rPr>
                <w:noProof/>
                <w:webHidden/>
              </w:rPr>
              <w:fldChar w:fldCharType="separate"/>
            </w:r>
            <w:r>
              <w:rPr>
                <w:noProof/>
                <w:webHidden/>
              </w:rPr>
              <w:t>3</w:t>
            </w:r>
            <w:r>
              <w:rPr>
                <w:noProof/>
                <w:webHidden/>
              </w:rPr>
              <w:fldChar w:fldCharType="end"/>
            </w:r>
          </w:hyperlink>
        </w:p>
        <w:p w14:paraId="3627D1D3" w14:textId="52B1A033" w:rsidR="001E5904" w:rsidRDefault="001E5904">
          <w:pPr>
            <w:pStyle w:val="TOC2"/>
            <w:tabs>
              <w:tab w:val="right" w:leader="dot" w:pos="9980"/>
            </w:tabs>
            <w:rPr>
              <w:rFonts w:asciiTheme="minorHAnsi" w:hAnsiTheme="minorHAnsi"/>
              <w:noProof/>
              <w:kern w:val="2"/>
              <w:sz w:val="24"/>
              <w:szCs w:val="24"/>
              <w:lang w:val="en-IN" w:eastAsia="en-IN"/>
              <w14:ligatures w14:val="standardContextual"/>
            </w:rPr>
          </w:pPr>
          <w:hyperlink w:anchor="_Toc208695172" w:history="1">
            <w:r w:rsidRPr="00824CD8">
              <w:rPr>
                <w:rStyle w:val="Hyperlink"/>
                <w:noProof/>
              </w:rPr>
              <w:t>1. Top Categories by Total Price</w:t>
            </w:r>
            <w:r>
              <w:rPr>
                <w:noProof/>
                <w:webHidden/>
              </w:rPr>
              <w:tab/>
            </w:r>
            <w:r>
              <w:rPr>
                <w:noProof/>
                <w:webHidden/>
              </w:rPr>
              <w:fldChar w:fldCharType="begin"/>
            </w:r>
            <w:r>
              <w:rPr>
                <w:noProof/>
                <w:webHidden/>
              </w:rPr>
              <w:instrText xml:space="preserve"> PAGEREF _Toc208695172 \h </w:instrText>
            </w:r>
            <w:r>
              <w:rPr>
                <w:noProof/>
                <w:webHidden/>
              </w:rPr>
            </w:r>
            <w:r>
              <w:rPr>
                <w:noProof/>
                <w:webHidden/>
              </w:rPr>
              <w:fldChar w:fldCharType="separate"/>
            </w:r>
            <w:r>
              <w:rPr>
                <w:noProof/>
                <w:webHidden/>
              </w:rPr>
              <w:t>3</w:t>
            </w:r>
            <w:r>
              <w:rPr>
                <w:noProof/>
                <w:webHidden/>
              </w:rPr>
              <w:fldChar w:fldCharType="end"/>
            </w:r>
          </w:hyperlink>
        </w:p>
        <w:p w14:paraId="30A9627F" w14:textId="6F415203" w:rsidR="001E5904" w:rsidRDefault="001E5904">
          <w:pPr>
            <w:pStyle w:val="TOC2"/>
            <w:tabs>
              <w:tab w:val="right" w:leader="dot" w:pos="9980"/>
            </w:tabs>
            <w:rPr>
              <w:rFonts w:asciiTheme="minorHAnsi" w:hAnsiTheme="minorHAnsi"/>
              <w:noProof/>
              <w:kern w:val="2"/>
              <w:sz w:val="24"/>
              <w:szCs w:val="24"/>
              <w:lang w:val="en-IN" w:eastAsia="en-IN"/>
              <w14:ligatures w14:val="standardContextual"/>
            </w:rPr>
          </w:pPr>
          <w:hyperlink w:anchor="_Toc208695173" w:history="1">
            <w:r w:rsidRPr="00824CD8">
              <w:rPr>
                <w:rStyle w:val="Hyperlink"/>
                <w:noProof/>
              </w:rPr>
              <w:t>2. Delayed Orders Analysis</w:t>
            </w:r>
            <w:r>
              <w:rPr>
                <w:noProof/>
                <w:webHidden/>
              </w:rPr>
              <w:tab/>
            </w:r>
            <w:r>
              <w:rPr>
                <w:noProof/>
                <w:webHidden/>
              </w:rPr>
              <w:fldChar w:fldCharType="begin"/>
            </w:r>
            <w:r>
              <w:rPr>
                <w:noProof/>
                <w:webHidden/>
              </w:rPr>
              <w:instrText xml:space="preserve"> PAGEREF _Toc208695173 \h </w:instrText>
            </w:r>
            <w:r>
              <w:rPr>
                <w:noProof/>
                <w:webHidden/>
              </w:rPr>
            </w:r>
            <w:r>
              <w:rPr>
                <w:noProof/>
                <w:webHidden/>
              </w:rPr>
              <w:fldChar w:fldCharType="separate"/>
            </w:r>
            <w:r>
              <w:rPr>
                <w:noProof/>
                <w:webHidden/>
              </w:rPr>
              <w:t>4</w:t>
            </w:r>
            <w:r>
              <w:rPr>
                <w:noProof/>
                <w:webHidden/>
              </w:rPr>
              <w:fldChar w:fldCharType="end"/>
            </w:r>
          </w:hyperlink>
        </w:p>
        <w:p w14:paraId="6D34699E" w14:textId="2F421F08" w:rsidR="001E5904" w:rsidRDefault="001E5904">
          <w:pPr>
            <w:pStyle w:val="TOC2"/>
            <w:tabs>
              <w:tab w:val="right" w:leader="dot" w:pos="9980"/>
            </w:tabs>
            <w:rPr>
              <w:rFonts w:asciiTheme="minorHAnsi" w:hAnsiTheme="minorHAnsi"/>
              <w:noProof/>
              <w:kern w:val="2"/>
              <w:sz w:val="24"/>
              <w:szCs w:val="24"/>
              <w:lang w:val="en-IN" w:eastAsia="en-IN"/>
              <w14:ligatures w14:val="standardContextual"/>
            </w:rPr>
          </w:pPr>
          <w:hyperlink w:anchor="_Toc208695174" w:history="1">
            <w:r w:rsidRPr="00824CD8">
              <w:rPr>
                <w:rStyle w:val="Hyperlink"/>
                <w:noProof/>
              </w:rPr>
              <w:t>3. Monthly Comparison of Delayed and On-Time Orders</w:t>
            </w:r>
            <w:r>
              <w:rPr>
                <w:noProof/>
                <w:webHidden/>
              </w:rPr>
              <w:tab/>
            </w:r>
            <w:r>
              <w:rPr>
                <w:noProof/>
                <w:webHidden/>
              </w:rPr>
              <w:fldChar w:fldCharType="begin"/>
            </w:r>
            <w:r>
              <w:rPr>
                <w:noProof/>
                <w:webHidden/>
              </w:rPr>
              <w:instrText xml:space="preserve"> PAGEREF _Toc208695174 \h </w:instrText>
            </w:r>
            <w:r>
              <w:rPr>
                <w:noProof/>
                <w:webHidden/>
              </w:rPr>
            </w:r>
            <w:r>
              <w:rPr>
                <w:noProof/>
                <w:webHidden/>
              </w:rPr>
              <w:fldChar w:fldCharType="separate"/>
            </w:r>
            <w:r>
              <w:rPr>
                <w:noProof/>
                <w:webHidden/>
              </w:rPr>
              <w:t>4</w:t>
            </w:r>
            <w:r>
              <w:rPr>
                <w:noProof/>
                <w:webHidden/>
              </w:rPr>
              <w:fldChar w:fldCharType="end"/>
            </w:r>
          </w:hyperlink>
        </w:p>
        <w:p w14:paraId="0EC4B72E" w14:textId="1140CAEA" w:rsidR="001E5904" w:rsidRDefault="001E5904">
          <w:pPr>
            <w:pStyle w:val="TOC2"/>
            <w:tabs>
              <w:tab w:val="right" w:leader="dot" w:pos="9980"/>
            </w:tabs>
            <w:rPr>
              <w:rFonts w:asciiTheme="minorHAnsi" w:hAnsiTheme="minorHAnsi"/>
              <w:noProof/>
              <w:kern w:val="2"/>
              <w:sz w:val="24"/>
              <w:szCs w:val="24"/>
              <w:lang w:val="en-IN" w:eastAsia="en-IN"/>
              <w14:ligatures w14:val="standardContextual"/>
            </w:rPr>
          </w:pPr>
          <w:hyperlink w:anchor="_Toc208695175" w:history="1">
            <w:r w:rsidRPr="00824CD8">
              <w:rPr>
                <w:rStyle w:val="Hyperlink"/>
                <w:noProof/>
              </w:rPr>
              <w:t>4. Payment Method Analysis</w:t>
            </w:r>
            <w:r>
              <w:rPr>
                <w:noProof/>
                <w:webHidden/>
              </w:rPr>
              <w:tab/>
            </w:r>
            <w:r>
              <w:rPr>
                <w:noProof/>
                <w:webHidden/>
              </w:rPr>
              <w:fldChar w:fldCharType="begin"/>
            </w:r>
            <w:r>
              <w:rPr>
                <w:noProof/>
                <w:webHidden/>
              </w:rPr>
              <w:instrText xml:space="preserve"> PAGEREF _Toc208695175 \h </w:instrText>
            </w:r>
            <w:r>
              <w:rPr>
                <w:noProof/>
                <w:webHidden/>
              </w:rPr>
            </w:r>
            <w:r>
              <w:rPr>
                <w:noProof/>
                <w:webHidden/>
              </w:rPr>
              <w:fldChar w:fldCharType="separate"/>
            </w:r>
            <w:r>
              <w:rPr>
                <w:noProof/>
                <w:webHidden/>
              </w:rPr>
              <w:t>5</w:t>
            </w:r>
            <w:r>
              <w:rPr>
                <w:noProof/>
                <w:webHidden/>
              </w:rPr>
              <w:fldChar w:fldCharType="end"/>
            </w:r>
          </w:hyperlink>
        </w:p>
        <w:p w14:paraId="2BB41F07" w14:textId="2D7D6796" w:rsidR="001E5904" w:rsidRDefault="001E5904">
          <w:pPr>
            <w:pStyle w:val="TOC2"/>
            <w:tabs>
              <w:tab w:val="right" w:leader="dot" w:pos="9980"/>
            </w:tabs>
            <w:rPr>
              <w:rFonts w:asciiTheme="minorHAnsi" w:hAnsiTheme="minorHAnsi"/>
              <w:noProof/>
              <w:kern w:val="2"/>
              <w:sz w:val="24"/>
              <w:szCs w:val="24"/>
              <w:lang w:val="en-IN" w:eastAsia="en-IN"/>
              <w14:ligatures w14:val="standardContextual"/>
            </w:rPr>
          </w:pPr>
          <w:hyperlink w:anchor="_Toc208695176" w:history="1">
            <w:r w:rsidRPr="00824CD8">
              <w:rPr>
                <w:rStyle w:val="Hyperlink"/>
                <w:noProof/>
              </w:rPr>
              <w:t>5. Product Rating Analysis</w:t>
            </w:r>
            <w:r>
              <w:rPr>
                <w:noProof/>
                <w:webHidden/>
              </w:rPr>
              <w:tab/>
            </w:r>
            <w:r>
              <w:rPr>
                <w:noProof/>
                <w:webHidden/>
              </w:rPr>
              <w:fldChar w:fldCharType="begin"/>
            </w:r>
            <w:r>
              <w:rPr>
                <w:noProof/>
                <w:webHidden/>
              </w:rPr>
              <w:instrText xml:space="preserve"> PAGEREF _Toc208695176 \h </w:instrText>
            </w:r>
            <w:r>
              <w:rPr>
                <w:noProof/>
                <w:webHidden/>
              </w:rPr>
            </w:r>
            <w:r>
              <w:rPr>
                <w:noProof/>
                <w:webHidden/>
              </w:rPr>
              <w:fldChar w:fldCharType="separate"/>
            </w:r>
            <w:r>
              <w:rPr>
                <w:noProof/>
                <w:webHidden/>
              </w:rPr>
              <w:t>6</w:t>
            </w:r>
            <w:r>
              <w:rPr>
                <w:noProof/>
                <w:webHidden/>
              </w:rPr>
              <w:fldChar w:fldCharType="end"/>
            </w:r>
          </w:hyperlink>
        </w:p>
        <w:p w14:paraId="381715AD" w14:textId="580812A8" w:rsidR="001E5904" w:rsidRDefault="001E5904">
          <w:pPr>
            <w:pStyle w:val="TOC2"/>
            <w:tabs>
              <w:tab w:val="right" w:leader="dot" w:pos="9980"/>
            </w:tabs>
            <w:rPr>
              <w:rFonts w:asciiTheme="minorHAnsi" w:hAnsiTheme="minorHAnsi"/>
              <w:noProof/>
              <w:kern w:val="2"/>
              <w:sz w:val="24"/>
              <w:szCs w:val="24"/>
              <w:lang w:val="en-IN" w:eastAsia="en-IN"/>
              <w14:ligatures w14:val="standardContextual"/>
            </w:rPr>
          </w:pPr>
          <w:hyperlink w:anchor="_Toc208695177" w:history="1">
            <w:r w:rsidRPr="00824CD8">
              <w:rPr>
                <w:rStyle w:val="Hyperlink"/>
                <w:noProof/>
              </w:rPr>
              <w:t>6. State-wise Sales Analysis</w:t>
            </w:r>
            <w:r>
              <w:rPr>
                <w:noProof/>
                <w:webHidden/>
              </w:rPr>
              <w:tab/>
            </w:r>
            <w:r>
              <w:rPr>
                <w:noProof/>
                <w:webHidden/>
              </w:rPr>
              <w:fldChar w:fldCharType="begin"/>
            </w:r>
            <w:r>
              <w:rPr>
                <w:noProof/>
                <w:webHidden/>
              </w:rPr>
              <w:instrText xml:space="preserve"> PAGEREF _Toc208695177 \h </w:instrText>
            </w:r>
            <w:r>
              <w:rPr>
                <w:noProof/>
                <w:webHidden/>
              </w:rPr>
            </w:r>
            <w:r>
              <w:rPr>
                <w:noProof/>
                <w:webHidden/>
              </w:rPr>
              <w:fldChar w:fldCharType="separate"/>
            </w:r>
            <w:r>
              <w:rPr>
                <w:noProof/>
                <w:webHidden/>
              </w:rPr>
              <w:t>7</w:t>
            </w:r>
            <w:r>
              <w:rPr>
                <w:noProof/>
                <w:webHidden/>
              </w:rPr>
              <w:fldChar w:fldCharType="end"/>
            </w:r>
          </w:hyperlink>
        </w:p>
        <w:p w14:paraId="68A76849" w14:textId="21512C5B" w:rsidR="001E5904" w:rsidRDefault="001E5904">
          <w:pPr>
            <w:pStyle w:val="TOC2"/>
            <w:tabs>
              <w:tab w:val="right" w:leader="dot" w:pos="9980"/>
            </w:tabs>
            <w:rPr>
              <w:rFonts w:asciiTheme="minorHAnsi" w:hAnsiTheme="minorHAnsi"/>
              <w:noProof/>
              <w:kern w:val="2"/>
              <w:sz w:val="24"/>
              <w:szCs w:val="24"/>
              <w:lang w:val="en-IN" w:eastAsia="en-IN"/>
              <w14:ligatures w14:val="standardContextual"/>
            </w:rPr>
          </w:pPr>
          <w:hyperlink w:anchor="_Toc208695178" w:history="1">
            <w:r w:rsidRPr="00824CD8">
              <w:rPr>
                <w:rStyle w:val="Hyperlink"/>
                <w:noProof/>
              </w:rPr>
              <w:t>7. Seasonal Sales Patterns</w:t>
            </w:r>
            <w:r>
              <w:rPr>
                <w:noProof/>
                <w:webHidden/>
              </w:rPr>
              <w:tab/>
            </w:r>
            <w:r>
              <w:rPr>
                <w:noProof/>
                <w:webHidden/>
              </w:rPr>
              <w:fldChar w:fldCharType="begin"/>
            </w:r>
            <w:r>
              <w:rPr>
                <w:noProof/>
                <w:webHidden/>
              </w:rPr>
              <w:instrText xml:space="preserve"> PAGEREF _Toc208695178 \h </w:instrText>
            </w:r>
            <w:r>
              <w:rPr>
                <w:noProof/>
                <w:webHidden/>
              </w:rPr>
            </w:r>
            <w:r>
              <w:rPr>
                <w:noProof/>
                <w:webHidden/>
              </w:rPr>
              <w:fldChar w:fldCharType="separate"/>
            </w:r>
            <w:r>
              <w:rPr>
                <w:noProof/>
                <w:webHidden/>
              </w:rPr>
              <w:t>7</w:t>
            </w:r>
            <w:r>
              <w:rPr>
                <w:noProof/>
                <w:webHidden/>
              </w:rPr>
              <w:fldChar w:fldCharType="end"/>
            </w:r>
          </w:hyperlink>
        </w:p>
        <w:p w14:paraId="79589B92" w14:textId="47719AA6" w:rsidR="001E5904" w:rsidRDefault="001E5904">
          <w:pPr>
            <w:pStyle w:val="TOC2"/>
            <w:tabs>
              <w:tab w:val="right" w:leader="dot" w:pos="9980"/>
            </w:tabs>
            <w:rPr>
              <w:rFonts w:asciiTheme="minorHAnsi" w:hAnsiTheme="minorHAnsi"/>
              <w:noProof/>
              <w:kern w:val="2"/>
              <w:sz w:val="24"/>
              <w:szCs w:val="24"/>
              <w:lang w:val="en-IN" w:eastAsia="en-IN"/>
              <w14:ligatures w14:val="standardContextual"/>
            </w:rPr>
          </w:pPr>
          <w:hyperlink w:anchor="_Toc208695179" w:history="1">
            <w:r w:rsidRPr="00824CD8">
              <w:rPr>
                <w:rStyle w:val="Hyperlink"/>
                <w:noProof/>
              </w:rPr>
              <w:t>8. Revenue Analysis</w:t>
            </w:r>
            <w:r>
              <w:rPr>
                <w:noProof/>
                <w:webHidden/>
              </w:rPr>
              <w:tab/>
            </w:r>
            <w:r>
              <w:rPr>
                <w:noProof/>
                <w:webHidden/>
              </w:rPr>
              <w:fldChar w:fldCharType="begin"/>
            </w:r>
            <w:r>
              <w:rPr>
                <w:noProof/>
                <w:webHidden/>
              </w:rPr>
              <w:instrText xml:space="preserve"> PAGEREF _Toc208695179 \h </w:instrText>
            </w:r>
            <w:r>
              <w:rPr>
                <w:noProof/>
                <w:webHidden/>
              </w:rPr>
            </w:r>
            <w:r>
              <w:rPr>
                <w:noProof/>
                <w:webHidden/>
              </w:rPr>
              <w:fldChar w:fldCharType="separate"/>
            </w:r>
            <w:r>
              <w:rPr>
                <w:noProof/>
                <w:webHidden/>
              </w:rPr>
              <w:t>8</w:t>
            </w:r>
            <w:r>
              <w:rPr>
                <w:noProof/>
                <w:webHidden/>
              </w:rPr>
              <w:fldChar w:fldCharType="end"/>
            </w:r>
          </w:hyperlink>
        </w:p>
        <w:p w14:paraId="5755352F" w14:textId="6C752E10" w:rsidR="001E5904" w:rsidRDefault="001E5904">
          <w:pPr>
            <w:pStyle w:val="TOC2"/>
            <w:tabs>
              <w:tab w:val="right" w:leader="dot" w:pos="9980"/>
            </w:tabs>
            <w:rPr>
              <w:rFonts w:asciiTheme="minorHAnsi" w:hAnsiTheme="minorHAnsi"/>
              <w:noProof/>
              <w:kern w:val="2"/>
              <w:sz w:val="24"/>
              <w:szCs w:val="24"/>
              <w:lang w:val="en-IN" w:eastAsia="en-IN"/>
              <w14:ligatures w14:val="standardContextual"/>
            </w:rPr>
          </w:pPr>
          <w:hyperlink w:anchor="_Toc208695180" w:history="1">
            <w:r w:rsidRPr="00824CD8">
              <w:rPr>
                <w:rStyle w:val="Hyperlink"/>
                <w:noProof/>
              </w:rPr>
              <w:t>Appendix: Key KPIs and Metrics</w:t>
            </w:r>
            <w:r>
              <w:rPr>
                <w:noProof/>
                <w:webHidden/>
              </w:rPr>
              <w:tab/>
            </w:r>
            <w:r>
              <w:rPr>
                <w:noProof/>
                <w:webHidden/>
              </w:rPr>
              <w:fldChar w:fldCharType="begin"/>
            </w:r>
            <w:r>
              <w:rPr>
                <w:noProof/>
                <w:webHidden/>
              </w:rPr>
              <w:instrText xml:space="preserve"> PAGEREF _Toc208695180 \h </w:instrText>
            </w:r>
            <w:r>
              <w:rPr>
                <w:noProof/>
                <w:webHidden/>
              </w:rPr>
            </w:r>
            <w:r>
              <w:rPr>
                <w:noProof/>
                <w:webHidden/>
              </w:rPr>
              <w:fldChar w:fldCharType="separate"/>
            </w:r>
            <w:r>
              <w:rPr>
                <w:noProof/>
                <w:webHidden/>
              </w:rPr>
              <w:t>9</w:t>
            </w:r>
            <w:r>
              <w:rPr>
                <w:noProof/>
                <w:webHidden/>
              </w:rPr>
              <w:fldChar w:fldCharType="end"/>
            </w:r>
          </w:hyperlink>
        </w:p>
        <w:p w14:paraId="5D24A346" w14:textId="667504A3" w:rsidR="001E5904" w:rsidRDefault="001E5904">
          <w:r>
            <w:rPr>
              <w:b/>
              <w:bCs/>
              <w:noProof/>
            </w:rPr>
            <w:fldChar w:fldCharType="end"/>
          </w:r>
        </w:p>
      </w:sdtContent>
    </w:sdt>
    <w:p w14:paraId="32071F80" w14:textId="77777777" w:rsidR="001E5904" w:rsidRDefault="001E5904" w:rsidP="001E5904"/>
    <w:p w14:paraId="6019A947" w14:textId="77777777" w:rsidR="001E5904" w:rsidRDefault="001E5904" w:rsidP="001E5904"/>
    <w:p w14:paraId="6EBB54C7" w14:textId="77777777" w:rsidR="001E5904" w:rsidRDefault="001E5904" w:rsidP="001E5904"/>
    <w:p w14:paraId="3AD1477A" w14:textId="77777777" w:rsidR="001E5904" w:rsidRPr="001E5904" w:rsidRDefault="001E5904" w:rsidP="001E5904"/>
    <w:p w14:paraId="4522DBE0" w14:textId="77777777" w:rsidR="001E5904" w:rsidRDefault="001E5904">
      <w:pPr>
        <w:rPr>
          <w:rFonts w:asciiTheme="majorHAnsi" w:eastAsiaTheme="majorEastAsia" w:hAnsiTheme="majorHAnsi" w:cstheme="majorBidi"/>
          <w:b/>
          <w:bCs/>
          <w:color w:val="365F91" w:themeColor="accent1" w:themeShade="BF"/>
          <w:sz w:val="28"/>
          <w:szCs w:val="28"/>
        </w:rPr>
      </w:pPr>
      <w:r>
        <w:br w:type="page"/>
      </w:r>
    </w:p>
    <w:p w14:paraId="489BB93F" w14:textId="77777777" w:rsidR="001E5904" w:rsidRDefault="001E5904">
      <w:pPr>
        <w:pStyle w:val="Heading1"/>
        <w:jc w:val="center"/>
      </w:pPr>
    </w:p>
    <w:p w14:paraId="66EE54A0" w14:textId="77777777" w:rsidR="00BD02F7" w:rsidRDefault="00000000">
      <w:pPr>
        <w:pStyle w:val="Heading2"/>
      </w:pPr>
      <w:bookmarkStart w:id="0" w:name="_Toc208695127"/>
      <w:bookmarkStart w:id="1" w:name="_Toc208695170"/>
      <w:r>
        <w:t>Executive Summary</w:t>
      </w:r>
      <w:bookmarkEnd w:id="0"/>
      <w:bookmarkEnd w:id="1"/>
    </w:p>
    <w:p w14:paraId="60317961" w14:textId="1E86574F" w:rsidR="00BD02F7" w:rsidRDefault="00000000">
      <w:r>
        <w:t xml:space="preserve">This report summarizes key </w:t>
      </w:r>
      <w:r w:rsidR="001E5904">
        <w:t>e</w:t>
      </w:r>
      <w:r w:rsidR="009C5C36" w:rsidRPr="001E5904">
        <w:t>xplanation</w:t>
      </w:r>
      <w:r>
        <w:t xml:space="preserve"> from the </w:t>
      </w:r>
      <w:proofErr w:type="spellStart"/>
      <w:r>
        <w:t>ShopNest</w:t>
      </w:r>
      <w:proofErr w:type="spellEnd"/>
      <w:r>
        <w:t xml:space="preserve"> Power BI dashboard. It addresses the analytical questions requested: Top categories by sales, delayed orders analysis, monthly comparison of delayed vs on-time orders, payment method analysis, product rating analysis, state-wise sales analysis, seasonal sales patterns, and revenue analysis. Screenshots of the dashboard visuals are attached in the relevant sections for reference.</w:t>
      </w:r>
    </w:p>
    <w:p w14:paraId="650A76B9" w14:textId="77777777" w:rsidR="00BD02F7" w:rsidRDefault="00000000">
      <w:pPr>
        <w:pStyle w:val="Heading2"/>
      </w:pPr>
      <w:bookmarkStart w:id="2" w:name="_Toc208695128"/>
      <w:bookmarkStart w:id="3" w:name="_Toc208695171"/>
      <w:r>
        <w:t>Methodology</w:t>
      </w:r>
      <w:bookmarkEnd w:id="2"/>
      <w:bookmarkEnd w:id="3"/>
    </w:p>
    <w:p w14:paraId="5A1B20D3" w14:textId="77777777" w:rsidR="00963600" w:rsidRDefault="00000000" w:rsidP="00963600">
      <w:r>
        <w:t xml:space="preserve">Data from </w:t>
      </w:r>
      <w:proofErr w:type="spellStart"/>
      <w:r>
        <w:t>ShopNest</w:t>
      </w:r>
      <w:proofErr w:type="spellEnd"/>
      <w:r>
        <w:t xml:space="preserve"> transactional records (orders, deliveries, payments, reviews, product metadata and customer state) was prepared and visualized in Power BI. Key calculations and definitions used in analysis:</w:t>
      </w:r>
    </w:p>
    <w:p w14:paraId="0894083D" w14:textId="77777777" w:rsidR="00963600" w:rsidRDefault="00000000" w:rsidP="00963600">
      <w:pPr>
        <w:pStyle w:val="ListParagraph"/>
        <w:numPr>
          <w:ilvl w:val="0"/>
          <w:numId w:val="11"/>
        </w:numPr>
      </w:pPr>
      <w:r>
        <w:t xml:space="preserve">Total Revenue: sum of </w:t>
      </w:r>
      <w:r w:rsidR="006A5457">
        <w:t>payment value</w:t>
      </w:r>
      <w:r>
        <w:t>.</w:t>
      </w:r>
    </w:p>
    <w:p w14:paraId="5494B715" w14:textId="5E5CDC07" w:rsidR="00963600" w:rsidRDefault="00000000" w:rsidP="00963600">
      <w:pPr>
        <w:pStyle w:val="ListParagraph"/>
        <w:numPr>
          <w:ilvl w:val="0"/>
          <w:numId w:val="11"/>
        </w:numPr>
      </w:pPr>
      <w:r>
        <w:t>Delayed Order: an</w:t>
      </w:r>
      <w:r w:rsidR="00963600">
        <w:t xml:space="preserve"> order is said to be delayed </w:t>
      </w:r>
      <w:r>
        <w:t>whe</w:t>
      </w:r>
      <w:r w:rsidR="00963600">
        <w:t>n</w:t>
      </w:r>
      <w:r>
        <w:t xml:space="preserve"> </w:t>
      </w:r>
      <w:proofErr w:type="spellStart"/>
      <w:r w:rsidR="00963600" w:rsidRPr="00963600">
        <w:t>order_delivered_customer_date</w:t>
      </w:r>
      <w:proofErr w:type="spellEnd"/>
      <w:r w:rsidR="00963600">
        <w:t xml:space="preserve"> </w:t>
      </w:r>
      <w:r w:rsidR="00963600" w:rsidRPr="00963600">
        <w:rPr>
          <w:b/>
          <w:bCs/>
        </w:rPr>
        <w:t>&gt;</w:t>
      </w:r>
      <w:r w:rsidR="00963600">
        <w:t xml:space="preserve"> </w:t>
      </w:r>
      <w:proofErr w:type="spellStart"/>
      <w:r w:rsidR="00963600" w:rsidRPr="00963600">
        <w:t>order_estimated_delivery_date</w:t>
      </w:r>
      <w:proofErr w:type="spellEnd"/>
      <w:r>
        <w:t>.</w:t>
      </w:r>
    </w:p>
    <w:p w14:paraId="624252B6" w14:textId="3AD56215" w:rsidR="00963600" w:rsidRDefault="00000000" w:rsidP="00963600">
      <w:pPr>
        <w:pStyle w:val="ListParagraph"/>
        <w:numPr>
          <w:ilvl w:val="0"/>
          <w:numId w:val="11"/>
        </w:numPr>
      </w:pPr>
      <w:r>
        <w:t xml:space="preserve">On-time Order: </w:t>
      </w:r>
      <w:proofErr w:type="spellStart"/>
      <w:r w:rsidR="00963600" w:rsidRPr="00963600">
        <w:t>order_delivered_customer_date</w:t>
      </w:r>
      <w:proofErr w:type="spellEnd"/>
      <w:r w:rsidR="00963600">
        <w:t xml:space="preserve"> </w:t>
      </w:r>
      <w:r w:rsidRPr="00963600">
        <w:rPr>
          <w:b/>
          <w:bCs/>
        </w:rPr>
        <w:t>≤</w:t>
      </w:r>
      <w:r>
        <w:t xml:space="preserve"> </w:t>
      </w:r>
      <w:proofErr w:type="spellStart"/>
      <w:r w:rsidR="00963600" w:rsidRPr="00963600">
        <w:t>order_estimated_delivery_date</w:t>
      </w:r>
      <w:proofErr w:type="spellEnd"/>
      <w:r>
        <w:t>.</w:t>
      </w:r>
    </w:p>
    <w:p w14:paraId="5D79740B" w14:textId="64E4A17F" w:rsidR="00BD02F7" w:rsidRDefault="00000000" w:rsidP="00963600">
      <w:pPr>
        <w:pStyle w:val="ListParagraph"/>
        <w:numPr>
          <w:ilvl w:val="0"/>
          <w:numId w:val="11"/>
        </w:numPr>
      </w:pPr>
      <w:r>
        <w:t xml:space="preserve"> AOV (Average Order Value): Total Revenue / Total Orders.</w:t>
      </w:r>
      <w:r>
        <w:br/>
        <w:t xml:space="preserve"> Quarterly / Yearly aggregations were used to identify seasonal patterns and trends.</w:t>
      </w:r>
    </w:p>
    <w:p w14:paraId="1765A5DC" w14:textId="77777777" w:rsidR="00BD02F7" w:rsidRDefault="00000000">
      <w:pPr>
        <w:pStyle w:val="Heading2"/>
      </w:pPr>
      <w:bookmarkStart w:id="4" w:name="_Toc208695129"/>
      <w:bookmarkStart w:id="5" w:name="_Toc208695172"/>
      <w:r>
        <w:t>1. Top Categories by Total Price</w:t>
      </w:r>
      <w:bookmarkEnd w:id="4"/>
      <w:bookmarkEnd w:id="5"/>
    </w:p>
    <w:p w14:paraId="3198B6EC" w14:textId="7862EEF0" w:rsidR="00BD02F7" w:rsidRDefault="009C5C36">
      <w:r w:rsidRPr="009C5C36">
        <w:rPr>
          <w:b/>
          <w:bCs/>
        </w:rPr>
        <w:t>Objective:</w:t>
      </w:r>
      <w:r>
        <w:t xml:space="preserve"> Identify and visually represent the top 10 product categories by total sales.</w:t>
      </w:r>
    </w:p>
    <w:p w14:paraId="6FF2BB5C" w14:textId="644FC276" w:rsidR="00BA397E" w:rsidRPr="00FE2FCF" w:rsidRDefault="00FE2FCF">
      <w:pPr>
        <w:rPr>
          <w:b/>
          <w:bCs/>
        </w:rPr>
      </w:pPr>
      <w:r w:rsidRPr="00FE2FCF">
        <w:rPr>
          <w:b/>
          <w:bCs/>
        </w:rPr>
        <w:t>Explanation:</w:t>
      </w:r>
    </w:p>
    <w:p w14:paraId="6C1BE5A8" w14:textId="77777777" w:rsidR="00BA397E" w:rsidRDefault="00000000" w:rsidP="00BA397E">
      <w:pPr>
        <w:pStyle w:val="ListParagraph"/>
        <w:numPr>
          <w:ilvl w:val="0"/>
          <w:numId w:val="21"/>
        </w:numPr>
      </w:pPr>
      <w:r>
        <w:t xml:space="preserve">The top 10 categories by total revenue are shown in the dashboard bar chart titled 'Top 10 Products </w:t>
      </w:r>
      <w:proofErr w:type="gramStart"/>
      <w:r>
        <w:t>By</w:t>
      </w:r>
      <w:proofErr w:type="gramEnd"/>
      <w:r>
        <w:t xml:space="preserve"> Sales'.</w:t>
      </w:r>
    </w:p>
    <w:p w14:paraId="221B3FC9" w14:textId="77777777" w:rsidR="00BA397E" w:rsidRDefault="00000000" w:rsidP="00BA397E">
      <w:pPr>
        <w:pStyle w:val="ListParagraph"/>
        <w:numPr>
          <w:ilvl w:val="0"/>
          <w:numId w:val="21"/>
        </w:numPr>
      </w:pPr>
      <w:r>
        <w:t>The leading categories include Health</w:t>
      </w:r>
      <w:r w:rsidR="00963600">
        <w:t xml:space="preserve"> </w:t>
      </w:r>
      <w:r>
        <w:t>Beauty, Watches</w:t>
      </w:r>
      <w:r w:rsidR="00963600">
        <w:t xml:space="preserve"> </w:t>
      </w:r>
      <w:r>
        <w:t>Gifts, Bed</w:t>
      </w:r>
      <w:r w:rsidR="00963600">
        <w:t xml:space="preserve"> </w:t>
      </w:r>
      <w:r>
        <w:t>Bath</w:t>
      </w:r>
      <w:r w:rsidR="00963600">
        <w:t xml:space="preserve"> </w:t>
      </w:r>
      <w:r>
        <w:t>Table, Sports</w:t>
      </w:r>
      <w:r w:rsidR="00963600">
        <w:t xml:space="preserve"> </w:t>
      </w:r>
      <w:r>
        <w:t>Leisure and Computers</w:t>
      </w:r>
      <w:r w:rsidR="00963600">
        <w:t xml:space="preserve"> </w:t>
      </w:r>
      <w:r>
        <w:t>Accessories.</w:t>
      </w:r>
    </w:p>
    <w:p w14:paraId="634828E5" w14:textId="56C8A414" w:rsidR="00FE2FCF" w:rsidRDefault="00000000" w:rsidP="00FE2FCF">
      <w:pPr>
        <w:pStyle w:val="ListParagraph"/>
        <w:numPr>
          <w:ilvl w:val="0"/>
          <w:numId w:val="21"/>
        </w:numPr>
      </w:pPr>
      <w:r>
        <w:t>These categories account for a substantial portion of total revenue and should be prioritized for inventory, promotions and supplier negotiations</w:t>
      </w:r>
      <w:r w:rsidR="00963600">
        <w:t xml:space="preserve"> and they contribute 40.6% of total sales</w:t>
      </w:r>
      <w:r>
        <w:t>.</w:t>
      </w:r>
    </w:p>
    <w:p w14:paraId="6B15916F" w14:textId="5A677878" w:rsidR="00FE2FCF" w:rsidRPr="00FE2FCF" w:rsidRDefault="00F244A8" w:rsidP="00FE2FCF">
      <w:pPr>
        <w:rPr>
          <w:b/>
          <w:bCs/>
        </w:rPr>
      </w:pPr>
      <w:r w:rsidRPr="00F244A8">
        <w:rPr>
          <w:b/>
          <w:bCs/>
        </w:rPr>
        <w:drawing>
          <wp:inline distT="0" distB="0" distL="0" distR="0" wp14:anchorId="4E8572D4" wp14:editId="2BA04037">
            <wp:extent cx="5821680" cy="1950720"/>
            <wp:effectExtent l="0" t="0" r="7620" b="0"/>
            <wp:docPr id="15484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3573" name=""/>
                    <pic:cNvPicPr/>
                  </pic:nvPicPr>
                  <pic:blipFill>
                    <a:blip r:embed="rId9"/>
                    <a:stretch>
                      <a:fillRect/>
                    </a:stretch>
                  </pic:blipFill>
                  <pic:spPr>
                    <a:xfrm>
                      <a:off x="0" y="0"/>
                      <a:ext cx="5822184" cy="1950889"/>
                    </a:xfrm>
                    <a:prstGeom prst="rect">
                      <a:avLst/>
                    </a:prstGeom>
                  </pic:spPr>
                </pic:pic>
              </a:graphicData>
            </a:graphic>
          </wp:inline>
        </w:drawing>
      </w:r>
      <w:r w:rsidR="00FE2FCF" w:rsidRPr="00FE2FCF">
        <w:rPr>
          <w:b/>
          <w:bCs/>
        </w:rPr>
        <w:t>Visualization:</w:t>
      </w:r>
    </w:p>
    <w:p w14:paraId="1704CB11" w14:textId="214B31FB" w:rsidR="009F4D0C" w:rsidRPr="00F6471B" w:rsidRDefault="00C51F77">
      <w:pPr>
        <w:rPr>
          <w:noProof/>
          <w:sz w:val="26"/>
          <w:szCs w:val="26"/>
        </w:rPr>
      </w:pPr>
      <w:r w:rsidRPr="00C51F77">
        <w:rPr>
          <w:sz w:val="32"/>
          <w:szCs w:val="32"/>
        </w:rPr>
        <w:t xml:space="preserve"> </w:t>
      </w:r>
      <w:r w:rsidRPr="00F6471B">
        <w:rPr>
          <w:noProof/>
          <w:sz w:val="30"/>
          <w:szCs w:val="30"/>
        </w:rPr>
        <w:t>The chart highlights the Health &amp; Beauty category as the highest grossing, followed closely by Watches &amp; Gifts, Bed/Bath/Table, and Sports/Leisure. These top categories account for the largest portion of sales, demonstrating strong consumer demand in these segments</w:t>
      </w:r>
      <w:r w:rsidRPr="00F6471B">
        <w:rPr>
          <w:noProof/>
          <w:sz w:val="26"/>
          <w:szCs w:val="26"/>
        </w:rPr>
        <w:t>.</w:t>
      </w:r>
    </w:p>
    <w:p w14:paraId="68D63E40" w14:textId="77777777" w:rsidR="00C51F77" w:rsidRDefault="00C51F77">
      <w:pPr>
        <w:rPr>
          <w:noProof/>
        </w:rPr>
      </w:pPr>
    </w:p>
    <w:p w14:paraId="08BA1566" w14:textId="77777777" w:rsidR="00F6471B" w:rsidRDefault="00F6471B">
      <w:pPr>
        <w:pStyle w:val="Heading2"/>
      </w:pPr>
    </w:p>
    <w:p w14:paraId="7FCB590B" w14:textId="77777777" w:rsidR="00F6471B" w:rsidRDefault="00F6471B">
      <w:pPr>
        <w:pStyle w:val="Heading2"/>
      </w:pPr>
    </w:p>
    <w:p w14:paraId="7F02D898" w14:textId="65D38CBF" w:rsidR="00BD02F7" w:rsidRDefault="00000000">
      <w:pPr>
        <w:pStyle w:val="Heading2"/>
      </w:pPr>
      <w:bookmarkStart w:id="6" w:name="_Toc208695130"/>
      <w:bookmarkStart w:id="7" w:name="_Toc208695173"/>
      <w:r>
        <w:t>2. Delayed Orders Analysis</w:t>
      </w:r>
      <w:bookmarkEnd w:id="6"/>
      <w:bookmarkEnd w:id="7"/>
    </w:p>
    <w:p w14:paraId="2B3C2C51" w14:textId="5E8E4E21" w:rsidR="00BD02F7" w:rsidRDefault="009C5C36">
      <w:r w:rsidRPr="009C5C36">
        <w:rPr>
          <w:b/>
          <w:bCs/>
        </w:rPr>
        <w:t>Objective:</w:t>
      </w:r>
      <w:r>
        <w:t xml:space="preserve"> Determine the number of delayed orders in each category. An order is delayed if actual delivery date is later than estimated delivery date.</w:t>
      </w:r>
    </w:p>
    <w:p w14:paraId="483DC019" w14:textId="0695D28F" w:rsidR="00BA397E" w:rsidRDefault="00FE2FCF" w:rsidP="00BA397E">
      <w:r>
        <w:rPr>
          <w:b/>
          <w:bCs/>
        </w:rPr>
        <w:t>Explanation:</w:t>
      </w:r>
      <w:r>
        <w:br/>
      </w:r>
      <w:r w:rsidR="00BA397E">
        <w:t>-</w:t>
      </w:r>
      <w:r>
        <w:t xml:space="preserve">Total delay count reported on the dashboard: </w:t>
      </w:r>
    </w:p>
    <w:p w14:paraId="2C791D21" w14:textId="7FBE728E" w:rsidR="00963600" w:rsidRDefault="00000000" w:rsidP="00BA397E">
      <w:pPr>
        <w:pStyle w:val="ListParagraph"/>
        <w:numPr>
          <w:ilvl w:val="0"/>
          <w:numId w:val="12"/>
        </w:numPr>
      </w:pPr>
      <w:r>
        <w:t xml:space="preserve">7,826 delayed orders. </w:t>
      </w:r>
    </w:p>
    <w:p w14:paraId="678751C7" w14:textId="6D142E1F" w:rsidR="00FE2FCF" w:rsidRDefault="00000000" w:rsidP="00FE2FCF">
      <w:pPr>
        <w:pStyle w:val="ListParagraph"/>
        <w:numPr>
          <w:ilvl w:val="0"/>
          <w:numId w:val="12"/>
        </w:numPr>
      </w:pPr>
      <w:r>
        <w:t>On-time orders are 88,652 with 2,963 pending.</w:t>
      </w:r>
    </w:p>
    <w:p w14:paraId="61F01724" w14:textId="6C6098AA" w:rsidR="00C51F77" w:rsidRPr="00C51F77" w:rsidRDefault="00C51F77" w:rsidP="00C51F77">
      <w:pPr>
        <w:rPr>
          <w:b/>
          <w:bCs/>
        </w:rPr>
      </w:pPr>
      <w:r w:rsidRPr="00C51F77">
        <w:rPr>
          <w:b/>
          <w:bCs/>
        </w:rPr>
        <w:t>Visualization</w:t>
      </w:r>
      <w:r>
        <w:rPr>
          <w:b/>
          <w:bCs/>
        </w:rPr>
        <w:t>:</w:t>
      </w:r>
    </w:p>
    <w:p w14:paraId="7E406D0A" w14:textId="0E69643E" w:rsidR="009F4D0C" w:rsidRPr="00F6471B" w:rsidRDefault="00C51F77">
      <w:r w:rsidRPr="00F6471B">
        <w:t xml:space="preserve">The delayed orders analysis by product category pinpoints which types of products are most affected by late deliveries. Typically, high-volume categories such as </w:t>
      </w:r>
      <w:proofErr w:type="spellStart"/>
      <w:r w:rsidRPr="00F6471B">
        <w:t>Health_Beauty</w:t>
      </w:r>
      <w:proofErr w:type="spellEnd"/>
      <w:r w:rsidRPr="00F6471B">
        <w:t xml:space="preserve">, </w:t>
      </w:r>
      <w:proofErr w:type="spellStart"/>
      <w:r w:rsidRPr="00F6471B">
        <w:t>Bed_Bath_Table</w:t>
      </w:r>
      <w:proofErr w:type="spellEnd"/>
      <w:r w:rsidRPr="00F6471B">
        <w:t xml:space="preserve">, and </w:t>
      </w:r>
      <w:proofErr w:type="spellStart"/>
      <w:r w:rsidRPr="00F6471B">
        <w:t>Sports_Leisure</w:t>
      </w:r>
      <w:proofErr w:type="spellEnd"/>
      <w:r w:rsidRPr="00F6471B">
        <w:t xml:space="preserve"> may see more delays simply due to order volume, while niche categories could have fewer but potentially more severe logistical issues. Reviewing the delayed order counts for each category highlights where operational bottlenecks or supply chain issues might be concentrated. For categories with the highest delay counts, investigating vendor reliability, stock levels, or distribution processes can uncover actionable methods to improve delivery performance and customer satisfaction.</w:t>
      </w:r>
    </w:p>
    <w:p w14:paraId="20C4B893" w14:textId="77777777" w:rsidR="00C51F77" w:rsidRDefault="00C51F77">
      <w:pPr>
        <w:pStyle w:val="Heading2"/>
      </w:pPr>
    </w:p>
    <w:p w14:paraId="0C4156DA" w14:textId="12CEC0BC" w:rsidR="00BD02F7" w:rsidRDefault="00C51F77">
      <w:pPr>
        <w:pStyle w:val="Heading2"/>
      </w:pPr>
      <w:bookmarkStart w:id="8" w:name="_Toc208695131"/>
      <w:bookmarkStart w:id="9" w:name="_Toc208695174"/>
      <w:r>
        <w:t>3. Monthly Comparison of Delayed and On-Time Orders</w:t>
      </w:r>
      <w:bookmarkEnd w:id="8"/>
      <w:bookmarkEnd w:id="9"/>
    </w:p>
    <w:p w14:paraId="41AD9268" w14:textId="179A4B36" w:rsidR="00BD02F7" w:rsidRDefault="009C5C36">
      <w:r w:rsidRPr="009C5C36">
        <w:rPr>
          <w:b/>
          <w:bCs/>
        </w:rPr>
        <w:t>Objective:</w:t>
      </w:r>
      <w:r>
        <w:t xml:space="preserve"> Compare the number of delayed orders to orders received earlier (on-time) for each month and enable </w:t>
      </w:r>
      <w:proofErr w:type="spellStart"/>
      <w:r>
        <w:t>drillthrough</w:t>
      </w:r>
      <w:proofErr w:type="spellEnd"/>
      <w:r>
        <w:t xml:space="preserve"> for details.</w:t>
      </w:r>
    </w:p>
    <w:p w14:paraId="6D66B6EF" w14:textId="35AB3E41" w:rsidR="00A65B59" w:rsidRDefault="00C51F77" w:rsidP="00C51F77">
      <w:pPr>
        <w:rPr>
          <w:lang w:val="en-IN"/>
        </w:rPr>
      </w:pPr>
      <w:r>
        <w:rPr>
          <w:b/>
          <w:bCs/>
        </w:rPr>
        <w:t>Explanation:</w:t>
      </w:r>
      <w:r>
        <w:br/>
      </w:r>
      <w:r w:rsidR="00A65B59" w:rsidRPr="00A65B59">
        <w:rPr>
          <w:lang w:val="en-IN"/>
        </w:rPr>
        <w:t xml:space="preserve">The comparison between delayed and on-time orders is illustrated by </w:t>
      </w:r>
      <w:proofErr w:type="spellStart"/>
      <w:r w:rsidR="00A65B59" w:rsidRPr="00A65B59">
        <w:rPr>
          <w:lang w:val="en-IN"/>
        </w:rPr>
        <w:t>analyzing</w:t>
      </w:r>
      <w:proofErr w:type="spellEnd"/>
      <w:r w:rsidR="00A65B59" w:rsidRPr="00A65B59">
        <w:rPr>
          <w:lang w:val="en-IN"/>
        </w:rPr>
        <w:t xml:space="preserve"> the monthly “On Time Count” alongside “%GT Delay Count”, highlighting trends and discrepancies in order delivery performance throughout the year.</w:t>
      </w:r>
    </w:p>
    <w:p w14:paraId="1884D9C0" w14:textId="6AE8CD89" w:rsidR="00A65B59" w:rsidRPr="00A65B59" w:rsidRDefault="0077040A" w:rsidP="00A65B59">
      <w:pPr>
        <w:rPr>
          <w:b/>
          <w:bCs/>
          <w:lang w:val="en-IN"/>
        </w:rPr>
      </w:pPr>
      <w:r>
        <w:rPr>
          <w:b/>
          <w:bCs/>
          <w:lang w:val="en-IN"/>
        </w:rPr>
        <w:t>K</w:t>
      </w:r>
      <w:r w:rsidR="00A65B59" w:rsidRPr="00A65B59">
        <w:rPr>
          <w:b/>
          <w:bCs/>
          <w:lang w:val="en-IN"/>
        </w:rPr>
        <w:t>ey Monthly Observations</w:t>
      </w:r>
    </w:p>
    <w:p w14:paraId="3BA25605" w14:textId="5677ED67" w:rsidR="00A65B59" w:rsidRPr="00A65B59" w:rsidRDefault="00A65B59" w:rsidP="001E5904">
      <w:pPr>
        <w:numPr>
          <w:ilvl w:val="0"/>
          <w:numId w:val="13"/>
        </w:numPr>
        <w:spacing w:line="240" w:lineRule="auto"/>
        <w:rPr>
          <w:lang w:val="en-IN"/>
        </w:rPr>
      </w:pPr>
      <w:r w:rsidRPr="00A65B59">
        <w:rPr>
          <w:lang w:val="en-IN"/>
        </w:rPr>
        <w:t>On Time Counts peak in July and August (9.9K–10K).</w:t>
      </w:r>
    </w:p>
    <w:p w14:paraId="5DCACB4A" w14:textId="249B8394" w:rsidR="00A65B59" w:rsidRPr="00A65B59" w:rsidRDefault="00A65B59" w:rsidP="001E5904">
      <w:pPr>
        <w:numPr>
          <w:ilvl w:val="0"/>
          <w:numId w:val="13"/>
        </w:numPr>
        <w:spacing w:line="240" w:lineRule="auto"/>
        <w:rPr>
          <w:lang w:val="en-IN"/>
        </w:rPr>
      </w:pPr>
      <w:r w:rsidRPr="00A65B59">
        <w:rPr>
          <w:lang w:val="en-IN"/>
        </w:rPr>
        <w:t>Delay Percentages are highest in April (20.93%) and March (14.08%), indicating periods with the greatest proportion of late deliveries relative to order volume.</w:t>
      </w:r>
    </w:p>
    <w:p w14:paraId="47E5CF0B" w14:textId="7D137C36" w:rsidR="00A65B59" w:rsidRPr="0014263D" w:rsidRDefault="00A65B59" w:rsidP="001E5904">
      <w:pPr>
        <w:pStyle w:val="ListParagraph"/>
        <w:numPr>
          <w:ilvl w:val="0"/>
          <w:numId w:val="13"/>
        </w:numPr>
        <w:spacing w:line="240" w:lineRule="auto"/>
        <w:rPr>
          <w:lang w:val="en-IN"/>
        </w:rPr>
      </w:pPr>
      <w:r w:rsidRPr="0014263D">
        <w:rPr>
          <w:lang w:val="en-IN"/>
        </w:rPr>
        <w:t>Months with the lowest delay rates are June (2.61%), October (3.07%), and September (2.77%), reflecting better timeliness during these periods.</w:t>
      </w:r>
    </w:p>
    <w:p w14:paraId="53E024B1" w14:textId="03C0F4D8" w:rsidR="009F4D0C" w:rsidRPr="00F6471B" w:rsidRDefault="00A65B59" w:rsidP="001E5904">
      <w:pPr>
        <w:numPr>
          <w:ilvl w:val="0"/>
          <w:numId w:val="13"/>
        </w:numPr>
        <w:spacing w:line="240" w:lineRule="auto"/>
      </w:pPr>
      <w:r w:rsidRPr="00A65B59">
        <w:rPr>
          <w:lang w:val="en-IN"/>
        </w:rPr>
        <w:t>The magnitude of on-time orders declines sharply in September and October, with a moderate rebound in November and December.</w:t>
      </w:r>
    </w:p>
    <w:p w14:paraId="3F34DD7E" w14:textId="77777777" w:rsidR="00F6471B" w:rsidRDefault="00F6471B" w:rsidP="00F6471B">
      <w:pPr>
        <w:rPr>
          <w:lang w:val="en-IN"/>
        </w:rPr>
      </w:pPr>
    </w:p>
    <w:p w14:paraId="0A760357" w14:textId="72A313BD" w:rsidR="00F6471B" w:rsidRPr="00F6471B" w:rsidRDefault="00F244A8" w:rsidP="0077040A">
      <w:pPr>
        <w:rPr>
          <w:b/>
          <w:bCs/>
        </w:rPr>
      </w:pPr>
      <w:r w:rsidRPr="00F244A8">
        <w:rPr>
          <w:b/>
          <w:bCs/>
        </w:rPr>
        <w:drawing>
          <wp:inline distT="0" distB="0" distL="0" distR="0" wp14:anchorId="753920AF" wp14:editId="223961CB">
            <wp:extent cx="6233160" cy="3101340"/>
            <wp:effectExtent l="0" t="0" r="0" b="3810"/>
            <wp:docPr id="170137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74200" name=""/>
                    <pic:cNvPicPr/>
                  </pic:nvPicPr>
                  <pic:blipFill>
                    <a:blip r:embed="rId10"/>
                    <a:stretch>
                      <a:fillRect/>
                    </a:stretch>
                  </pic:blipFill>
                  <pic:spPr>
                    <a:xfrm>
                      <a:off x="0" y="0"/>
                      <a:ext cx="6233705" cy="3101611"/>
                    </a:xfrm>
                    <a:prstGeom prst="rect">
                      <a:avLst/>
                    </a:prstGeom>
                  </pic:spPr>
                </pic:pic>
              </a:graphicData>
            </a:graphic>
          </wp:inline>
        </w:drawing>
      </w:r>
      <w:r w:rsidR="00F6471B" w:rsidRPr="00F6471B">
        <w:rPr>
          <w:b/>
          <w:bCs/>
        </w:rPr>
        <w:t>Visualization</w:t>
      </w:r>
      <w:r w:rsidR="00F6471B">
        <w:rPr>
          <w:b/>
          <w:bCs/>
        </w:rPr>
        <w:t>:</w:t>
      </w:r>
    </w:p>
    <w:p w14:paraId="1C00DDE7" w14:textId="103DAEB2" w:rsidR="009F4D0C" w:rsidRDefault="00F6471B">
      <w:r w:rsidRPr="00F6471B">
        <w:t>High on-time rates and low delays mid-year reflect successful logistic planning, while peaks in delay percentage identify months needing strategic attention.</w:t>
      </w:r>
      <w:r w:rsidRPr="00F6471B">
        <w:br/>
        <w:t>By enabling drill</w:t>
      </w:r>
      <w:r>
        <w:t xml:space="preserve"> </w:t>
      </w:r>
      <w:r w:rsidRPr="00F6471B">
        <w:t>through capabilities, users can investigate specific delayed orders, underlying causes, and affected customers for any chosen month. This supports targeted process improvements and responsive customer service practices</w:t>
      </w:r>
    </w:p>
    <w:p w14:paraId="18872992" w14:textId="74AF5996" w:rsidR="00BD02F7" w:rsidRDefault="00000000">
      <w:pPr>
        <w:pStyle w:val="Heading2"/>
      </w:pPr>
      <w:bookmarkStart w:id="10" w:name="_Toc208695132"/>
      <w:bookmarkStart w:id="11" w:name="_Toc208695175"/>
      <w:r>
        <w:t>4. Payment Method Analysis</w:t>
      </w:r>
      <w:bookmarkEnd w:id="10"/>
      <w:bookmarkEnd w:id="11"/>
    </w:p>
    <w:p w14:paraId="1452820F" w14:textId="6495118C" w:rsidR="00BD02F7" w:rsidRDefault="009C5C36">
      <w:r w:rsidRPr="009C5C36">
        <w:rPr>
          <w:b/>
          <w:bCs/>
        </w:rPr>
        <w:t>Objective:</w:t>
      </w:r>
      <w:r>
        <w:t xml:space="preserve"> Analyze most frequently used payment methods using a visually appealing representation.</w:t>
      </w:r>
    </w:p>
    <w:p w14:paraId="4A83107B" w14:textId="68D7129B" w:rsidR="00175DE1" w:rsidRPr="009C5C36" w:rsidRDefault="009C5C36" w:rsidP="00175DE1">
      <w:pPr>
        <w:rPr>
          <w:b/>
          <w:bCs/>
          <w:lang w:val="en-IN"/>
        </w:rPr>
      </w:pPr>
      <w:r>
        <w:rPr>
          <w:b/>
          <w:bCs/>
        </w:rPr>
        <w:t>Explanation:</w:t>
      </w:r>
    </w:p>
    <w:p w14:paraId="31305C82" w14:textId="77777777" w:rsidR="009C5C36" w:rsidRDefault="009C5C36" w:rsidP="009C5C36">
      <w:pPr>
        <w:pStyle w:val="ListParagraph"/>
        <w:numPr>
          <w:ilvl w:val="0"/>
          <w:numId w:val="24"/>
        </w:numPr>
      </w:pPr>
      <w:r w:rsidRPr="009C5C36">
        <w:t>Credit Card is overwhelmingly the preferred payment method, accounting for 78.34% of all transactions (76,795 payments) and generating most of the revenue (12,542,084.19). This dominance indicates high customer trust and convenience with credit card transactions.</w:t>
      </w:r>
    </w:p>
    <w:p w14:paraId="21C489AC" w14:textId="77777777" w:rsidR="009C5C36" w:rsidRDefault="009C5C36" w:rsidP="009C5C36">
      <w:pPr>
        <w:pStyle w:val="ListParagraph"/>
        <w:numPr>
          <w:ilvl w:val="0"/>
          <w:numId w:val="24"/>
        </w:numPr>
      </w:pPr>
      <w:proofErr w:type="spellStart"/>
      <w:r w:rsidRPr="009C5C36">
        <w:t>Boleto</w:t>
      </w:r>
      <w:proofErr w:type="spellEnd"/>
      <w:r w:rsidRPr="009C5C36">
        <w:t> (a popular Brazilian payment slip) is the second most used, representing 17.92% of payments (19,784 transactions) and 2,869,361.27 in revenue. This option is vital for customers who do not use credit cards.</w:t>
      </w:r>
    </w:p>
    <w:p w14:paraId="65148E32" w14:textId="77777777" w:rsidR="009C5C36" w:rsidRDefault="009C5C36" w:rsidP="009C5C36">
      <w:pPr>
        <w:pStyle w:val="ListParagraph"/>
        <w:numPr>
          <w:ilvl w:val="0"/>
          <w:numId w:val="24"/>
        </w:numPr>
      </w:pPr>
      <w:r w:rsidRPr="009C5C36">
        <w:t xml:space="preserve"> Voucher and Debit Card are much less frequently used, together making up less than 5% of transactions and limiting their impact on total revenue.</w:t>
      </w:r>
    </w:p>
    <w:p w14:paraId="73AB2053" w14:textId="77777777" w:rsidR="009C5C36" w:rsidRDefault="009C5C36" w:rsidP="009C5C36">
      <w:pPr>
        <w:pStyle w:val="ListParagraph"/>
        <w:numPr>
          <w:ilvl w:val="0"/>
          <w:numId w:val="24"/>
        </w:numPr>
      </w:pPr>
      <w:r w:rsidRPr="009C5C36">
        <w:t>Negligible or undefined payment types have almost no presence in the customer base.</w:t>
      </w:r>
    </w:p>
    <w:p w14:paraId="1699C349" w14:textId="7CD65E59" w:rsidR="00F244A8" w:rsidRDefault="00F244A8" w:rsidP="009C5C36">
      <w:pPr>
        <w:pStyle w:val="ListParagraph"/>
        <w:numPr>
          <w:ilvl w:val="0"/>
          <w:numId w:val="24"/>
        </w:numPr>
      </w:pPr>
      <w:r w:rsidRPr="00F244A8">
        <w:drawing>
          <wp:inline distT="0" distB="0" distL="0" distR="0" wp14:anchorId="46EE8154" wp14:editId="10348E26">
            <wp:extent cx="4457700" cy="1958340"/>
            <wp:effectExtent l="0" t="0" r="0" b="3810"/>
            <wp:docPr id="211336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61146" name=""/>
                    <pic:cNvPicPr/>
                  </pic:nvPicPr>
                  <pic:blipFill>
                    <a:blip r:embed="rId11"/>
                    <a:stretch>
                      <a:fillRect/>
                    </a:stretch>
                  </pic:blipFill>
                  <pic:spPr>
                    <a:xfrm>
                      <a:off x="0" y="0"/>
                      <a:ext cx="4458087" cy="1958510"/>
                    </a:xfrm>
                    <a:prstGeom prst="rect">
                      <a:avLst/>
                    </a:prstGeom>
                  </pic:spPr>
                </pic:pic>
              </a:graphicData>
            </a:graphic>
          </wp:inline>
        </w:drawing>
      </w:r>
    </w:p>
    <w:p w14:paraId="0F227DAC" w14:textId="393BE0DD" w:rsidR="009C5C36" w:rsidRPr="009C5C36" w:rsidRDefault="009C5C36" w:rsidP="009C5C36">
      <w:r w:rsidRPr="009C5C36">
        <w:t>These visuals highlight not only which payment methods are most popular but also which drive the business’s financial performance. Companies can use this insight to optimize checkout processes and marketing for the most used payment methods, while also exploring ways to encourage alternative payment adoption to broaden their customer base.</w:t>
      </w:r>
    </w:p>
    <w:p w14:paraId="75B022B4" w14:textId="77777777" w:rsidR="009C5C36" w:rsidRDefault="009C5C36">
      <w:pPr>
        <w:pStyle w:val="Heading2"/>
      </w:pPr>
    </w:p>
    <w:p w14:paraId="2CAD8788" w14:textId="2B304412" w:rsidR="00BD02F7" w:rsidRDefault="00000000">
      <w:pPr>
        <w:pStyle w:val="Heading2"/>
      </w:pPr>
      <w:bookmarkStart w:id="12" w:name="_Toc208695133"/>
      <w:bookmarkStart w:id="13" w:name="_Toc208695176"/>
      <w:r>
        <w:t>5. Product Rating Analysis</w:t>
      </w:r>
      <w:bookmarkEnd w:id="12"/>
      <w:bookmarkEnd w:id="13"/>
    </w:p>
    <w:p w14:paraId="18352F9F" w14:textId="333E8DA8" w:rsidR="00BD02F7" w:rsidRDefault="009C5C36">
      <w:r w:rsidRPr="009C5C36">
        <w:rPr>
          <w:b/>
          <w:bCs/>
        </w:rPr>
        <w:t>Objective:</w:t>
      </w:r>
      <w:r>
        <w:t xml:space="preserve"> Determine top 10 highest-rated products and bottom 10 lowest-rated products.</w:t>
      </w:r>
    </w:p>
    <w:p w14:paraId="7A5FB1E7" w14:textId="77777777" w:rsidR="00807960" w:rsidRPr="009C5C36" w:rsidRDefault="00807960" w:rsidP="00807960">
      <w:pPr>
        <w:rPr>
          <w:b/>
          <w:bCs/>
          <w:lang w:val="en-IN"/>
        </w:rPr>
      </w:pPr>
      <w:r w:rsidRPr="009C5C36">
        <w:rPr>
          <w:b/>
          <w:bCs/>
        </w:rPr>
        <w:t>Explanation:</w:t>
      </w:r>
    </w:p>
    <w:p w14:paraId="1B63A2A0" w14:textId="77777777" w:rsidR="00807960" w:rsidRDefault="009C5C36" w:rsidP="00807960">
      <w:r w:rsidRPr="009C5C36">
        <w:t>The Product Rating Analysis identifies both the top 10 highest-rated and bottom 10 lowest-rated product categories, highlighting customer satisfaction patterns across the catalog.</w:t>
      </w:r>
    </w:p>
    <w:p w14:paraId="5E667A49" w14:textId="77777777" w:rsidR="00807960" w:rsidRDefault="009C5C36" w:rsidP="00807960">
      <w:pPr>
        <w:pStyle w:val="ListParagraph"/>
        <w:numPr>
          <w:ilvl w:val="0"/>
          <w:numId w:val="25"/>
        </w:numPr>
      </w:pPr>
      <w:r w:rsidRPr="00807960">
        <w:rPr>
          <w:b/>
          <w:bCs/>
        </w:rPr>
        <w:t>Highly Rated Products:</w:t>
      </w:r>
      <w:r w:rsidRPr="009C5C36">
        <w:br/>
        <w:t>Product categories such as CDs/DVDs/Music, Children’s Clothing, General Interest Books, Sport Fashion, and Imported Books consistently achieved high ratings, with scores generally above 4.3 out of 5. This indicates strong customer satisfaction and positive experiences with these products, likely due to perceived quality, value, or alignment with customer expectations.</w:t>
      </w:r>
    </w:p>
    <w:p w14:paraId="15A1B327" w14:textId="2266E9FB" w:rsidR="006A6CDB" w:rsidRDefault="009C5C36" w:rsidP="002A27C7">
      <w:pPr>
        <w:pStyle w:val="ListParagraph"/>
        <w:numPr>
          <w:ilvl w:val="0"/>
          <w:numId w:val="25"/>
        </w:numPr>
      </w:pPr>
      <w:r w:rsidRPr="002A27C7">
        <w:rPr>
          <w:b/>
          <w:bCs/>
        </w:rPr>
        <w:t>Low Rated Products:</w:t>
      </w:r>
      <w:r w:rsidRPr="009C5C36">
        <w:br/>
        <w:t>On the other hand, categories like Security and Services, Office Furniture, Male and Female Clothing, and certain home-related items (such as Mattresses, Audio, and Construction Tools—Safety) received much lower average ratings, with some scores dropping below 3.</w:t>
      </w:r>
      <w:r w:rsidR="002A27C7">
        <w:t>8</w:t>
      </w:r>
      <w:r w:rsidRPr="009C5C36">
        <w:t xml:space="preserve">. </w:t>
      </w:r>
      <w:r w:rsidR="00F244A8" w:rsidRPr="00F244A8">
        <w:drawing>
          <wp:inline distT="0" distB="0" distL="0" distR="0" wp14:anchorId="612B11D5" wp14:editId="4C57F570">
            <wp:extent cx="5921253" cy="1920406"/>
            <wp:effectExtent l="0" t="0" r="3810" b="3810"/>
            <wp:docPr id="71677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72740" name=""/>
                    <pic:cNvPicPr/>
                  </pic:nvPicPr>
                  <pic:blipFill>
                    <a:blip r:embed="rId12"/>
                    <a:stretch>
                      <a:fillRect/>
                    </a:stretch>
                  </pic:blipFill>
                  <pic:spPr>
                    <a:xfrm>
                      <a:off x="0" y="0"/>
                      <a:ext cx="5921253" cy="1920406"/>
                    </a:xfrm>
                    <a:prstGeom prst="rect">
                      <a:avLst/>
                    </a:prstGeom>
                  </pic:spPr>
                </pic:pic>
              </a:graphicData>
            </a:graphic>
          </wp:inline>
        </w:drawing>
      </w:r>
    </w:p>
    <w:p w14:paraId="59AB0A50" w14:textId="77777777" w:rsidR="00807960" w:rsidRPr="00807960" w:rsidRDefault="00807960" w:rsidP="00807960">
      <w:pPr>
        <w:rPr>
          <w:sz w:val="24"/>
          <w:szCs w:val="24"/>
        </w:rPr>
      </w:pPr>
      <w:r w:rsidRPr="00807960">
        <w:rPr>
          <w:sz w:val="24"/>
          <w:szCs w:val="24"/>
        </w:rPr>
        <w:t>This analysis empowers the business to:</w:t>
      </w:r>
    </w:p>
    <w:p w14:paraId="7067C88C" w14:textId="77777777" w:rsidR="00807960" w:rsidRPr="00807960" w:rsidRDefault="00807960" w:rsidP="00807960">
      <w:pPr>
        <w:pStyle w:val="ListParagraph"/>
        <w:numPr>
          <w:ilvl w:val="0"/>
          <w:numId w:val="26"/>
        </w:numPr>
        <w:rPr>
          <w:sz w:val="24"/>
          <w:szCs w:val="24"/>
        </w:rPr>
      </w:pPr>
      <w:r w:rsidRPr="00807960">
        <w:rPr>
          <w:sz w:val="24"/>
          <w:szCs w:val="24"/>
        </w:rPr>
        <w:t>Reinforce strengths by promoting and maintaining the quality of highly-rated categories.</w:t>
      </w:r>
    </w:p>
    <w:p w14:paraId="4E46C20C" w14:textId="0C715A9A" w:rsidR="00807960" w:rsidRPr="00807960" w:rsidRDefault="00807960" w:rsidP="00807960">
      <w:pPr>
        <w:pStyle w:val="ListParagraph"/>
        <w:numPr>
          <w:ilvl w:val="0"/>
          <w:numId w:val="26"/>
        </w:numPr>
        <w:rPr>
          <w:sz w:val="24"/>
          <w:szCs w:val="24"/>
        </w:rPr>
      </w:pPr>
      <w:r w:rsidRPr="00807960">
        <w:rPr>
          <w:sz w:val="24"/>
          <w:szCs w:val="24"/>
        </w:rPr>
        <w:t>Address weaknesses by investigating root causes of dissatisfaction in low-rated categories these could involve quality issues, inaccurate descriptions, delivery challenges, or other service gaps.</w:t>
      </w:r>
    </w:p>
    <w:p w14:paraId="0803AE54" w14:textId="16BF91BD" w:rsidR="00807960" w:rsidRPr="00807960" w:rsidRDefault="00807960" w:rsidP="00807960">
      <w:pPr>
        <w:pStyle w:val="ListParagraph"/>
        <w:numPr>
          <w:ilvl w:val="0"/>
          <w:numId w:val="26"/>
        </w:numPr>
        <w:rPr>
          <w:sz w:val="24"/>
          <w:szCs w:val="24"/>
        </w:rPr>
      </w:pPr>
      <w:r w:rsidRPr="00807960">
        <w:rPr>
          <w:sz w:val="24"/>
          <w:szCs w:val="24"/>
        </w:rPr>
        <w:t>Acting on these insights can lead to targeted improvements in product offerings, marketing strategies, and customer support, ultimately driving higher overall satisfaction and repeat business.</w:t>
      </w:r>
    </w:p>
    <w:p w14:paraId="2BCF346D" w14:textId="77777777" w:rsidR="00807960" w:rsidRDefault="00807960">
      <w:pPr>
        <w:pStyle w:val="Heading2"/>
      </w:pPr>
    </w:p>
    <w:p w14:paraId="50B7EFB2" w14:textId="49004E78" w:rsidR="00BD02F7" w:rsidRDefault="00000000">
      <w:pPr>
        <w:pStyle w:val="Heading2"/>
      </w:pPr>
      <w:bookmarkStart w:id="14" w:name="_Toc208695134"/>
      <w:bookmarkStart w:id="15" w:name="_Toc208695177"/>
      <w:r>
        <w:t>6. State-wise Sales Analysis</w:t>
      </w:r>
      <w:bookmarkEnd w:id="14"/>
      <w:bookmarkEnd w:id="15"/>
    </w:p>
    <w:p w14:paraId="3B735396" w14:textId="3649AB87" w:rsidR="00BD02F7" w:rsidRDefault="009C5C36">
      <w:r w:rsidRPr="009C5C36">
        <w:rPr>
          <w:b/>
          <w:bCs/>
        </w:rPr>
        <w:t>Objective:</w:t>
      </w:r>
      <w:r>
        <w:t xml:space="preserve"> Identify and visually represent states with high and low sales for regional performance understanding.</w:t>
      </w:r>
    </w:p>
    <w:p w14:paraId="3AAE70B7" w14:textId="77777777" w:rsidR="009C5C36" w:rsidRPr="009C5C36" w:rsidRDefault="009C5C36" w:rsidP="009C5C36">
      <w:pPr>
        <w:rPr>
          <w:b/>
          <w:bCs/>
          <w:lang w:val="en-IN"/>
        </w:rPr>
      </w:pPr>
      <w:r>
        <w:rPr>
          <w:b/>
          <w:bCs/>
        </w:rPr>
        <w:t>Explanation:</w:t>
      </w:r>
    </w:p>
    <w:p w14:paraId="3D67B7BD" w14:textId="19010718" w:rsidR="00CF75B3" w:rsidRDefault="00CF75B3" w:rsidP="00CF75B3">
      <w:pPr>
        <w:tabs>
          <w:tab w:val="left" w:pos="2727"/>
        </w:tabs>
        <w:spacing w:line="240" w:lineRule="auto"/>
      </w:pPr>
      <w:r>
        <w:t>Top 10 States by Revenue</w:t>
      </w:r>
    </w:p>
    <w:p w14:paraId="065F18DB" w14:textId="091C0FB7" w:rsidR="0051315C" w:rsidRDefault="0051315C" w:rsidP="0051315C">
      <w:pPr>
        <w:pStyle w:val="ListParagraph"/>
        <w:numPr>
          <w:ilvl w:val="0"/>
          <w:numId w:val="27"/>
        </w:numPr>
        <w:tabs>
          <w:tab w:val="left" w:pos="2727"/>
        </w:tabs>
        <w:spacing w:line="240" w:lineRule="auto"/>
      </w:pPr>
      <w:r w:rsidRPr="0051315C">
        <w:t>A small number of important states account for a large portion of sales revenue. With over 6 million, São Paulo (SP) is well ahead, followed by Rio de Janeiro (RJ) with 2.1 million and Minas Gerais (MG) with 1.9 million. Revenues from the other top-performing states, such as RS, PR, SC, BA, DF, GO, and ES, range from roughly 0.9 million to 0.3 million. These markets are essential for company expansion and client involvement as, according to this concentration, they have the biggest consumer base and the highest demand.</w:t>
      </w:r>
    </w:p>
    <w:p w14:paraId="2CA1A0E6" w14:textId="151D57D9" w:rsidR="00CF75B3" w:rsidRPr="00CF75B3" w:rsidRDefault="00CF75B3" w:rsidP="00CF75B3">
      <w:pPr>
        <w:tabs>
          <w:tab w:val="left" w:pos="2727"/>
        </w:tabs>
        <w:spacing w:line="240" w:lineRule="auto"/>
        <w:rPr>
          <w:noProof/>
          <w:lang w:val="en-IN"/>
        </w:rPr>
      </w:pPr>
      <w:r>
        <w:rPr>
          <w:noProof/>
          <w:lang w:val="en-IN"/>
        </w:rPr>
        <w:t>Bottom 10 states by revenue</w:t>
      </w:r>
    </w:p>
    <w:p w14:paraId="0054D272" w14:textId="6B5BEBD7" w:rsidR="00B52EA4" w:rsidRPr="00F244A8" w:rsidRDefault="00B52EA4" w:rsidP="00B52EA4">
      <w:pPr>
        <w:pStyle w:val="ListParagraph"/>
        <w:numPr>
          <w:ilvl w:val="0"/>
          <w:numId w:val="14"/>
        </w:numPr>
        <w:tabs>
          <w:tab w:val="left" w:pos="2727"/>
        </w:tabs>
        <w:spacing w:line="240" w:lineRule="auto"/>
        <w:rPr>
          <w:noProof/>
          <w:lang w:val="en-IN"/>
        </w:rPr>
      </w:pPr>
      <w:r w:rsidRPr="00B52EA4">
        <w:rPr>
          <w:noProof/>
        </w:rPr>
        <w:t>States like Amazonas (AM), Rondônia (RO), Tocantins (TO), Sergipe (SE), Alagoas (AL), Rio Grande do Norte (RN), and Piauí (PI) are gradually increasing towards 0.1 million, while the lowest-performing states, like Roraima (RR), Amapá (AP), and Acre (AC), each contribute less than 0.02 million. These findings draw attention to the significant unrealised market potential and the regional disparity in the distribution of sales.</w:t>
      </w:r>
    </w:p>
    <w:p w14:paraId="3F79A98C" w14:textId="2577A579" w:rsidR="00F244A8" w:rsidRPr="00B52EA4" w:rsidRDefault="00F244A8" w:rsidP="00B52EA4">
      <w:pPr>
        <w:pStyle w:val="ListParagraph"/>
        <w:numPr>
          <w:ilvl w:val="0"/>
          <w:numId w:val="14"/>
        </w:numPr>
        <w:tabs>
          <w:tab w:val="left" w:pos="2727"/>
        </w:tabs>
        <w:spacing w:line="240" w:lineRule="auto"/>
        <w:rPr>
          <w:noProof/>
          <w:lang w:val="en-IN"/>
        </w:rPr>
      </w:pPr>
      <w:r w:rsidRPr="00F244A8">
        <w:rPr>
          <w:noProof/>
          <w:lang w:val="en-IN"/>
        </w:rPr>
        <w:drawing>
          <wp:inline distT="0" distB="0" distL="0" distR="0" wp14:anchorId="7A13EB85" wp14:editId="7AAEA208">
            <wp:extent cx="5379720" cy="1691640"/>
            <wp:effectExtent l="0" t="0" r="0" b="3810"/>
            <wp:docPr id="14444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1383" name=""/>
                    <pic:cNvPicPr/>
                  </pic:nvPicPr>
                  <pic:blipFill>
                    <a:blip r:embed="rId13"/>
                    <a:stretch>
                      <a:fillRect/>
                    </a:stretch>
                  </pic:blipFill>
                  <pic:spPr>
                    <a:xfrm>
                      <a:off x="0" y="0"/>
                      <a:ext cx="5380188" cy="1691787"/>
                    </a:xfrm>
                    <a:prstGeom prst="rect">
                      <a:avLst/>
                    </a:prstGeom>
                  </pic:spPr>
                </pic:pic>
              </a:graphicData>
            </a:graphic>
          </wp:inline>
        </w:drawing>
      </w:r>
    </w:p>
    <w:p w14:paraId="480BBFF0" w14:textId="77777777" w:rsidR="00B52EA4" w:rsidRDefault="00B52EA4">
      <w:pPr>
        <w:rPr>
          <w:noProof/>
        </w:rPr>
      </w:pPr>
      <w:r w:rsidRPr="00B52EA4">
        <w:rPr>
          <w:noProof/>
        </w:rPr>
        <w:t>Overall, this analysis highlights major business opportunities:</w:t>
      </w:r>
    </w:p>
    <w:p w14:paraId="1DCC778F" w14:textId="63EAF6D2" w:rsidR="006A6CDB" w:rsidRDefault="00B52EA4" w:rsidP="00B52EA4">
      <w:pPr>
        <w:pStyle w:val="ListParagraph"/>
        <w:numPr>
          <w:ilvl w:val="0"/>
          <w:numId w:val="27"/>
        </w:numPr>
        <w:rPr>
          <w:noProof/>
        </w:rPr>
      </w:pPr>
      <w:r w:rsidRPr="00B52EA4">
        <w:rPr>
          <w:noProof/>
        </w:rPr>
        <w:t>Focus retention and up-sell strategies in the high-revenue states to maintain market dominance.</w:t>
      </w:r>
      <w:r w:rsidRPr="00B52EA4">
        <w:rPr>
          <w:noProof/>
        </w:rPr>
        <w:br/>
        <w:t>Develop targeted marketing, outreach, or logistical initiatives in low-revenue states to drive growth and tap into new customer bases.</w:t>
      </w:r>
    </w:p>
    <w:p w14:paraId="0F80D1F1" w14:textId="258524C4" w:rsidR="00BD02F7" w:rsidRDefault="00000000">
      <w:pPr>
        <w:pStyle w:val="Heading2"/>
      </w:pPr>
      <w:bookmarkStart w:id="16" w:name="_Toc208695135"/>
      <w:bookmarkStart w:id="17" w:name="_Toc208695178"/>
      <w:r>
        <w:t>7. Seasonal Sales Patterns</w:t>
      </w:r>
      <w:bookmarkEnd w:id="16"/>
      <w:bookmarkEnd w:id="17"/>
    </w:p>
    <w:p w14:paraId="5C02C7B1" w14:textId="73D49538" w:rsidR="00BD02F7" w:rsidRDefault="009C5C36">
      <w:r w:rsidRPr="009C5C36">
        <w:rPr>
          <w:b/>
          <w:bCs/>
        </w:rPr>
        <w:t>Objective:</w:t>
      </w:r>
      <w:r>
        <w:t xml:space="preserve"> Investigate and visualize any seasonal (quarterly) patterns or trends in sales data over the year.</w:t>
      </w:r>
    </w:p>
    <w:p w14:paraId="7CB098C3" w14:textId="77777777" w:rsidR="00B52EA4" w:rsidRDefault="00B52EA4" w:rsidP="009C5C36">
      <w:r w:rsidRPr="00B52EA4">
        <w:rPr>
          <w:b/>
          <w:bCs/>
        </w:rPr>
        <w:t>Explanation:</w:t>
      </w:r>
      <w:r w:rsidRPr="00B52EA4">
        <w:rPr>
          <w:b/>
          <w:bCs/>
        </w:rPr>
        <w:br/>
      </w:r>
      <w:r w:rsidRPr="00B52EA4">
        <w:t>The dashboard’s visualization of total revenue by quarter and year uncovers shifts in seasonal sales trends:</w:t>
      </w:r>
    </w:p>
    <w:p w14:paraId="56ADC571" w14:textId="77777777" w:rsidR="00B52EA4" w:rsidRDefault="00B52EA4" w:rsidP="001E5904">
      <w:pPr>
        <w:pStyle w:val="ListParagraph"/>
        <w:numPr>
          <w:ilvl w:val="0"/>
          <w:numId w:val="27"/>
        </w:numPr>
        <w:spacing w:line="240" w:lineRule="auto"/>
      </w:pPr>
      <w:r w:rsidRPr="00B52EA4">
        <w:t>2016: Recorded revenue was negligible, indicating a launch or ramp-up year.</w:t>
      </w:r>
    </w:p>
    <w:p w14:paraId="3D9A35FE" w14:textId="77777777" w:rsidR="00B52EA4" w:rsidRDefault="00B52EA4" w:rsidP="001E5904">
      <w:pPr>
        <w:pStyle w:val="ListParagraph"/>
        <w:numPr>
          <w:ilvl w:val="0"/>
          <w:numId w:val="27"/>
        </w:numPr>
        <w:spacing w:line="240" w:lineRule="auto"/>
      </w:pPr>
      <w:r>
        <w:t>2</w:t>
      </w:r>
      <w:r w:rsidRPr="00B52EA4">
        <w:t>017: From Q1 (0.9M) to Q4 (2.9M), there was a consistent increase that peaked in the last quarter. This suggests excellent year-end success, which is frequently linked to seasonal sales or well-timed promotions.</w:t>
      </w:r>
    </w:p>
    <w:p w14:paraId="4086AE95" w14:textId="1565B583" w:rsidR="00B52EA4" w:rsidRDefault="00B52EA4" w:rsidP="001E5904">
      <w:pPr>
        <w:pStyle w:val="ListParagraph"/>
        <w:numPr>
          <w:ilvl w:val="0"/>
          <w:numId w:val="27"/>
        </w:numPr>
        <w:spacing w:line="240" w:lineRule="auto"/>
      </w:pPr>
      <w:r w:rsidRPr="00B52EA4">
        <w:t>2018: The pattern shifted, with Q1 and Q2 showing exceptional performance (both 3.3M), followed by a decline in Q3 (2.0M) and almost no sales in Q4. This adjustment implies that the year's peak sales activity took place earlier, whether because of modifications to marketing tactics, outside circumstances, or customer behavior.</w:t>
      </w:r>
    </w:p>
    <w:p w14:paraId="5364EC3B" w14:textId="77777777" w:rsidR="002A27C7" w:rsidRDefault="002A27C7" w:rsidP="002A27C7">
      <w:pPr>
        <w:pStyle w:val="ListParagraph"/>
        <w:spacing w:line="240" w:lineRule="auto"/>
      </w:pPr>
    </w:p>
    <w:p w14:paraId="51C4764F" w14:textId="69DD1589" w:rsidR="00B52EA4" w:rsidRDefault="00F244A8" w:rsidP="00B52EA4">
      <w:r w:rsidRPr="00F244A8">
        <w:drawing>
          <wp:inline distT="0" distB="0" distL="0" distR="0" wp14:anchorId="61901EB4" wp14:editId="2C4981AA">
            <wp:extent cx="5867400" cy="1965959"/>
            <wp:effectExtent l="0" t="0" r="0" b="0"/>
            <wp:docPr id="156131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17835" name=""/>
                    <pic:cNvPicPr/>
                  </pic:nvPicPr>
                  <pic:blipFill>
                    <a:blip r:embed="rId14"/>
                    <a:stretch>
                      <a:fillRect/>
                    </a:stretch>
                  </pic:blipFill>
                  <pic:spPr>
                    <a:xfrm>
                      <a:off x="0" y="0"/>
                      <a:ext cx="5915418" cy="1982048"/>
                    </a:xfrm>
                    <a:prstGeom prst="rect">
                      <a:avLst/>
                    </a:prstGeom>
                  </pic:spPr>
                </pic:pic>
              </a:graphicData>
            </a:graphic>
          </wp:inline>
        </w:drawing>
      </w:r>
    </w:p>
    <w:p w14:paraId="0FC32CD1" w14:textId="2B22C30C" w:rsidR="002A27C7" w:rsidRDefault="00B52EA4" w:rsidP="002A27C7">
      <w:pPr>
        <w:spacing w:line="360" w:lineRule="auto"/>
      </w:pPr>
      <w:r w:rsidRPr="002A27C7">
        <w:t>Important observations:</w:t>
      </w:r>
      <w:r w:rsidRPr="002A27C7">
        <w:br/>
        <w:t>Early-year (Q1/Q2, 2018) sales peaks replaced late-year (Q4, 2017) sales peaks.</w:t>
      </w:r>
      <w:r w:rsidRPr="002A27C7">
        <w:br/>
        <w:t>Better forecasting, inventory management, and focused advertising campaigns to optimize sales during times of strong demand are made possible by an understanding of these cyclical variations.</w:t>
      </w:r>
      <w:r w:rsidRPr="002A27C7">
        <w:br/>
        <w:t>The findings encourage maximizing operational resources in accordance with established sales cycles in order to boost productivity and profitability.</w:t>
      </w:r>
    </w:p>
    <w:p w14:paraId="1C7889C2" w14:textId="7984B517" w:rsidR="00BD02F7" w:rsidRDefault="00000000">
      <w:pPr>
        <w:pStyle w:val="Heading2"/>
      </w:pPr>
      <w:bookmarkStart w:id="18" w:name="_Toc208695136"/>
      <w:bookmarkStart w:id="19" w:name="_Toc208695179"/>
      <w:r>
        <w:t>8. Revenue Analysis</w:t>
      </w:r>
      <w:bookmarkEnd w:id="18"/>
      <w:bookmarkEnd w:id="19"/>
    </w:p>
    <w:p w14:paraId="57499032" w14:textId="63AE799B" w:rsidR="00BD02F7" w:rsidRDefault="009C5C36">
      <w:r w:rsidRPr="009C5C36">
        <w:rPr>
          <w:b/>
          <w:bCs/>
        </w:rPr>
        <w:t>Objective:</w:t>
      </w:r>
      <w:r>
        <w:t xml:space="preserve"> Determine total revenue generated by </w:t>
      </w:r>
      <w:proofErr w:type="spellStart"/>
      <w:r>
        <w:t>ShopNest</w:t>
      </w:r>
      <w:proofErr w:type="spellEnd"/>
      <w:r>
        <w:t xml:space="preserve"> and how it changes over time (yearly). Represent trends and patterns.</w:t>
      </w:r>
    </w:p>
    <w:p w14:paraId="1FA072CC" w14:textId="3E0EC78F" w:rsidR="00E06506" w:rsidRDefault="00E06506">
      <w:r w:rsidRPr="009C5C36">
        <w:rPr>
          <w:b/>
          <w:bCs/>
        </w:rPr>
        <w:t>Explanation:</w:t>
      </w:r>
      <w:r>
        <w:br/>
        <w:t>Total revenue shown in the dashboard: approximately 16.01M across the dataset period.</w:t>
      </w:r>
    </w:p>
    <w:p w14:paraId="203A8718" w14:textId="77777777" w:rsidR="00E06506" w:rsidRDefault="00E06506" w:rsidP="00E06506">
      <w:pPr>
        <w:pStyle w:val="ListParagraph"/>
        <w:numPr>
          <w:ilvl w:val="0"/>
          <w:numId w:val="28"/>
        </w:numPr>
      </w:pPr>
      <w:r w:rsidRPr="00E06506">
        <w:t>2016: The business generated a modest revenue of 0.1M, indicating either its launch phase or a year with limited operations.</w:t>
      </w:r>
    </w:p>
    <w:p w14:paraId="633ABB0F" w14:textId="77777777" w:rsidR="00E06506" w:rsidRDefault="00E06506" w:rsidP="00E06506">
      <w:pPr>
        <w:pStyle w:val="ListParagraph"/>
        <w:numPr>
          <w:ilvl w:val="0"/>
          <w:numId w:val="28"/>
        </w:numPr>
      </w:pPr>
      <w:r w:rsidRPr="00E06506">
        <w:t>2017: Revenue soared to 7.2M, which might be attributed to more successful initiatives, improved client acquisition, or substantial corporate expansion.</w:t>
      </w:r>
    </w:p>
    <w:p w14:paraId="51A83056" w14:textId="77777777" w:rsidR="00E06506" w:rsidRDefault="00E06506" w:rsidP="00E06506">
      <w:pPr>
        <w:pStyle w:val="ListParagraph"/>
        <w:numPr>
          <w:ilvl w:val="0"/>
          <w:numId w:val="28"/>
        </w:numPr>
      </w:pPr>
      <w:r w:rsidRPr="00E06506">
        <w:t>2018: Revenue reached 8.7 million, a significant rise that supported ongoing corporate development and expansion.</w:t>
      </w:r>
    </w:p>
    <w:p w14:paraId="27E14508" w14:textId="77777777" w:rsidR="00E06506" w:rsidRDefault="00000000" w:rsidP="00E06506">
      <w:pPr>
        <w:pStyle w:val="ListParagraph"/>
        <w:numPr>
          <w:ilvl w:val="0"/>
          <w:numId w:val="28"/>
        </w:numPr>
      </w:pPr>
      <w:r>
        <w:t xml:space="preserve"> AOV is approximately 160.99 and overall review average is about 4.07, which indicates healthy basket values and generally positive customer feedback.</w:t>
      </w:r>
    </w:p>
    <w:p w14:paraId="59B0CC79" w14:textId="0C5E4751" w:rsidR="00E06506" w:rsidRDefault="00000000">
      <w:r>
        <w:t xml:space="preserve"> Recommendation: continue strategies that drove 2017-2018 growth while addressing fulfillment and rating issues to sustain growth.</w:t>
      </w:r>
      <w:r w:rsidR="006A5457">
        <w:t xml:space="preserve"> </w:t>
      </w:r>
    </w:p>
    <w:p w14:paraId="1C24E997" w14:textId="05CDF97F" w:rsidR="00F244A8" w:rsidRDefault="00F244A8">
      <w:r w:rsidRPr="00F244A8">
        <w:drawing>
          <wp:inline distT="0" distB="0" distL="0" distR="0" wp14:anchorId="49E935EF" wp14:editId="2AC431EC">
            <wp:extent cx="6217920" cy="1950720"/>
            <wp:effectExtent l="0" t="0" r="0" b="0"/>
            <wp:docPr id="170666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65047" name=""/>
                    <pic:cNvPicPr/>
                  </pic:nvPicPr>
                  <pic:blipFill>
                    <a:blip r:embed="rId15"/>
                    <a:stretch>
                      <a:fillRect/>
                    </a:stretch>
                  </pic:blipFill>
                  <pic:spPr>
                    <a:xfrm>
                      <a:off x="0" y="0"/>
                      <a:ext cx="6218462" cy="1950890"/>
                    </a:xfrm>
                    <a:prstGeom prst="rect">
                      <a:avLst/>
                    </a:prstGeom>
                  </pic:spPr>
                </pic:pic>
              </a:graphicData>
            </a:graphic>
          </wp:inline>
        </w:drawing>
      </w:r>
    </w:p>
    <w:p w14:paraId="5D25808F" w14:textId="695AB5C8" w:rsidR="00BD02F7" w:rsidRDefault="00E06506" w:rsidP="001E5904">
      <w:pPr>
        <w:spacing w:line="240" w:lineRule="auto"/>
      </w:pPr>
      <w:r w:rsidRPr="00E06506">
        <w:t>Trends &amp; Patterns: </w:t>
      </w:r>
      <w:r w:rsidRPr="00E06506">
        <w:br/>
        <w:t>The annual rising trend shows steady progress in increasing revenues and growing operations.</w:t>
      </w:r>
      <w:r w:rsidRPr="00E06506">
        <w:br/>
        <w:t>The biggest spike was from 2016 to 2017, indicating a scaling phase after debut.</w:t>
      </w:r>
      <w:r w:rsidRPr="00E06506">
        <w:br/>
        <w:t>The success of Shop Nest’s continuous operations, marketing, and perhaps product expansion is demonstrated by its continued growth into 2018</w:t>
      </w:r>
    </w:p>
    <w:p w14:paraId="02C1CFBC" w14:textId="18EE5D1A" w:rsidR="00BD02F7" w:rsidRPr="00DE2126" w:rsidRDefault="00F244A8" w:rsidP="00F244A8">
      <w:pPr>
        <w:pStyle w:val="Heading2"/>
        <w:rPr>
          <w:sz w:val="40"/>
          <w:szCs w:val="40"/>
        </w:rPr>
      </w:pPr>
      <w:bookmarkStart w:id="20" w:name="_Toc208695137"/>
      <w:bookmarkStart w:id="21" w:name="_Toc208695180"/>
      <w:r>
        <w:t xml:space="preserve">                                  </w:t>
      </w:r>
      <w:r w:rsidR="00000000" w:rsidRPr="00DE2126">
        <w:rPr>
          <w:sz w:val="40"/>
          <w:szCs w:val="40"/>
        </w:rPr>
        <w:t>Appendix: Key KPIs and Metrics</w:t>
      </w:r>
      <w:bookmarkEnd w:id="20"/>
      <w:bookmarkEnd w:id="21"/>
    </w:p>
    <w:p w14:paraId="52C80591" w14:textId="77777777" w:rsidR="00DE2126" w:rsidRPr="00DE2126" w:rsidRDefault="00DE2126" w:rsidP="00DE2126">
      <w:pPr>
        <w:pStyle w:val="ListParagraph"/>
        <w:numPr>
          <w:ilvl w:val="0"/>
          <w:numId w:val="29"/>
        </w:numPr>
        <w:rPr>
          <w:sz w:val="28"/>
          <w:szCs w:val="28"/>
        </w:rPr>
      </w:pPr>
      <w:r w:rsidRPr="00DE2126">
        <w:rPr>
          <w:b/>
          <w:bCs/>
          <w:sz w:val="28"/>
          <w:szCs w:val="28"/>
        </w:rPr>
        <w:t>Total Orders:</w:t>
      </w:r>
      <w:r w:rsidRPr="00DE2126">
        <w:rPr>
          <w:sz w:val="28"/>
          <w:szCs w:val="28"/>
        </w:rPr>
        <w:t xml:space="preserve"> 99,441 orders indicate a substantial sales volume processed by </w:t>
      </w:r>
      <w:proofErr w:type="spellStart"/>
      <w:r w:rsidRPr="00DE2126">
        <w:rPr>
          <w:sz w:val="28"/>
          <w:szCs w:val="28"/>
        </w:rPr>
        <w:t>ShopNest</w:t>
      </w:r>
      <w:proofErr w:type="spellEnd"/>
      <w:r w:rsidRPr="00DE2126">
        <w:rPr>
          <w:sz w:val="28"/>
          <w:szCs w:val="28"/>
        </w:rPr>
        <w:t>.</w:t>
      </w:r>
    </w:p>
    <w:p w14:paraId="7315198C" w14:textId="77777777" w:rsidR="00DE2126" w:rsidRPr="00DE2126" w:rsidRDefault="00DE2126" w:rsidP="00DE2126">
      <w:pPr>
        <w:pStyle w:val="ListParagraph"/>
        <w:numPr>
          <w:ilvl w:val="0"/>
          <w:numId w:val="29"/>
        </w:numPr>
        <w:rPr>
          <w:sz w:val="28"/>
          <w:szCs w:val="28"/>
        </w:rPr>
      </w:pPr>
      <w:r w:rsidRPr="00DE2126">
        <w:rPr>
          <w:b/>
          <w:bCs/>
          <w:sz w:val="28"/>
          <w:szCs w:val="28"/>
        </w:rPr>
        <w:t>Total Revenue:</w:t>
      </w:r>
      <w:r w:rsidRPr="00DE2126">
        <w:rPr>
          <w:sz w:val="28"/>
          <w:szCs w:val="28"/>
        </w:rPr>
        <w:t> Approximately 16 million reflects strong financial performance and effective revenue generation.</w:t>
      </w:r>
    </w:p>
    <w:p w14:paraId="5FD182C4" w14:textId="77777777" w:rsidR="00DE2126" w:rsidRDefault="00DE2126" w:rsidP="00DE2126">
      <w:pPr>
        <w:pStyle w:val="ListParagraph"/>
        <w:numPr>
          <w:ilvl w:val="0"/>
          <w:numId w:val="29"/>
        </w:numPr>
        <w:rPr>
          <w:sz w:val="28"/>
          <w:szCs w:val="28"/>
        </w:rPr>
      </w:pPr>
      <w:r w:rsidRPr="00DE2126">
        <w:rPr>
          <w:b/>
          <w:bCs/>
          <w:sz w:val="28"/>
          <w:szCs w:val="28"/>
        </w:rPr>
        <w:t>Average Order Value (AOV):</w:t>
      </w:r>
      <w:r w:rsidRPr="00DE2126">
        <w:rPr>
          <w:sz w:val="28"/>
          <w:szCs w:val="28"/>
        </w:rPr>
        <w:t> 160.99 signifies healthy customer spending per transaction.</w:t>
      </w:r>
    </w:p>
    <w:p w14:paraId="5623F0C0" w14:textId="380CD844" w:rsidR="00DE2126" w:rsidRPr="00DE2126" w:rsidRDefault="00DE2126" w:rsidP="00DE2126">
      <w:pPr>
        <w:pStyle w:val="ListParagraph"/>
        <w:numPr>
          <w:ilvl w:val="0"/>
          <w:numId w:val="29"/>
        </w:numPr>
        <w:rPr>
          <w:sz w:val="28"/>
          <w:szCs w:val="28"/>
        </w:rPr>
      </w:pPr>
      <w:r w:rsidRPr="00DE2126">
        <w:rPr>
          <w:b/>
          <w:bCs/>
          <w:sz w:val="28"/>
          <w:szCs w:val="28"/>
        </w:rPr>
        <w:t>Overall Customer Review:</w:t>
      </w:r>
      <w:r w:rsidRPr="00DE2126">
        <w:rPr>
          <w:sz w:val="28"/>
          <w:szCs w:val="28"/>
        </w:rPr>
        <w:t> 4.07/5 suggests generally positive customer satisfaction across products and services.</w:t>
      </w:r>
    </w:p>
    <w:p w14:paraId="1835D6D2" w14:textId="77777777" w:rsidR="00DE2126" w:rsidRPr="00DE2126" w:rsidRDefault="00DE2126" w:rsidP="00DE2126">
      <w:pPr>
        <w:pStyle w:val="ListParagraph"/>
        <w:numPr>
          <w:ilvl w:val="0"/>
          <w:numId w:val="29"/>
        </w:numPr>
        <w:rPr>
          <w:sz w:val="28"/>
          <w:szCs w:val="28"/>
        </w:rPr>
      </w:pPr>
      <w:r w:rsidRPr="00DE2126">
        <w:rPr>
          <w:b/>
          <w:bCs/>
          <w:sz w:val="28"/>
          <w:szCs w:val="28"/>
        </w:rPr>
        <w:t>Month-over-Month (MoM) Growth:</w:t>
      </w:r>
      <w:r w:rsidRPr="00DE2126">
        <w:rPr>
          <w:sz w:val="28"/>
          <w:szCs w:val="28"/>
        </w:rPr>
        <w:t> 4.17% growth surpasses the 4% target, showing steady business momentum.</w:t>
      </w:r>
    </w:p>
    <w:p w14:paraId="60153599" w14:textId="77777777" w:rsidR="00DE2126" w:rsidRPr="00DE2126" w:rsidRDefault="00DE2126" w:rsidP="00DE2126">
      <w:pPr>
        <w:pStyle w:val="ListParagraph"/>
        <w:numPr>
          <w:ilvl w:val="0"/>
          <w:numId w:val="29"/>
        </w:numPr>
        <w:rPr>
          <w:sz w:val="28"/>
          <w:szCs w:val="28"/>
        </w:rPr>
      </w:pPr>
      <w:r w:rsidRPr="00DE2126">
        <w:rPr>
          <w:b/>
          <w:bCs/>
          <w:sz w:val="28"/>
          <w:szCs w:val="28"/>
        </w:rPr>
        <w:t>KPI Target Achievement:</w:t>
      </w:r>
      <w:r w:rsidRPr="00DE2126">
        <w:rPr>
          <w:sz w:val="28"/>
          <w:szCs w:val="28"/>
        </w:rPr>
        <w:t> 8.70 million achieved against an initial goal of 1.5 million (479.98% over target), signaling exceptional operational performance.</w:t>
      </w:r>
    </w:p>
    <w:p w14:paraId="1E92E591" w14:textId="77777777" w:rsidR="00DE2126" w:rsidRPr="00DE2126" w:rsidRDefault="00DE2126" w:rsidP="00DE2126">
      <w:pPr>
        <w:pStyle w:val="ListParagraph"/>
        <w:numPr>
          <w:ilvl w:val="0"/>
          <w:numId w:val="29"/>
        </w:numPr>
        <w:rPr>
          <w:sz w:val="28"/>
          <w:szCs w:val="28"/>
        </w:rPr>
      </w:pPr>
      <w:r w:rsidRPr="00DE2126">
        <w:rPr>
          <w:b/>
          <w:bCs/>
          <w:sz w:val="28"/>
          <w:szCs w:val="28"/>
        </w:rPr>
        <w:t>Payment Methods:</w:t>
      </w:r>
      <w:r w:rsidRPr="00DE2126">
        <w:rPr>
          <w:sz w:val="28"/>
          <w:szCs w:val="28"/>
        </w:rPr>
        <w:br/>
        <w:t>Credit Card dominates with 78.34% of transactions and generates the highest revenue.</w:t>
      </w:r>
      <w:r w:rsidRPr="00DE2126">
        <w:rPr>
          <w:sz w:val="28"/>
          <w:szCs w:val="28"/>
        </w:rPr>
        <w:br/>
      </w:r>
      <w:proofErr w:type="spellStart"/>
      <w:r w:rsidRPr="00DE2126">
        <w:rPr>
          <w:sz w:val="28"/>
          <w:szCs w:val="28"/>
        </w:rPr>
        <w:t>Boleto</w:t>
      </w:r>
      <w:proofErr w:type="spellEnd"/>
      <w:r w:rsidRPr="00DE2126">
        <w:rPr>
          <w:sz w:val="28"/>
          <w:szCs w:val="28"/>
        </w:rPr>
        <w:t xml:space="preserve"> payment method follows at 17.92%, serving as an important alternative.</w:t>
      </w:r>
      <w:r w:rsidRPr="00DE2126">
        <w:rPr>
          <w:sz w:val="28"/>
          <w:szCs w:val="28"/>
        </w:rPr>
        <w:br/>
        <w:t>Voucher and Debit Card form a small minority of transactions.</w:t>
      </w:r>
    </w:p>
    <w:p w14:paraId="3F8279B7" w14:textId="77777777" w:rsidR="00DE2126" w:rsidRPr="00DE2126" w:rsidRDefault="00DE2126" w:rsidP="00DE2126">
      <w:pPr>
        <w:pStyle w:val="ListParagraph"/>
        <w:numPr>
          <w:ilvl w:val="0"/>
          <w:numId w:val="29"/>
        </w:numPr>
        <w:rPr>
          <w:sz w:val="28"/>
          <w:szCs w:val="28"/>
        </w:rPr>
      </w:pPr>
      <w:r w:rsidRPr="00DE2126">
        <w:rPr>
          <w:b/>
          <w:bCs/>
          <w:sz w:val="28"/>
          <w:szCs w:val="28"/>
        </w:rPr>
        <w:t>Delivery Performance:</w:t>
      </w:r>
      <w:r w:rsidRPr="00DE2126">
        <w:rPr>
          <w:sz w:val="28"/>
          <w:szCs w:val="28"/>
        </w:rPr>
        <w:br/>
        <w:t>On-time deliveries peak mid-year with delays most prominent in March, April, and November.</w:t>
      </w:r>
      <w:r w:rsidRPr="00DE2126">
        <w:rPr>
          <w:sz w:val="28"/>
          <w:szCs w:val="28"/>
        </w:rPr>
        <w:br/>
        <w:t>Small box and envelope shipments contribute disproportionately to delivery delays.</w:t>
      </w:r>
    </w:p>
    <w:p w14:paraId="493E6A4C" w14:textId="77777777" w:rsidR="00DE2126" w:rsidRPr="00DE2126" w:rsidRDefault="00DE2126" w:rsidP="00DE2126">
      <w:pPr>
        <w:pStyle w:val="ListParagraph"/>
        <w:numPr>
          <w:ilvl w:val="0"/>
          <w:numId w:val="29"/>
        </w:numPr>
        <w:rPr>
          <w:sz w:val="28"/>
          <w:szCs w:val="28"/>
        </w:rPr>
      </w:pPr>
      <w:r w:rsidRPr="00DE2126">
        <w:rPr>
          <w:b/>
          <w:bCs/>
          <w:sz w:val="28"/>
          <w:szCs w:val="28"/>
        </w:rPr>
        <w:t>Product Performance:</w:t>
      </w:r>
      <w:r w:rsidRPr="00DE2126">
        <w:rPr>
          <w:sz w:val="28"/>
          <w:szCs w:val="28"/>
        </w:rPr>
        <w:br/>
        <w:t>Top sales categories include Health &amp; Beauty, Watches &amp; Gifts, and Household items.</w:t>
      </w:r>
      <w:r w:rsidRPr="00DE2126">
        <w:rPr>
          <w:sz w:val="28"/>
          <w:szCs w:val="28"/>
        </w:rPr>
        <w:br/>
        <w:t>Highest customer ratings for entertainment and clothing products; lowest ratings in Security, Office Furniture, and selected home categories.</w:t>
      </w:r>
    </w:p>
    <w:p w14:paraId="1C29F882" w14:textId="77777777" w:rsidR="00DE2126" w:rsidRPr="00DE2126" w:rsidRDefault="00DE2126" w:rsidP="00DE2126">
      <w:pPr>
        <w:pStyle w:val="ListParagraph"/>
        <w:numPr>
          <w:ilvl w:val="0"/>
          <w:numId w:val="29"/>
        </w:numPr>
        <w:rPr>
          <w:sz w:val="28"/>
          <w:szCs w:val="28"/>
        </w:rPr>
      </w:pPr>
      <w:r w:rsidRPr="00DE2126">
        <w:rPr>
          <w:b/>
          <w:bCs/>
          <w:sz w:val="28"/>
          <w:szCs w:val="28"/>
        </w:rPr>
        <w:t>Regional Sales:</w:t>
      </w:r>
      <w:r w:rsidRPr="00DE2126">
        <w:rPr>
          <w:sz w:val="28"/>
          <w:szCs w:val="28"/>
        </w:rPr>
        <w:br/>
        <w:t>Sales are highly focused in states like São Paulo and Rio de Janeiro with much lower revenues in northern and smaller states, highlighting expansion potential.</w:t>
      </w:r>
    </w:p>
    <w:p w14:paraId="2365593E" w14:textId="38BBEAC2" w:rsidR="00DE2126" w:rsidRPr="00DE2126" w:rsidRDefault="00DE2126" w:rsidP="00DE2126">
      <w:pPr>
        <w:pStyle w:val="ListParagraph"/>
        <w:numPr>
          <w:ilvl w:val="0"/>
          <w:numId w:val="29"/>
        </w:numPr>
        <w:rPr>
          <w:sz w:val="28"/>
          <w:szCs w:val="28"/>
        </w:rPr>
      </w:pPr>
      <w:r w:rsidRPr="00DE2126">
        <w:rPr>
          <w:b/>
          <w:bCs/>
          <w:sz w:val="28"/>
          <w:szCs w:val="28"/>
        </w:rPr>
        <w:t>Seasonal Sales Patterns:</w:t>
      </w:r>
      <w:r w:rsidRPr="00DE2126">
        <w:rPr>
          <w:sz w:val="28"/>
          <w:szCs w:val="28"/>
        </w:rPr>
        <w:br/>
        <w:t>Shift from Q4 sales peak in 2017 to Q1/Q2 peaks in 2018 impacts inventory and marketing strategy planning.</w:t>
      </w:r>
    </w:p>
    <w:sectPr w:rsidR="00DE2126" w:rsidRPr="00DE2126" w:rsidSect="001E5904">
      <w:footerReference w:type="default" r:id="rId16"/>
      <w:pgSz w:w="12240" w:h="15840"/>
      <w:pgMar w:top="0" w:right="1170" w:bottom="0" w:left="108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20E91" w14:textId="77777777" w:rsidR="006F3C1A" w:rsidRDefault="006F3C1A" w:rsidP="001E5904">
      <w:pPr>
        <w:spacing w:after="0" w:line="240" w:lineRule="auto"/>
      </w:pPr>
      <w:r>
        <w:separator/>
      </w:r>
    </w:p>
  </w:endnote>
  <w:endnote w:type="continuationSeparator" w:id="0">
    <w:p w14:paraId="2F564E2D" w14:textId="77777777" w:rsidR="006F3C1A" w:rsidRDefault="006F3C1A" w:rsidP="001E5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009847"/>
      <w:docPartObj>
        <w:docPartGallery w:val="Page Numbers (Bottom of Page)"/>
        <w:docPartUnique/>
      </w:docPartObj>
    </w:sdtPr>
    <w:sdtEndPr>
      <w:rPr>
        <w:noProof/>
      </w:rPr>
    </w:sdtEndPr>
    <w:sdtContent>
      <w:p w14:paraId="3BAFC6AD" w14:textId="3D63443D" w:rsidR="001E5904" w:rsidRDefault="001E59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44561B" w14:textId="77777777" w:rsidR="001E5904" w:rsidRDefault="001E5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356D2" w14:textId="77777777" w:rsidR="006F3C1A" w:rsidRDefault="006F3C1A" w:rsidP="001E5904">
      <w:pPr>
        <w:spacing w:after="0" w:line="240" w:lineRule="auto"/>
      </w:pPr>
      <w:r>
        <w:separator/>
      </w:r>
    </w:p>
  </w:footnote>
  <w:footnote w:type="continuationSeparator" w:id="0">
    <w:p w14:paraId="0B539749" w14:textId="77777777" w:rsidR="006F3C1A" w:rsidRDefault="006F3C1A" w:rsidP="001E59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9E42FB"/>
    <w:multiLevelType w:val="hybridMultilevel"/>
    <w:tmpl w:val="96862754"/>
    <w:lvl w:ilvl="0" w:tplc="4009000B">
      <w:start w:val="1"/>
      <w:numFmt w:val="bullet"/>
      <w:lvlText w:val=""/>
      <w:lvlJc w:val="left"/>
      <w:pPr>
        <w:ind w:left="767" w:hanging="360"/>
      </w:pPr>
      <w:rPr>
        <w:rFonts w:ascii="Wingdings" w:hAnsi="Wingdings" w:hint="default"/>
      </w:rPr>
    </w:lvl>
    <w:lvl w:ilvl="1" w:tplc="40090003" w:tentative="1">
      <w:start w:val="1"/>
      <w:numFmt w:val="bullet"/>
      <w:lvlText w:val="o"/>
      <w:lvlJc w:val="left"/>
      <w:pPr>
        <w:ind w:left="1487" w:hanging="360"/>
      </w:pPr>
      <w:rPr>
        <w:rFonts w:ascii="Courier New" w:hAnsi="Courier New" w:cs="Courier New" w:hint="default"/>
      </w:rPr>
    </w:lvl>
    <w:lvl w:ilvl="2" w:tplc="40090005" w:tentative="1">
      <w:start w:val="1"/>
      <w:numFmt w:val="bullet"/>
      <w:lvlText w:val=""/>
      <w:lvlJc w:val="left"/>
      <w:pPr>
        <w:ind w:left="2207" w:hanging="360"/>
      </w:pPr>
      <w:rPr>
        <w:rFonts w:ascii="Wingdings" w:hAnsi="Wingdings" w:hint="default"/>
      </w:rPr>
    </w:lvl>
    <w:lvl w:ilvl="3" w:tplc="40090001" w:tentative="1">
      <w:start w:val="1"/>
      <w:numFmt w:val="bullet"/>
      <w:lvlText w:val=""/>
      <w:lvlJc w:val="left"/>
      <w:pPr>
        <w:ind w:left="2927" w:hanging="360"/>
      </w:pPr>
      <w:rPr>
        <w:rFonts w:ascii="Symbol" w:hAnsi="Symbol" w:hint="default"/>
      </w:rPr>
    </w:lvl>
    <w:lvl w:ilvl="4" w:tplc="40090003" w:tentative="1">
      <w:start w:val="1"/>
      <w:numFmt w:val="bullet"/>
      <w:lvlText w:val="o"/>
      <w:lvlJc w:val="left"/>
      <w:pPr>
        <w:ind w:left="3647" w:hanging="360"/>
      </w:pPr>
      <w:rPr>
        <w:rFonts w:ascii="Courier New" w:hAnsi="Courier New" w:cs="Courier New" w:hint="default"/>
      </w:rPr>
    </w:lvl>
    <w:lvl w:ilvl="5" w:tplc="40090005" w:tentative="1">
      <w:start w:val="1"/>
      <w:numFmt w:val="bullet"/>
      <w:lvlText w:val=""/>
      <w:lvlJc w:val="left"/>
      <w:pPr>
        <w:ind w:left="4367" w:hanging="360"/>
      </w:pPr>
      <w:rPr>
        <w:rFonts w:ascii="Wingdings" w:hAnsi="Wingdings" w:hint="default"/>
      </w:rPr>
    </w:lvl>
    <w:lvl w:ilvl="6" w:tplc="40090001" w:tentative="1">
      <w:start w:val="1"/>
      <w:numFmt w:val="bullet"/>
      <w:lvlText w:val=""/>
      <w:lvlJc w:val="left"/>
      <w:pPr>
        <w:ind w:left="5087" w:hanging="360"/>
      </w:pPr>
      <w:rPr>
        <w:rFonts w:ascii="Symbol" w:hAnsi="Symbol" w:hint="default"/>
      </w:rPr>
    </w:lvl>
    <w:lvl w:ilvl="7" w:tplc="40090003" w:tentative="1">
      <w:start w:val="1"/>
      <w:numFmt w:val="bullet"/>
      <w:lvlText w:val="o"/>
      <w:lvlJc w:val="left"/>
      <w:pPr>
        <w:ind w:left="5807" w:hanging="360"/>
      </w:pPr>
      <w:rPr>
        <w:rFonts w:ascii="Courier New" w:hAnsi="Courier New" w:cs="Courier New" w:hint="default"/>
      </w:rPr>
    </w:lvl>
    <w:lvl w:ilvl="8" w:tplc="40090005" w:tentative="1">
      <w:start w:val="1"/>
      <w:numFmt w:val="bullet"/>
      <w:lvlText w:val=""/>
      <w:lvlJc w:val="left"/>
      <w:pPr>
        <w:ind w:left="6527" w:hanging="360"/>
      </w:pPr>
      <w:rPr>
        <w:rFonts w:ascii="Wingdings" w:hAnsi="Wingdings" w:hint="default"/>
      </w:rPr>
    </w:lvl>
  </w:abstractNum>
  <w:abstractNum w:abstractNumId="10" w15:restartNumberingAfterBreak="0">
    <w:nsid w:val="0D8A1775"/>
    <w:multiLevelType w:val="hybridMultilevel"/>
    <w:tmpl w:val="22E86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FB25EF"/>
    <w:multiLevelType w:val="hybridMultilevel"/>
    <w:tmpl w:val="EF7AA318"/>
    <w:lvl w:ilvl="0" w:tplc="40090001">
      <w:start w:val="1"/>
      <w:numFmt w:val="bullet"/>
      <w:lvlText w:val=""/>
      <w:lvlJc w:val="left"/>
      <w:pPr>
        <w:ind w:left="1487" w:hanging="360"/>
      </w:pPr>
      <w:rPr>
        <w:rFonts w:ascii="Symbol" w:hAnsi="Symbol" w:hint="default"/>
      </w:rPr>
    </w:lvl>
    <w:lvl w:ilvl="1" w:tplc="40090003" w:tentative="1">
      <w:start w:val="1"/>
      <w:numFmt w:val="bullet"/>
      <w:lvlText w:val="o"/>
      <w:lvlJc w:val="left"/>
      <w:pPr>
        <w:ind w:left="2207" w:hanging="360"/>
      </w:pPr>
      <w:rPr>
        <w:rFonts w:ascii="Courier New" w:hAnsi="Courier New" w:cs="Courier New" w:hint="default"/>
      </w:rPr>
    </w:lvl>
    <w:lvl w:ilvl="2" w:tplc="40090005" w:tentative="1">
      <w:start w:val="1"/>
      <w:numFmt w:val="bullet"/>
      <w:lvlText w:val=""/>
      <w:lvlJc w:val="left"/>
      <w:pPr>
        <w:ind w:left="2927" w:hanging="360"/>
      </w:pPr>
      <w:rPr>
        <w:rFonts w:ascii="Wingdings" w:hAnsi="Wingdings" w:hint="default"/>
      </w:rPr>
    </w:lvl>
    <w:lvl w:ilvl="3" w:tplc="40090001" w:tentative="1">
      <w:start w:val="1"/>
      <w:numFmt w:val="bullet"/>
      <w:lvlText w:val=""/>
      <w:lvlJc w:val="left"/>
      <w:pPr>
        <w:ind w:left="3647" w:hanging="360"/>
      </w:pPr>
      <w:rPr>
        <w:rFonts w:ascii="Symbol" w:hAnsi="Symbol" w:hint="default"/>
      </w:rPr>
    </w:lvl>
    <w:lvl w:ilvl="4" w:tplc="40090003" w:tentative="1">
      <w:start w:val="1"/>
      <w:numFmt w:val="bullet"/>
      <w:lvlText w:val="o"/>
      <w:lvlJc w:val="left"/>
      <w:pPr>
        <w:ind w:left="4367" w:hanging="360"/>
      </w:pPr>
      <w:rPr>
        <w:rFonts w:ascii="Courier New" w:hAnsi="Courier New" w:cs="Courier New" w:hint="default"/>
      </w:rPr>
    </w:lvl>
    <w:lvl w:ilvl="5" w:tplc="40090005" w:tentative="1">
      <w:start w:val="1"/>
      <w:numFmt w:val="bullet"/>
      <w:lvlText w:val=""/>
      <w:lvlJc w:val="left"/>
      <w:pPr>
        <w:ind w:left="5087" w:hanging="360"/>
      </w:pPr>
      <w:rPr>
        <w:rFonts w:ascii="Wingdings" w:hAnsi="Wingdings" w:hint="default"/>
      </w:rPr>
    </w:lvl>
    <w:lvl w:ilvl="6" w:tplc="40090001" w:tentative="1">
      <w:start w:val="1"/>
      <w:numFmt w:val="bullet"/>
      <w:lvlText w:val=""/>
      <w:lvlJc w:val="left"/>
      <w:pPr>
        <w:ind w:left="5807" w:hanging="360"/>
      </w:pPr>
      <w:rPr>
        <w:rFonts w:ascii="Symbol" w:hAnsi="Symbol" w:hint="default"/>
      </w:rPr>
    </w:lvl>
    <w:lvl w:ilvl="7" w:tplc="40090003" w:tentative="1">
      <w:start w:val="1"/>
      <w:numFmt w:val="bullet"/>
      <w:lvlText w:val="o"/>
      <w:lvlJc w:val="left"/>
      <w:pPr>
        <w:ind w:left="6527" w:hanging="360"/>
      </w:pPr>
      <w:rPr>
        <w:rFonts w:ascii="Courier New" w:hAnsi="Courier New" w:cs="Courier New" w:hint="default"/>
      </w:rPr>
    </w:lvl>
    <w:lvl w:ilvl="8" w:tplc="40090005" w:tentative="1">
      <w:start w:val="1"/>
      <w:numFmt w:val="bullet"/>
      <w:lvlText w:val=""/>
      <w:lvlJc w:val="left"/>
      <w:pPr>
        <w:ind w:left="7247" w:hanging="360"/>
      </w:pPr>
      <w:rPr>
        <w:rFonts w:ascii="Wingdings" w:hAnsi="Wingdings" w:hint="default"/>
      </w:rPr>
    </w:lvl>
  </w:abstractNum>
  <w:abstractNum w:abstractNumId="12" w15:restartNumberingAfterBreak="0">
    <w:nsid w:val="34CE7271"/>
    <w:multiLevelType w:val="multilevel"/>
    <w:tmpl w:val="50EE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CD7BBD"/>
    <w:multiLevelType w:val="hybridMultilevel"/>
    <w:tmpl w:val="30241D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C071AF2"/>
    <w:multiLevelType w:val="hybridMultilevel"/>
    <w:tmpl w:val="FBFCB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72361E"/>
    <w:multiLevelType w:val="hybridMultilevel"/>
    <w:tmpl w:val="CA2EF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D03212D"/>
    <w:multiLevelType w:val="hybridMultilevel"/>
    <w:tmpl w:val="C2A0F604"/>
    <w:lvl w:ilvl="0" w:tplc="40090001">
      <w:start w:val="1"/>
      <w:numFmt w:val="bullet"/>
      <w:lvlText w:val=""/>
      <w:lvlJc w:val="left"/>
      <w:pPr>
        <w:ind w:left="767" w:hanging="360"/>
      </w:pPr>
      <w:rPr>
        <w:rFonts w:ascii="Symbol" w:hAnsi="Symbol" w:hint="default"/>
      </w:rPr>
    </w:lvl>
    <w:lvl w:ilvl="1" w:tplc="40090003" w:tentative="1">
      <w:start w:val="1"/>
      <w:numFmt w:val="bullet"/>
      <w:lvlText w:val="o"/>
      <w:lvlJc w:val="left"/>
      <w:pPr>
        <w:ind w:left="1487" w:hanging="360"/>
      </w:pPr>
      <w:rPr>
        <w:rFonts w:ascii="Courier New" w:hAnsi="Courier New" w:cs="Courier New" w:hint="default"/>
      </w:rPr>
    </w:lvl>
    <w:lvl w:ilvl="2" w:tplc="40090005" w:tentative="1">
      <w:start w:val="1"/>
      <w:numFmt w:val="bullet"/>
      <w:lvlText w:val=""/>
      <w:lvlJc w:val="left"/>
      <w:pPr>
        <w:ind w:left="2207" w:hanging="360"/>
      </w:pPr>
      <w:rPr>
        <w:rFonts w:ascii="Wingdings" w:hAnsi="Wingdings" w:hint="default"/>
      </w:rPr>
    </w:lvl>
    <w:lvl w:ilvl="3" w:tplc="40090001" w:tentative="1">
      <w:start w:val="1"/>
      <w:numFmt w:val="bullet"/>
      <w:lvlText w:val=""/>
      <w:lvlJc w:val="left"/>
      <w:pPr>
        <w:ind w:left="2927" w:hanging="360"/>
      </w:pPr>
      <w:rPr>
        <w:rFonts w:ascii="Symbol" w:hAnsi="Symbol" w:hint="default"/>
      </w:rPr>
    </w:lvl>
    <w:lvl w:ilvl="4" w:tplc="40090003" w:tentative="1">
      <w:start w:val="1"/>
      <w:numFmt w:val="bullet"/>
      <w:lvlText w:val="o"/>
      <w:lvlJc w:val="left"/>
      <w:pPr>
        <w:ind w:left="3647" w:hanging="360"/>
      </w:pPr>
      <w:rPr>
        <w:rFonts w:ascii="Courier New" w:hAnsi="Courier New" w:cs="Courier New" w:hint="default"/>
      </w:rPr>
    </w:lvl>
    <w:lvl w:ilvl="5" w:tplc="40090005" w:tentative="1">
      <w:start w:val="1"/>
      <w:numFmt w:val="bullet"/>
      <w:lvlText w:val=""/>
      <w:lvlJc w:val="left"/>
      <w:pPr>
        <w:ind w:left="4367" w:hanging="360"/>
      </w:pPr>
      <w:rPr>
        <w:rFonts w:ascii="Wingdings" w:hAnsi="Wingdings" w:hint="default"/>
      </w:rPr>
    </w:lvl>
    <w:lvl w:ilvl="6" w:tplc="40090001" w:tentative="1">
      <w:start w:val="1"/>
      <w:numFmt w:val="bullet"/>
      <w:lvlText w:val=""/>
      <w:lvlJc w:val="left"/>
      <w:pPr>
        <w:ind w:left="5087" w:hanging="360"/>
      </w:pPr>
      <w:rPr>
        <w:rFonts w:ascii="Symbol" w:hAnsi="Symbol" w:hint="default"/>
      </w:rPr>
    </w:lvl>
    <w:lvl w:ilvl="7" w:tplc="40090003" w:tentative="1">
      <w:start w:val="1"/>
      <w:numFmt w:val="bullet"/>
      <w:lvlText w:val="o"/>
      <w:lvlJc w:val="left"/>
      <w:pPr>
        <w:ind w:left="5807" w:hanging="360"/>
      </w:pPr>
      <w:rPr>
        <w:rFonts w:ascii="Courier New" w:hAnsi="Courier New" w:cs="Courier New" w:hint="default"/>
      </w:rPr>
    </w:lvl>
    <w:lvl w:ilvl="8" w:tplc="40090005" w:tentative="1">
      <w:start w:val="1"/>
      <w:numFmt w:val="bullet"/>
      <w:lvlText w:val=""/>
      <w:lvlJc w:val="left"/>
      <w:pPr>
        <w:ind w:left="6527" w:hanging="360"/>
      </w:pPr>
      <w:rPr>
        <w:rFonts w:ascii="Wingdings" w:hAnsi="Wingdings" w:hint="default"/>
      </w:rPr>
    </w:lvl>
  </w:abstractNum>
  <w:abstractNum w:abstractNumId="17" w15:restartNumberingAfterBreak="0">
    <w:nsid w:val="4D9C14CB"/>
    <w:multiLevelType w:val="multilevel"/>
    <w:tmpl w:val="C8864BD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B008DF"/>
    <w:multiLevelType w:val="multilevel"/>
    <w:tmpl w:val="50EE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7E2B87"/>
    <w:multiLevelType w:val="multilevel"/>
    <w:tmpl w:val="C8864BD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892967"/>
    <w:multiLevelType w:val="hybridMultilevel"/>
    <w:tmpl w:val="FAD6A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267785A"/>
    <w:multiLevelType w:val="hybridMultilevel"/>
    <w:tmpl w:val="96EA00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3965F06"/>
    <w:multiLevelType w:val="hybridMultilevel"/>
    <w:tmpl w:val="8256A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2145C3"/>
    <w:multiLevelType w:val="multilevel"/>
    <w:tmpl w:val="50EE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1F2F3F"/>
    <w:multiLevelType w:val="hybridMultilevel"/>
    <w:tmpl w:val="1F9E5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2047056"/>
    <w:multiLevelType w:val="multilevel"/>
    <w:tmpl w:val="50EE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246671A"/>
    <w:multiLevelType w:val="hybridMultilevel"/>
    <w:tmpl w:val="42ECD4F2"/>
    <w:lvl w:ilvl="0" w:tplc="40090001">
      <w:start w:val="1"/>
      <w:numFmt w:val="bullet"/>
      <w:lvlText w:val=""/>
      <w:lvlJc w:val="left"/>
      <w:pPr>
        <w:ind w:left="1487" w:hanging="360"/>
      </w:pPr>
      <w:rPr>
        <w:rFonts w:ascii="Symbol" w:hAnsi="Symbol" w:hint="default"/>
      </w:rPr>
    </w:lvl>
    <w:lvl w:ilvl="1" w:tplc="40090003" w:tentative="1">
      <w:start w:val="1"/>
      <w:numFmt w:val="bullet"/>
      <w:lvlText w:val="o"/>
      <w:lvlJc w:val="left"/>
      <w:pPr>
        <w:ind w:left="2207" w:hanging="360"/>
      </w:pPr>
      <w:rPr>
        <w:rFonts w:ascii="Courier New" w:hAnsi="Courier New" w:cs="Courier New" w:hint="default"/>
      </w:rPr>
    </w:lvl>
    <w:lvl w:ilvl="2" w:tplc="40090005" w:tentative="1">
      <w:start w:val="1"/>
      <w:numFmt w:val="bullet"/>
      <w:lvlText w:val=""/>
      <w:lvlJc w:val="left"/>
      <w:pPr>
        <w:ind w:left="2927" w:hanging="360"/>
      </w:pPr>
      <w:rPr>
        <w:rFonts w:ascii="Wingdings" w:hAnsi="Wingdings" w:hint="default"/>
      </w:rPr>
    </w:lvl>
    <w:lvl w:ilvl="3" w:tplc="40090001" w:tentative="1">
      <w:start w:val="1"/>
      <w:numFmt w:val="bullet"/>
      <w:lvlText w:val=""/>
      <w:lvlJc w:val="left"/>
      <w:pPr>
        <w:ind w:left="3647" w:hanging="360"/>
      </w:pPr>
      <w:rPr>
        <w:rFonts w:ascii="Symbol" w:hAnsi="Symbol" w:hint="default"/>
      </w:rPr>
    </w:lvl>
    <w:lvl w:ilvl="4" w:tplc="40090003" w:tentative="1">
      <w:start w:val="1"/>
      <w:numFmt w:val="bullet"/>
      <w:lvlText w:val="o"/>
      <w:lvlJc w:val="left"/>
      <w:pPr>
        <w:ind w:left="4367" w:hanging="360"/>
      </w:pPr>
      <w:rPr>
        <w:rFonts w:ascii="Courier New" w:hAnsi="Courier New" w:cs="Courier New" w:hint="default"/>
      </w:rPr>
    </w:lvl>
    <w:lvl w:ilvl="5" w:tplc="40090005" w:tentative="1">
      <w:start w:val="1"/>
      <w:numFmt w:val="bullet"/>
      <w:lvlText w:val=""/>
      <w:lvlJc w:val="left"/>
      <w:pPr>
        <w:ind w:left="5087" w:hanging="360"/>
      </w:pPr>
      <w:rPr>
        <w:rFonts w:ascii="Wingdings" w:hAnsi="Wingdings" w:hint="default"/>
      </w:rPr>
    </w:lvl>
    <w:lvl w:ilvl="6" w:tplc="40090001" w:tentative="1">
      <w:start w:val="1"/>
      <w:numFmt w:val="bullet"/>
      <w:lvlText w:val=""/>
      <w:lvlJc w:val="left"/>
      <w:pPr>
        <w:ind w:left="5807" w:hanging="360"/>
      </w:pPr>
      <w:rPr>
        <w:rFonts w:ascii="Symbol" w:hAnsi="Symbol" w:hint="default"/>
      </w:rPr>
    </w:lvl>
    <w:lvl w:ilvl="7" w:tplc="40090003" w:tentative="1">
      <w:start w:val="1"/>
      <w:numFmt w:val="bullet"/>
      <w:lvlText w:val="o"/>
      <w:lvlJc w:val="left"/>
      <w:pPr>
        <w:ind w:left="6527" w:hanging="360"/>
      </w:pPr>
      <w:rPr>
        <w:rFonts w:ascii="Courier New" w:hAnsi="Courier New" w:cs="Courier New" w:hint="default"/>
      </w:rPr>
    </w:lvl>
    <w:lvl w:ilvl="8" w:tplc="40090005" w:tentative="1">
      <w:start w:val="1"/>
      <w:numFmt w:val="bullet"/>
      <w:lvlText w:val=""/>
      <w:lvlJc w:val="left"/>
      <w:pPr>
        <w:ind w:left="7247" w:hanging="360"/>
      </w:pPr>
      <w:rPr>
        <w:rFonts w:ascii="Wingdings" w:hAnsi="Wingdings" w:hint="default"/>
      </w:rPr>
    </w:lvl>
  </w:abstractNum>
  <w:abstractNum w:abstractNumId="27" w15:restartNumberingAfterBreak="0">
    <w:nsid w:val="6E9E04DA"/>
    <w:multiLevelType w:val="hybridMultilevel"/>
    <w:tmpl w:val="8D94C912"/>
    <w:lvl w:ilvl="0" w:tplc="78A4ABE2">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42E4F89"/>
    <w:multiLevelType w:val="hybridMultilevel"/>
    <w:tmpl w:val="22C67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2571358">
    <w:abstractNumId w:val="8"/>
  </w:num>
  <w:num w:numId="2" w16cid:durableId="103159107">
    <w:abstractNumId w:val="6"/>
  </w:num>
  <w:num w:numId="3" w16cid:durableId="1230728349">
    <w:abstractNumId w:val="5"/>
  </w:num>
  <w:num w:numId="4" w16cid:durableId="188027732">
    <w:abstractNumId w:val="4"/>
  </w:num>
  <w:num w:numId="5" w16cid:durableId="1576476343">
    <w:abstractNumId w:val="7"/>
  </w:num>
  <w:num w:numId="6" w16cid:durableId="179778702">
    <w:abstractNumId w:val="3"/>
  </w:num>
  <w:num w:numId="7" w16cid:durableId="546070947">
    <w:abstractNumId w:val="2"/>
  </w:num>
  <w:num w:numId="8" w16cid:durableId="1630671284">
    <w:abstractNumId w:val="1"/>
  </w:num>
  <w:num w:numId="9" w16cid:durableId="764544189">
    <w:abstractNumId w:val="0"/>
  </w:num>
  <w:num w:numId="10" w16cid:durableId="245189839">
    <w:abstractNumId w:val="26"/>
  </w:num>
  <w:num w:numId="11" w16cid:durableId="869301760">
    <w:abstractNumId w:val="11"/>
  </w:num>
  <w:num w:numId="12" w16cid:durableId="644551599">
    <w:abstractNumId w:val="21"/>
  </w:num>
  <w:num w:numId="13" w16cid:durableId="1095127721">
    <w:abstractNumId w:val="12"/>
  </w:num>
  <w:num w:numId="14" w16cid:durableId="1417480061">
    <w:abstractNumId w:val="25"/>
  </w:num>
  <w:num w:numId="15" w16cid:durableId="614214033">
    <w:abstractNumId w:val="23"/>
  </w:num>
  <w:num w:numId="16" w16cid:durableId="119961579">
    <w:abstractNumId w:val="18"/>
  </w:num>
  <w:num w:numId="17" w16cid:durableId="352535998">
    <w:abstractNumId w:val="19"/>
  </w:num>
  <w:num w:numId="18" w16cid:durableId="413014722">
    <w:abstractNumId w:val="17"/>
  </w:num>
  <w:num w:numId="19" w16cid:durableId="487288267">
    <w:abstractNumId w:val="20"/>
  </w:num>
  <w:num w:numId="20" w16cid:durableId="2018190228">
    <w:abstractNumId w:val="9"/>
  </w:num>
  <w:num w:numId="21" w16cid:durableId="1390684784">
    <w:abstractNumId w:val="16"/>
  </w:num>
  <w:num w:numId="22" w16cid:durableId="1670983524">
    <w:abstractNumId w:val="15"/>
  </w:num>
  <w:num w:numId="23" w16cid:durableId="1711373615">
    <w:abstractNumId w:val="27"/>
  </w:num>
  <w:num w:numId="24" w16cid:durableId="2082943697">
    <w:abstractNumId w:val="13"/>
  </w:num>
  <w:num w:numId="25" w16cid:durableId="1947300476">
    <w:abstractNumId w:val="22"/>
  </w:num>
  <w:num w:numId="26" w16cid:durableId="1094282141">
    <w:abstractNumId w:val="14"/>
  </w:num>
  <w:num w:numId="27" w16cid:durableId="2065643108">
    <w:abstractNumId w:val="24"/>
  </w:num>
  <w:num w:numId="28" w16cid:durableId="152114227">
    <w:abstractNumId w:val="10"/>
  </w:num>
  <w:num w:numId="29" w16cid:durableId="150235126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7CC"/>
    <w:rsid w:val="000A6A48"/>
    <w:rsid w:val="000F472B"/>
    <w:rsid w:val="00134F9A"/>
    <w:rsid w:val="0014263D"/>
    <w:rsid w:val="0015074B"/>
    <w:rsid w:val="00175DE1"/>
    <w:rsid w:val="001E5904"/>
    <w:rsid w:val="00200094"/>
    <w:rsid w:val="0029639D"/>
    <w:rsid w:val="002A27C7"/>
    <w:rsid w:val="00326F90"/>
    <w:rsid w:val="0051315C"/>
    <w:rsid w:val="00527B16"/>
    <w:rsid w:val="006A5457"/>
    <w:rsid w:val="006A6CDB"/>
    <w:rsid w:val="006F3C1A"/>
    <w:rsid w:val="00737685"/>
    <w:rsid w:val="0077040A"/>
    <w:rsid w:val="00807960"/>
    <w:rsid w:val="00963600"/>
    <w:rsid w:val="009C5C36"/>
    <w:rsid w:val="009F4D0C"/>
    <w:rsid w:val="00A65B59"/>
    <w:rsid w:val="00AA1D8D"/>
    <w:rsid w:val="00B47730"/>
    <w:rsid w:val="00B52EA4"/>
    <w:rsid w:val="00BA397E"/>
    <w:rsid w:val="00BA688A"/>
    <w:rsid w:val="00BD02F7"/>
    <w:rsid w:val="00C51F77"/>
    <w:rsid w:val="00CB0664"/>
    <w:rsid w:val="00CF75B3"/>
    <w:rsid w:val="00DE2126"/>
    <w:rsid w:val="00E06506"/>
    <w:rsid w:val="00E1045E"/>
    <w:rsid w:val="00E7757C"/>
    <w:rsid w:val="00EE4C08"/>
    <w:rsid w:val="00F116A2"/>
    <w:rsid w:val="00F244A8"/>
    <w:rsid w:val="00F35559"/>
    <w:rsid w:val="00F6471B"/>
    <w:rsid w:val="00FC693F"/>
    <w:rsid w:val="00FE2F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13AA70"/>
  <w14:defaultImageDpi w14:val="300"/>
  <w15:docId w15:val="{C8E7A578-6B72-4818-B0F6-D1949B411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C36"/>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E5904"/>
    <w:pPr>
      <w:spacing w:after="100"/>
    </w:pPr>
  </w:style>
  <w:style w:type="paragraph" w:styleId="TOC2">
    <w:name w:val="toc 2"/>
    <w:basedOn w:val="Normal"/>
    <w:next w:val="Normal"/>
    <w:autoRedefine/>
    <w:uiPriority w:val="39"/>
    <w:unhideWhenUsed/>
    <w:rsid w:val="001E5904"/>
    <w:pPr>
      <w:spacing w:after="100"/>
      <w:ind w:left="220"/>
    </w:pPr>
  </w:style>
  <w:style w:type="character" w:styleId="Hyperlink">
    <w:name w:val="Hyperlink"/>
    <w:basedOn w:val="DefaultParagraphFont"/>
    <w:uiPriority w:val="99"/>
    <w:unhideWhenUsed/>
    <w:rsid w:val="001E5904"/>
    <w:rPr>
      <w:color w:val="0000FF" w:themeColor="hyperlink"/>
      <w:u w:val="single"/>
    </w:rPr>
  </w:style>
  <w:style w:type="paragraph" w:styleId="TOC3">
    <w:name w:val="toc 3"/>
    <w:basedOn w:val="Normal"/>
    <w:next w:val="Normal"/>
    <w:autoRedefine/>
    <w:uiPriority w:val="39"/>
    <w:unhideWhenUsed/>
    <w:rsid w:val="001E5904"/>
    <w:pPr>
      <w:spacing w:after="100" w:line="259" w:lineRule="auto"/>
      <w:ind w:left="440"/>
    </w:pPr>
    <w:rPr>
      <w:rFonts w:asciiTheme="minorHAnsi"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1693</TotalTime>
  <Pages>9</Pages>
  <Words>2067</Words>
  <Characters>11786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 m shivamani</cp:lastModifiedBy>
  <cp:revision>1</cp:revision>
  <dcterms:created xsi:type="dcterms:W3CDTF">2013-12-23T23:15:00Z</dcterms:created>
  <dcterms:modified xsi:type="dcterms:W3CDTF">2026-01-02T19:52:00Z</dcterms:modified>
  <cp:category/>
</cp:coreProperties>
</file>