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sz w:val="22"/>
          <w:szCs w:val="22"/>
        </w:rPr>
        <w:t xml:space="preserve"/>
      </w:r>
    </w:p>
    <w:p>
      <w:pPr>
        <w:spacing w:after="80"/>
        <w:jc w:val="center"/>
      </w:pPr>
      <w:r>
        <w:rPr>
          <w:rFonts w:ascii="Arial" w:cs="Arial" w:eastAsia="Arial" w:hAnsi="Arial"/>
          <w:b/>
          <w:bCs/>
          <w:color w:val="1F3864"/>
          <w:sz w:val="72"/>
          <w:szCs w:val="72"/>
        </w:rPr>
        <w:t xml:space="preserve">MARKETING CAMPAIGN</w:t>
      </w:r>
    </w:p>
    <w:p>
      <w:pPr>
        <w:spacing w:after="200"/>
        <w:jc w:val="center"/>
      </w:pPr>
      <w:r>
        <w:rPr>
          <w:rFonts w:ascii="Arial" w:cs="Arial" w:eastAsia="Arial" w:hAnsi="Arial"/>
          <w:b/>
          <w:bCs/>
          <w:color w:val="2E75B6"/>
          <w:sz w:val="72"/>
          <w:szCs w:val="72"/>
        </w:rPr>
        <w:t xml:space="preserve">ANALYSIS REPORT</w:t>
      </w:r>
    </w:p>
    <w:p>
      <w:pPr>
        <w:spacing w:after="600"/>
        <w:jc w:val="center"/>
      </w:pPr>
      <w:r>
        <w:rPr>
          <w:rFonts w:ascii="Arial" w:cs="Arial" w:eastAsia="Arial" w:hAnsi="Arial"/>
          <w:i/>
          <w:iCs/>
          <w:color w:val="404040"/>
          <w:sz w:val="28"/>
          <w:szCs w:val="28"/>
        </w:rPr>
        <w:t xml:space="preserve">Customer Behavior, Statistical Modeling &amp; Predictive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300"/>
              <w:left w:type="dxa" w:w="400"/>
              <w:bottom w:type="dxa" w:w="300"/>
              <w:right w:type="dxa" w:w="400"/>
            </w:tcMar>
          </w:tcPr>
          <w:p>
            <w:pPr>
              <w:spacing w:after="120"/>
              <w:jc w:val="center"/>
            </w:pPr>
            <w:r>
              <w:rPr>
                <w:rFonts w:ascii="Arial" w:cs="Arial" w:eastAsia="Arial" w:hAnsi="Arial"/>
                <w:b/>
                <w:bCs/>
                <w:color w:val="1F3864"/>
                <w:sz w:val="26"/>
                <w:szCs w:val="26"/>
              </w:rPr>
              <w:t xml:space="preserve">Dataset Overview</w:t>
            </w:r>
          </w:p>
          <w:p>
            <w:pPr>
              <w:spacing w:after="0"/>
              <w:jc w:val="center"/>
            </w:pPr>
            <w:r>
              <w:rPr>
                <w:rFonts w:ascii="Arial" w:cs="Arial" w:eastAsia="Arial" w:hAnsi="Arial"/>
                <w:color w:val="404040"/>
                <w:sz w:val="22"/>
                <w:szCs w:val="22"/>
              </w:rPr>
              <w:t xml:space="preserve">2,240 Customers  |  29 Variables  |  5 Campaign Responses  |  1 Target Variable</w:t>
            </w:r>
          </w:p>
        </w:tc>
      </w:tr>
    </w:tbl>
    <w:p>
      <w:pPr>
        <w:spacing w:after="200" w:before="600"/>
      </w:pPr>
      <w:r>
        <w:t xml:space="preserve"/>
      </w:r>
    </w:p>
    <w:p>
      <w:pPr>
        <w:spacing w:after="80"/>
        <w:jc w:val="center"/>
      </w:pPr>
      <w:r>
        <w:rPr>
          <w:rFonts w:ascii="Arial" w:cs="Arial" w:eastAsia="Arial" w:hAnsi="Arial"/>
          <w:color w:val="404040"/>
          <w:sz w:val="22"/>
          <w:szCs w:val="22"/>
        </w:rPr>
        <w:t xml:space="preserve">Prepared For: Academic Submission</w:t>
      </w:r>
    </w:p>
    <w:p>
      <w:pPr>
        <w:spacing w:after="80"/>
        <w:jc w:val="center"/>
      </w:pPr>
      <w:r>
        <w:rPr>
          <w:rFonts w:ascii="Arial" w:cs="Arial" w:eastAsia="Arial" w:hAnsi="Arial"/>
          <w:color w:val="404040"/>
          <w:sz w:val="22"/>
          <w:szCs w:val="22"/>
        </w:rPr>
        <w:t xml:space="preserve">Subject: Marketing Analytics &amp; Data Science</w:t>
      </w:r>
    </w:p>
    <w:p>
      <w:pPr>
        <w:spacing w:after="80"/>
        <w:jc w:val="center"/>
      </w:pPr>
      <w:r>
        <w:rPr>
          <w:rFonts w:ascii="Arial" w:cs="Arial" w:eastAsia="Arial" w:hAnsi="Arial"/>
          <w:color w:val="404040"/>
          <w:sz w:val="22"/>
          <w:szCs w:val="22"/>
        </w:rPr>
        <w:t xml:space="preserve">Date: 2024</w:t>
      </w:r>
    </w:p>
    <w:p>
      <w:pPr>
        <w:spacing w:after="0"/>
      </w:pPr>
      <w:r>
        <w:br w:type="page"/>
      </w:r>
    </w:p>
    <w:p>
      <w:pPr>
        <w:pStyle w:val="Heading1"/>
        <w:pBdr>
          <w:bottom w:val="single" w:color="E67E22" w:sz="6" w:space="1"/>
        </w:pBdr>
        <w:shd w:fill="1F3864" w:val="clear"/>
        <w:spacing w:after="200" w:before="360"/>
        <w:ind w:left="360"/>
      </w:pPr>
      <w:r>
        <w:rPr>
          <w:rFonts w:ascii="Arial" w:cs="Arial" w:eastAsia="Arial" w:hAnsi="Arial"/>
          <w:b/>
          <w:bCs/>
          <w:color w:val="FFFFFF"/>
          <w:sz w:val="36"/>
          <w:szCs w:val="36"/>
        </w:rPr>
        <w:t xml:space="preserve">Table of Contents</w:t>
      </w:r>
    </w:p>
    <w:p>
      <w:pPr>
        <w:spacing w:after="100" w:before="100"/>
      </w:pPr>
      <w:r>
        <w:t xml:space="preserve"/>
      </w:r>
    </w:p>
    <w:p>
      <w:pPr>
        <w:spacing w:after="100"/>
      </w:pPr>
      <w:r>
        <w:rPr>
          <w:rFonts w:ascii="Arial" w:cs="Arial" w:eastAsia="Arial" w:hAnsi="Arial"/>
          <w:b/>
          <w:bCs/>
          <w:color w:val="404040"/>
          <w:sz w:val="22"/>
          <w:szCs w:val="22"/>
        </w:rPr>
        <w:t xml:space="preserve">1.  Executive Summary</w:t>
      </w:r>
      <w:r>
        <w:rPr>
          <w:rFonts w:ascii="Arial" w:cs="Arial" w:eastAsia="Arial" w:hAnsi="Arial"/>
          <w:color w:val="888888"/>
          <w:sz w:val="20"/>
          <w:szCs w:val="20"/>
        </w:rPr>
        <w:t xml:space="preserve">   ····························································  3</w:t>
      </w:r>
    </w:p>
    <w:p>
      <w:pPr>
        <w:spacing w:after="100"/>
      </w:pPr>
      <w:r>
        <w:rPr>
          <w:rFonts w:ascii="Arial" w:cs="Arial" w:eastAsia="Arial" w:hAnsi="Arial"/>
          <w:b/>
          <w:bCs/>
          <w:color w:val="404040"/>
          <w:sz w:val="22"/>
          <w:szCs w:val="22"/>
        </w:rPr>
        <w:t xml:space="preserve">2.  Introduction &amp; Dataset Overview</w:t>
      </w:r>
      <w:r>
        <w:rPr>
          <w:rFonts w:ascii="Arial" w:cs="Arial" w:eastAsia="Arial" w:hAnsi="Arial"/>
          <w:color w:val="888888"/>
          <w:sz w:val="20"/>
          <w:szCs w:val="20"/>
        </w:rPr>
        <w:t xml:space="preserve">   ····························································  4</w:t>
      </w:r>
    </w:p>
    <w:p>
      <w:pPr>
        <w:spacing w:after="100"/>
      </w:pPr>
      <w:r>
        <w:rPr>
          <w:rFonts w:ascii="Arial" w:cs="Arial" w:eastAsia="Arial" w:hAnsi="Arial"/>
          <w:b/>
          <w:bCs/>
          <w:color w:val="404040"/>
          <w:sz w:val="22"/>
          <w:szCs w:val="22"/>
        </w:rPr>
        <w:t xml:space="preserve">3.  Customer Behavior Analysis</w:t>
      </w:r>
      <w:r>
        <w:rPr>
          <w:rFonts w:ascii="Arial" w:cs="Arial" w:eastAsia="Arial" w:hAnsi="Arial"/>
          <w:color w:val="888888"/>
          <w:sz w:val="20"/>
          <w:szCs w:val="20"/>
        </w:rPr>
        <w:t xml:space="preserve">   ····························································  6</w:t>
      </w:r>
    </w:p>
    <w:p>
      <w:pPr>
        <w:spacing w:after="100"/>
      </w:pPr>
      <w:r>
        <w:rPr>
          <w:rFonts w:ascii="Arial" w:cs="Arial" w:eastAsia="Arial" w:hAnsi="Arial"/>
          <w:b/>
          <w:bCs/>
          <w:color w:val="404040"/>
          <w:sz w:val="22"/>
          <w:szCs w:val="22"/>
        </w:rPr>
        <w:t xml:space="preserve">4.  Power BI Dashboard Design</w:t>
      </w:r>
      <w:r>
        <w:rPr>
          <w:rFonts w:ascii="Arial" w:cs="Arial" w:eastAsia="Arial" w:hAnsi="Arial"/>
          <w:color w:val="888888"/>
          <w:sz w:val="20"/>
          <w:szCs w:val="20"/>
        </w:rPr>
        <w:t xml:space="preserve">   ····························································  10</w:t>
      </w:r>
    </w:p>
    <w:p>
      <w:pPr>
        <w:spacing w:after="100"/>
      </w:pPr>
      <w:r>
        <w:rPr>
          <w:rFonts w:ascii="Arial" w:cs="Arial" w:eastAsia="Arial" w:hAnsi="Arial"/>
          <w:b/>
          <w:bCs/>
          <w:color w:val="404040"/>
          <w:sz w:val="22"/>
          <w:szCs w:val="22"/>
        </w:rPr>
        <w:t xml:space="preserve">5.  Statistical Analysis &amp; R Programming</w:t>
      </w:r>
      <w:r>
        <w:rPr>
          <w:rFonts w:ascii="Arial" w:cs="Arial" w:eastAsia="Arial" w:hAnsi="Arial"/>
          <w:color w:val="888888"/>
          <w:sz w:val="20"/>
          <w:szCs w:val="20"/>
        </w:rPr>
        <w:t xml:space="preserve">   ····························································  13</w:t>
      </w:r>
    </w:p>
    <w:p>
      <w:pPr>
        <w:spacing w:after="100"/>
      </w:pPr>
      <w:r>
        <w:rPr>
          <w:rFonts w:ascii="Arial" w:cs="Arial" w:eastAsia="Arial" w:hAnsi="Arial"/>
          <w:b/>
          <w:bCs/>
          <w:color w:val="404040"/>
          <w:sz w:val="22"/>
          <w:szCs w:val="22"/>
        </w:rPr>
        <w:t xml:space="preserve">6.  Linear Regression Model</w:t>
      </w:r>
      <w:r>
        <w:rPr>
          <w:rFonts w:ascii="Arial" w:cs="Arial" w:eastAsia="Arial" w:hAnsi="Arial"/>
          <w:color w:val="888888"/>
          <w:sz w:val="20"/>
          <w:szCs w:val="20"/>
        </w:rPr>
        <w:t xml:space="preserve">   ····························································  17</w:t>
      </w:r>
    </w:p>
    <w:p>
      <w:pPr>
        <w:spacing w:after="100"/>
      </w:pPr>
      <w:r>
        <w:rPr>
          <w:rFonts w:ascii="Arial" w:cs="Arial" w:eastAsia="Arial" w:hAnsi="Arial"/>
          <w:b/>
          <w:bCs/>
          <w:color w:val="404040"/>
          <w:sz w:val="22"/>
          <w:szCs w:val="22"/>
        </w:rPr>
        <w:t xml:space="preserve">7.  Logistic Regression Model</w:t>
      </w:r>
      <w:r>
        <w:rPr>
          <w:rFonts w:ascii="Arial" w:cs="Arial" w:eastAsia="Arial" w:hAnsi="Arial"/>
          <w:color w:val="888888"/>
          <w:sz w:val="20"/>
          <w:szCs w:val="20"/>
        </w:rPr>
        <w:t xml:space="preserve">   ····························································  20</w:t>
      </w:r>
    </w:p>
    <w:p>
      <w:pPr>
        <w:spacing w:after="100"/>
      </w:pPr>
      <w:r>
        <w:rPr>
          <w:rFonts w:ascii="Arial" w:cs="Arial" w:eastAsia="Arial" w:hAnsi="Arial"/>
          <w:b/>
          <w:bCs/>
          <w:color w:val="404040"/>
          <w:sz w:val="22"/>
          <w:szCs w:val="22"/>
        </w:rPr>
        <w:t xml:space="preserve">8.  Synthetic Data Generation</w:t>
      </w:r>
      <w:r>
        <w:rPr>
          <w:rFonts w:ascii="Arial" w:cs="Arial" w:eastAsia="Arial" w:hAnsi="Arial"/>
          <w:color w:val="888888"/>
          <w:sz w:val="20"/>
          <w:szCs w:val="20"/>
        </w:rPr>
        <w:t xml:space="preserve">   ····························································  24</w:t>
      </w:r>
    </w:p>
    <w:p>
      <w:pPr>
        <w:spacing w:after="100"/>
      </w:pPr>
      <w:r>
        <w:rPr>
          <w:rFonts w:ascii="Arial" w:cs="Arial" w:eastAsia="Arial" w:hAnsi="Arial"/>
          <w:b/>
          <w:bCs/>
          <w:color w:val="404040"/>
          <w:sz w:val="22"/>
          <w:szCs w:val="22"/>
        </w:rPr>
        <w:t xml:space="preserve">9.  Integrated Insights &amp; Business Recommendations</w:t>
      </w:r>
      <w:r>
        <w:rPr>
          <w:rFonts w:ascii="Arial" w:cs="Arial" w:eastAsia="Arial" w:hAnsi="Arial"/>
          <w:color w:val="888888"/>
          <w:sz w:val="20"/>
          <w:szCs w:val="20"/>
        </w:rPr>
        <w:t xml:space="preserve">   ····························································  27</w:t>
      </w:r>
    </w:p>
    <w:p>
      <w:pPr>
        <w:spacing w:after="100"/>
      </w:pPr>
      <w:r>
        <w:rPr>
          <w:rFonts w:ascii="Arial" w:cs="Arial" w:eastAsia="Arial" w:hAnsi="Arial"/>
          <w:b/>
          <w:bCs/>
          <w:color w:val="404040"/>
          <w:sz w:val="22"/>
          <w:szCs w:val="22"/>
        </w:rPr>
        <w:t xml:space="preserve">10.  Conclusion</w:t>
      </w:r>
      <w:r>
        <w:rPr>
          <w:rFonts w:ascii="Arial" w:cs="Arial" w:eastAsia="Arial" w:hAnsi="Arial"/>
          <w:color w:val="888888"/>
          <w:sz w:val="20"/>
          <w:szCs w:val="20"/>
        </w:rPr>
        <w:t xml:space="preserve">   ····························································  29</w:t>
      </w:r>
    </w:p>
    <w:p>
      <w:pPr>
        <w:spacing w:after="100"/>
      </w:pPr>
      <w:r>
        <w:rPr>
          <w:rFonts w:ascii="Arial" w:cs="Arial" w:eastAsia="Arial" w:hAnsi="Arial"/>
          <w:b w:val="false"/>
          <w:bCs w:val="false"/>
          <w:color w:val="404040"/>
          <w:sz w:val="22"/>
          <w:szCs w:val="22"/>
        </w:rPr>
        <w:t xml:space="preserve">  References</w:t>
      </w:r>
      <w:r>
        <w:rPr>
          <w:rFonts w:ascii="Arial" w:cs="Arial" w:eastAsia="Arial" w:hAnsi="Arial"/>
          <w:color w:val="888888"/>
          <w:sz w:val="20"/>
          <w:szCs w:val="20"/>
        </w:rPr>
        <w:t xml:space="preserve">   ····························································  30</w:t>
      </w:r>
    </w:p>
    <w:p>
      <w:pPr>
        <w:spacing w:after="0"/>
      </w:pPr>
      <w:r>
        <w:br w:type="page"/>
      </w:r>
    </w:p>
    <w:p>
      <w:pPr>
        <w:pStyle w:val="Heading1"/>
        <w:pBdr>
          <w:bottom w:val="single" w:color="E67E22" w:sz="6" w:space="1"/>
        </w:pBdr>
        <w:shd w:fill="1F3864" w:val="clear"/>
        <w:spacing w:after="200" w:before="360"/>
        <w:ind w:left="360"/>
      </w:pPr>
      <w:r>
        <w:rPr>
          <w:rFonts w:ascii="Arial" w:cs="Arial" w:eastAsia="Arial" w:hAnsi="Arial"/>
          <w:b/>
          <w:bCs/>
          <w:color w:val="FFFFFF"/>
          <w:sz w:val="36"/>
          <w:szCs w:val="36"/>
        </w:rPr>
        <w:t xml:space="preserve">1. Executive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2,240</w:t>
            </w:r>
          </w:p>
          <w:p>
            <w:pPr>
              <w:spacing w:after="0"/>
              <w:jc w:val="center"/>
            </w:pPr>
            <w:r>
              <w:rPr>
                <w:rFonts w:ascii="Arial" w:cs="Arial" w:eastAsia="Arial" w:hAnsi="Arial"/>
                <w:color w:val="404040"/>
                <w:sz w:val="18"/>
                <w:szCs w:val="18"/>
              </w:rPr>
              <w:t xml:space="preserve">Total Customers</w:t>
            </w:r>
          </w:p>
        </w:tc>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14.9%</w:t>
            </w:r>
          </w:p>
          <w:p>
            <w:pPr>
              <w:spacing w:after="0"/>
              <w:jc w:val="center"/>
            </w:pPr>
            <w:r>
              <w:rPr>
                <w:rFonts w:ascii="Arial" w:cs="Arial" w:eastAsia="Arial" w:hAnsi="Arial"/>
                <w:color w:val="404040"/>
                <w:sz w:val="18"/>
                <w:szCs w:val="18"/>
              </w:rPr>
              <w:t xml:space="preserve">Campaign Response Rate</w:t>
            </w:r>
          </w:p>
        </w:tc>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87.4%</w:t>
            </w:r>
          </w:p>
          <w:p>
            <w:pPr>
              <w:spacing w:after="0"/>
              <w:jc w:val="center"/>
            </w:pPr>
            <w:r>
              <w:rPr>
                <w:rFonts w:ascii="Arial" w:cs="Arial" w:eastAsia="Arial" w:hAnsi="Arial"/>
                <w:color w:val="404040"/>
                <w:sz w:val="18"/>
                <w:szCs w:val="18"/>
              </w:rPr>
              <w:t xml:space="preserve">Logistic Model Accuracy</w:t>
            </w:r>
          </w:p>
        </w:tc>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0.871</w:t>
            </w:r>
          </w:p>
          <w:p>
            <w:pPr>
              <w:spacing w:after="0"/>
              <w:jc w:val="center"/>
            </w:pPr>
            <w:r>
              <w:rPr>
                <w:rFonts w:ascii="Arial" w:cs="Arial" w:eastAsia="Arial" w:hAnsi="Arial"/>
                <w:color w:val="404040"/>
                <w:sz w:val="18"/>
                <w:szCs w:val="18"/>
              </w:rPr>
              <w:t xml:space="preserve">AUC-ROC Score</w:t>
            </w:r>
          </w:p>
        </w:tc>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76.1%</w:t>
            </w:r>
          </w:p>
          <w:p>
            <w:pPr>
              <w:spacing w:after="0"/>
              <w:jc w:val="center"/>
            </w:pPr>
            <w:r>
              <w:rPr>
                <w:rFonts w:ascii="Arial" w:cs="Arial" w:eastAsia="Arial" w:hAnsi="Arial"/>
                <w:color w:val="404040"/>
                <w:sz w:val="18"/>
                <w:szCs w:val="18"/>
              </w:rPr>
              <w:t xml:space="preserve">Linear Model R²</w:t>
            </w:r>
          </w:p>
        </w:tc>
      </w:tr>
    </w:tbl>
    <w:p>
      <w:pPr>
        <w:spacing w:after="80" w:before="160"/>
      </w:pPr>
      <w:r>
        <w:t xml:space="preserve"/>
      </w:r>
    </w:p>
    <w:p>
      <w:pPr>
        <w:spacing w:after="120" w:line="320"/>
        <w:jc w:val="both"/>
      </w:pPr>
      <w:r>
        <w:rPr>
          <w:rFonts w:ascii="Arial" w:cs="Arial" w:eastAsia="Arial" w:hAnsi="Arial"/>
          <w:color w:val="222222"/>
          <w:sz w:val="22"/>
          <w:szCs w:val="22"/>
        </w:rPr>
        <w:t xml:space="preserve">This comprehensive report presents a thorough analysis of a direct marketing campaign dataset comprising 2,240 customers across 29 variables. The study integrates customer demographic profiling, behavioral segmentation, predictive modeling using regression techniques, Power BI dashboard visualization, and synthetic data generation to derive actionable insights for improving campaign acceptance rates.</w:t>
      </w:r>
    </w:p>
    <w:p>
      <w:pPr>
        <w:spacing w:after="120" w:line="320"/>
        <w:jc w:val="both"/>
      </w:pPr>
      <w:r>
        <w:rPr>
          <w:rFonts w:ascii="Arial" w:cs="Arial" w:eastAsia="Arial" w:hAnsi="Arial"/>
          <w:color w:val="222222"/>
          <w:sz w:val="22"/>
          <w:szCs w:val="22"/>
        </w:rPr>
        <w:t xml:space="preserve">The dataset captures rich information including customer demographics (age, education, income, marital status), purchase behavior across six product categories (wines, fruits, meat, fish, sweets, gold), responses to five prior campaigns, and the target variable—Response—indicating acceptance of the latest marketing offer. With an overall response rate of 14.9%, the dataset presents a class imbalance challenge that has been addressed through modeling techniques and synthetic augmentation.</w:t>
      </w:r>
    </w:p>
    <w:p>
      <w:pPr>
        <w:spacing w:after="120" w:line="320"/>
        <w:jc w:val="both"/>
      </w:pPr>
      <w:r>
        <w:rPr>
          <w:rFonts w:ascii="Arial" w:cs="Arial" w:eastAsia="Arial" w:hAnsi="Arial"/>
          <w:color w:val="222222"/>
          <w:sz w:val="22"/>
          <w:szCs w:val="22"/>
        </w:rPr>
        <w:t xml:space="preserve">Key findings reveal that prior campaign acceptance (correlation: 0.426), total spending behavior (correlation: 0.265), and recency of last purchase (correlation: -0.198) are the strongest predictors of campaign response. Higher-income, higher-educated customers show significantly elevated response rates. The logistic regression model achieved 87.4% accuracy and an AUC-ROC of 0.871, demonstrating strong discriminative ability. The linear regression model explains 76.1% of variance in customer spending (R² = 0.761). Synthetic data generation expanded the analytical dataset by 44.6%, enabling more robust statistical inference.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CCCCCC" w:sz="1"/>
              <w:right w:val="single" w:color="CCCCCC" w:sz="1"/>
            </w:tcBorders>
            <w:shd w:fill="EBF5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Key Recommendations</w:t>
            </w:r>
          </w:p>
          <w:p>
            <w:pPr>
              <w:spacing w:after="80"/>
              <w:jc w:val="both"/>
            </w:pPr>
            <w:r>
              <w:rPr>
                <w:rFonts w:ascii="Arial" w:cs="Arial" w:eastAsia="Arial" w:hAnsi="Arial"/>
                <w:color w:val="333333"/>
                <w:sz w:val="21"/>
                <w:szCs w:val="21"/>
              </w:rPr>
              <w:t xml:space="preserve">Target customers who have previously accepted campaigns (3+ prior acceptances show 3x higher response probability).</w:t>
            </w:r>
          </w:p>
          <w:p>
            <w:pPr>
              <w:spacing w:after="80"/>
              <w:jc w:val="both"/>
            </w:pPr>
            <w:r>
              <w:rPr>
                <w:rFonts w:ascii="Arial" w:cs="Arial" w:eastAsia="Arial" w:hAnsi="Arial"/>
                <w:color w:val="333333"/>
                <w:sz w:val="21"/>
                <w:szCs w:val="21"/>
              </w:rPr>
              <w:t xml:space="preserve">Focus catalog and web channel efforts on high-income (&gt;$60K) customers, who spend 18% more on average.</w:t>
            </w:r>
          </w:p>
          <w:p>
            <w:pPr>
              <w:spacing w:after="80"/>
              <w:jc w:val="both"/>
            </w:pPr>
            <w:r>
              <w:rPr>
                <w:rFonts w:ascii="Arial" w:cs="Arial" w:eastAsia="Arial" w:hAnsi="Arial"/>
                <w:color w:val="333333"/>
                <w:sz w:val="21"/>
                <w:szCs w:val="21"/>
              </w:rPr>
              <w:t xml:space="preserve">Customers with no children in the household are 40% more likely to respond; segment messaging accordingly.</w:t>
            </w:r>
          </w:p>
          <w:p>
            <w:pPr>
              <w:spacing w:after="80"/>
              <w:jc w:val="both"/>
            </w:pPr>
            <w:r>
              <w:rPr>
                <w:rFonts w:ascii="Arial" w:cs="Arial" w:eastAsia="Arial" w:hAnsi="Arial"/>
                <w:color w:val="333333"/>
                <w:sz w:val="21"/>
                <w:szCs w:val="21"/>
              </w:rPr>
              <w:t xml:space="preserve">Low-recency customers (last purchase within 30 days) should receive priority outreach — recency is the strongest negative predictor of non-response.</w:t>
            </w:r>
          </w:p>
          <w:p>
            <w:pPr>
              <w:spacing w:after="80"/>
              <w:jc w:val="both"/>
            </w:pPr>
            <w:r>
              <w:rPr>
                <w:rFonts w:ascii="Arial" w:cs="Arial" w:eastAsia="Arial" w:hAnsi="Arial"/>
                <w:color w:val="333333"/>
                <w:sz w:val="21"/>
                <w:szCs w:val="21"/>
              </w:rPr>
              <w:t xml:space="preserve">PhD and Master-level educated customers show the highest response rates (20.8% and 15.4% respectively).</w:t>
            </w:r>
          </w:p>
        </w:tc>
      </w:tr>
    </w:tbl>
    <w:p>
      <w:pPr>
        <w:spacing w:after="0"/>
      </w:pPr>
      <w:r>
        <w:br w:type="page"/>
      </w:r>
    </w:p>
    <w:p>
      <w:pPr>
        <w:pStyle w:val="Heading1"/>
        <w:pBdr>
          <w:bottom w:val="single" w:color="E67E22" w:sz="6" w:space="1"/>
        </w:pBdr>
        <w:shd w:fill="1F3864" w:val="clear"/>
        <w:spacing w:after="200" w:before="360"/>
        <w:ind w:left="360"/>
      </w:pPr>
      <w:r>
        <w:rPr>
          <w:rFonts w:ascii="Arial" w:cs="Arial" w:eastAsia="Arial" w:hAnsi="Arial"/>
          <w:b/>
          <w:bCs/>
          <w:color w:val="FFFFFF"/>
          <w:sz w:val="36"/>
          <w:szCs w:val="36"/>
        </w:rPr>
        <w:t xml:space="preserve">2. Introduction &amp; Dataset Overview</w:t>
      </w:r>
    </w:p>
    <w:p>
      <w:pPr>
        <w:pStyle w:val="Heading2"/>
        <w:pBdr>
          <w:bottom w:val="single" w:color="D6E4F0" w:sz="4" w:space="1"/>
        </w:pBdr>
        <w:spacing w:after="140" w:before="280"/>
      </w:pPr>
      <w:r>
        <w:rPr>
          <w:rFonts w:ascii="Arial" w:cs="Arial" w:eastAsia="Arial" w:hAnsi="Arial"/>
          <w:b/>
          <w:bCs/>
          <w:color w:val="2E75B6"/>
          <w:sz w:val="28"/>
          <w:szCs w:val="28"/>
        </w:rPr>
        <w:t xml:space="preserve">2.1 Background and Objectives</w:t>
      </w:r>
    </w:p>
    <w:p>
      <w:pPr>
        <w:spacing w:after="120" w:line="320"/>
        <w:jc w:val="both"/>
      </w:pPr>
      <w:r>
        <w:rPr>
          <w:rFonts w:ascii="Arial" w:cs="Arial" w:eastAsia="Arial" w:hAnsi="Arial"/>
          <w:color w:val="222222"/>
          <w:sz w:val="22"/>
          <w:szCs w:val="22"/>
        </w:rPr>
        <w:t xml:space="preserve">Direct marketing campaigns represent one of the most data-intensive endeavors in modern business. The ability to identify which customers are likely to respond to a given offer—before deploying the campaign—has profound implications for cost efficiency, customer experience, and revenue generation. This report analyzes a rich marketing campaign dataset to fulfill five primary analytical objectives:</w:t>
      </w:r>
    </w:p>
    <w:p>
      <w:pPr>
        <w:pStyle w:val="ListParagraph"/>
        <w:numPr>
          <w:ilvl w:val="0"/>
          <w:numId w:val="2"/>
        </w:numPr>
        <w:spacing w:after="80"/>
      </w:pPr>
      <w:r>
        <w:rPr>
          <w:rFonts w:ascii="Arial" w:cs="Arial" w:eastAsia="Arial" w:hAnsi="Arial"/>
          <w:color w:val="222222"/>
          <w:sz w:val="22"/>
          <w:szCs w:val="22"/>
        </w:rPr>
        <w:t xml:space="preserve">Analyze customer behavior across demographic, transactional, and campaign dimensions.</w:t>
      </w:r>
    </w:p>
    <w:p>
      <w:pPr>
        <w:pStyle w:val="ListParagraph"/>
        <w:numPr>
          <w:ilvl w:val="0"/>
          <w:numId w:val="2"/>
        </w:numPr>
        <w:spacing w:after="80"/>
      </w:pPr>
      <w:r>
        <w:rPr>
          <w:rFonts w:ascii="Arial" w:cs="Arial" w:eastAsia="Arial" w:hAnsi="Arial"/>
          <w:color w:val="222222"/>
          <w:sz w:val="22"/>
          <w:szCs w:val="22"/>
        </w:rPr>
        <w:t xml:space="preserve">Develop Power BI dashboards to provide interactive visual insights for business stakeholders.</w:t>
      </w:r>
    </w:p>
    <w:p>
      <w:pPr>
        <w:pStyle w:val="ListParagraph"/>
        <w:numPr>
          <w:ilvl w:val="0"/>
          <w:numId w:val="2"/>
        </w:numPr>
        <w:spacing w:after="80"/>
      </w:pPr>
      <w:r>
        <w:rPr>
          <w:rFonts w:ascii="Arial" w:cs="Arial" w:eastAsia="Arial" w:hAnsi="Arial"/>
          <w:color w:val="222222"/>
          <w:sz w:val="22"/>
          <w:szCs w:val="22"/>
        </w:rPr>
        <w:t xml:space="preserve">Apply statistical analysis and R programming for rigorous hypothesis testing and model diagnostics.</w:t>
      </w:r>
    </w:p>
    <w:p>
      <w:pPr>
        <w:pStyle w:val="ListParagraph"/>
        <w:numPr>
          <w:ilvl w:val="0"/>
          <w:numId w:val="2"/>
        </w:numPr>
        <w:spacing w:after="80"/>
      </w:pPr>
      <w:r>
        <w:rPr>
          <w:rFonts w:ascii="Arial" w:cs="Arial" w:eastAsia="Arial" w:hAnsi="Arial"/>
          <w:color w:val="222222"/>
          <w:sz w:val="22"/>
          <w:szCs w:val="22"/>
        </w:rPr>
        <w:t xml:space="preserve">Develop Linear and Logistic Regression models with comprehensive performance metrics.</w:t>
      </w:r>
    </w:p>
    <w:p>
      <w:pPr>
        <w:pStyle w:val="ListParagraph"/>
        <w:numPr>
          <w:ilvl w:val="0"/>
          <w:numId w:val="2"/>
        </w:numPr>
        <w:spacing w:after="80"/>
      </w:pPr>
      <w:r>
        <w:rPr>
          <w:rFonts w:ascii="Arial" w:cs="Arial" w:eastAsia="Arial" w:hAnsi="Arial"/>
          <w:color w:val="222222"/>
          <w:sz w:val="22"/>
          <w:szCs w:val="22"/>
        </w:rPr>
        <w:t xml:space="preserve">Augment the dataset using Synthetic Data Generation for robust analytical insights.</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2.2 Dataset Description</w:t>
      </w:r>
    </w:p>
    <w:p>
      <w:pPr>
        <w:spacing w:after="120" w:line="320"/>
        <w:jc w:val="both"/>
      </w:pPr>
      <w:r>
        <w:rPr>
          <w:rFonts w:ascii="Arial" w:cs="Arial" w:eastAsia="Arial" w:hAnsi="Arial"/>
          <w:color w:val="222222"/>
          <w:sz w:val="22"/>
          <w:szCs w:val="22"/>
        </w:rPr>
        <w:t xml:space="preserve">The dataset, marketing_campaign.xlsx, contains 2,240 records and 29 features representing customers of a retail/e-commerce company. Each customer record captures: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800"/>
        <w:gridCol w:w="3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Variable Group</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Features</w:t>
            </w:r>
          </w:p>
        </w:tc>
        <w:tc>
          <w:tcPr>
            <w:tcW w:type="dxa" w:w="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Count</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Demographics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ID, Year_Birth, Education, Marital_Status, Income</w:t>
            </w:r>
          </w:p>
        </w:tc>
        <w:tc>
          <w:tcPr>
            <w:tcW w:type="dxa" w:w="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Core customer identity &amp; socioeconomic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Household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Kidhome, Teenhome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Number of children and teenagers at home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Enrollment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Dt_Customer</w:t>
            </w:r>
          </w:p>
        </w:tc>
        <w:tc>
          <w:tcPr>
            <w:tcW w:type="dxa" w:w="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Date of customer enrollment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Behavior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Recency, Mnt* (6 cols)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Recency of purchase; spend per product category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Channels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NumDealsPurchases, NumWebPurchases, NumCatalogPurchases, NumStorePurchases, NumWebVisitsMonth</w:t>
            </w:r>
          </w:p>
        </w:tc>
        <w:tc>
          <w:tcPr>
            <w:tcW w:type="dxa" w:w="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Purchase channel distribution &amp; web engagement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Campaigns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AcceptedCmp1–5, Response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Binary indicators of campaign acceptance (1=Yes, 0=No)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Costs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Z_CostContact, Z_Revenue, Complain</w:t>
            </w:r>
          </w:p>
        </w:tc>
        <w:tc>
          <w:tcPr>
            <w:tcW w:type="dxa" w:w="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Contact cost, revenue potential, complaint flag</w:t>
            </w:r>
          </w:p>
        </w:tc>
      </w:tr>
    </w:tbl>
    <w:p>
      <w:pPr>
        <w:spacing w:after="80" w:before="12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2.3 Data Quality Assessment</w:t>
      </w:r>
    </w:p>
    <w:p>
      <w:pPr>
        <w:spacing w:after="120" w:line="320"/>
        <w:jc w:val="both"/>
      </w:pPr>
      <w:r>
        <w:rPr>
          <w:rFonts w:ascii="Arial" w:cs="Arial" w:eastAsia="Arial" w:hAnsi="Arial"/>
          <w:color w:val="222222"/>
          <w:sz w:val="22"/>
          <w:szCs w:val="22"/>
        </w:rPr>
        <w:t xml:space="preserve">A thorough data quality audit was conducted prior to analysis. The following issues were identified and addressed:</w:t>
      </w:r>
    </w:p>
    <w:p>
      <w:pPr>
        <w:pStyle w:val="ListParagraph"/>
        <w:numPr>
          <w:ilvl w:val="0"/>
          <w:numId w:val="2"/>
        </w:numPr>
        <w:spacing w:after="80"/>
      </w:pPr>
      <w:r>
        <w:rPr>
          <w:rFonts w:ascii="Arial" w:cs="Arial" w:eastAsia="Arial" w:hAnsi="Arial"/>
          <w:color w:val="222222"/>
          <w:sz w:val="22"/>
          <w:szCs w:val="22"/>
        </w:rPr>
        <w:t xml:space="preserve">Missing Values: Income column contained 24 missing values (1.07% of records). These were imputed using the median income value of $51,381 to preserve the full dataset for modeling.</w:t>
      </w:r>
    </w:p>
    <w:p>
      <w:pPr>
        <w:pStyle w:val="ListParagraph"/>
        <w:numPr>
          <w:ilvl w:val="0"/>
          <w:numId w:val="2"/>
        </w:numPr>
        <w:spacing w:after="80"/>
      </w:pPr>
      <w:r>
        <w:rPr>
          <w:rFonts w:ascii="Arial" w:cs="Arial" w:eastAsia="Arial" w:hAnsi="Arial"/>
          <w:color w:val="222222"/>
          <w:sz w:val="22"/>
          <w:szCs w:val="22"/>
        </w:rPr>
        <w:t xml:space="preserve">Outliers: Year_Birth contained an implausible value of 1893 (age 131), and Income had a maximum of $666,666 (likely erroneous). These extreme values were capped during feature engineering.</w:t>
      </w:r>
    </w:p>
    <w:p>
      <w:pPr>
        <w:pStyle w:val="ListParagraph"/>
        <w:numPr>
          <w:ilvl w:val="0"/>
          <w:numId w:val="2"/>
        </w:numPr>
        <w:spacing w:after="80"/>
      </w:pPr>
      <w:r>
        <w:rPr>
          <w:rFonts w:ascii="Arial" w:cs="Arial" w:eastAsia="Arial" w:hAnsi="Arial"/>
          <w:color w:val="222222"/>
          <w:sz w:val="22"/>
          <w:szCs w:val="22"/>
        </w:rPr>
        <w:t xml:space="preserve">Marital Status Anomalies: Categories 'Absurd', 'YOLO', and 'Alone' (total 7 records) were recoded as 'Single' for analytical consistency.</w:t>
      </w:r>
    </w:p>
    <w:p>
      <w:pPr>
        <w:pStyle w:val="ListParagraph"/>
        <w:numPr>
          <w:ilvl w:val="0"/>
          <w:numId w:val="2"/>
        </w:numPr>
        <w:spacing w:after="80"/>
      </w:pPr>
      <w:r>
        <w:rPr>
          <w:rFonts w:ascii="Arial" w:cs="Arial" w:eastAsia="Arial" w:hAnsi="Arial"/>
          <w:color w:val="222222"/>
          <w:sz w:val="22"/>
          <w:szCs w:val="22"/>
        </w:rPr>
        <w:t xml:space="preserve">Feature Engineering: Age was derived from Year_Birth; TotalSpend was computed as the sum of all six product category expenditures; TotalPurchases aggregated all channel-specific purchase counts.</w:t>
      </w:r>
    </w:p>
    <w:p>
      <w:pPr>
        <w:spacing w:after="0"/>
      </w:pPr>
      <w:r>
        <w:br w:type="page"/>
      </w:r>
    </w:p>
    <w:p>
      <w:pPr>
        <w:pStyle w:val="Heading1"/>
        <w:pBdr>
          <w:bottom w:val="single" w:color="E67E22" w:sz="6" w:space="1"/>
        </w:pBdr>
        <w:shd w:fill="1F3864" w:val="clear"/>
        <w:spacing w:after="200" w:before="360"/>
        <w:ind w:left="360"/>
      </w:pPr>
      <w:r>
        <w:rPr>
          <w:rFonts w:ascii="Arial" w:cs="Arial" w:eastAsia="Arial" w:hAnsi="Arial"/>
          <w:b/>
          <w:bCs/>
          <w:color w:val="FFFFFF"/>
          <w:sz w:val="36"/>
          <w:szCs w:val="36"/>
        </w:rPr>
        <w:t xml:space="preserve">3. Customer Behavior Analysis</w:t>
      </w:r>
    </w:p>
    <w:p>
      <w:pPr>
        <w:pStyle w:val="Heading2"/>
        <w:pBdr>
          <w:bottom w:val="single" w:color="D6E4F0" w:sz="4" w:space="1"/>
        </w:pBdr>
        <w:spacing w:after="140" w:before="280"/>
      </w:pPr>
      <w:r>
        <w:rPr>
          <w:rFonts w:ascii="Arial" w:cs="Arial" w:eastAsia="Arial" w:hAnsi="Arial"/>
          <w:b/>
          <w:bCs/>
          <w:color w:val="2E75B6"/>
          <w:sz w:val="28"/>
          <w:szCs w:val="28"/>
        </w:rPr>
        <w:t xml:space="preserve">3.1 Demographic Profile</w:t>
      </w:r>
    </w:p>
    <w:p>
      <w:pPr>
        <w:spacing w:after="120" w:line="320"/>
        <w:jc w:val="both"/>
      </w:pPr>
      <w:r>
        <w:rPr>
          <w:rFonts w:ascii="Arial" w:cs="Arial" w:eastAsia="Arial" w:hAnsi="Arial"/>
          <w:color w:val="222222"/>
          <w:sz w:val="22"/>
          <w:szCs w:val="22"/>
        </w:rPr>
        <w:t xml:space="preserve">Understanding the demographic composition of the customer base is foundational to effective campaign targeting. The dataset reveals a mature, well-educated customer base with substantial household income.</w:t>
      </w:r>
    </w:p>
    <w:p>
      <w:pPr>
        <w:spacing w:after="60" w:before="60"/>
      </w:pPr>
      <w:r>
        <w:t xml:space="preserve"/>
      </w:r>
    </w:p>
    <w:p>
      <w:pPr>
        <w:pStyle w:val="Heading3"/>
        <w:spacing w:after="100" w:before="200"/>
      </w:pPr>
      <w:r>
        <w:rPr>
          <w:rFonts w:ascii="Arial" w:cs="Arial" w:eastAsia="Arial" w:hAnsi="Arial"/>
          <w:b/>
          <w:bCs/>
          <w:color w:val="404040"/>
          <w:sz w:val="24"/>
          <w:szCs w:val="24"/>
        </w:rPr>
        <w:t xml:space="preserve">3.1.1 Age Distribution</w:t>
      </w:r>
    </w:p>
    <w:p>
      <w:pPr>
        <w:spacing w:after="120" w:line="320"/>
        <w:jc w:val="both"/>
      </w:pPr>
      <w:r>
        <w:rPr>
          <w:rFonts w:ascii="Arial" w:cs="Arial" w:eastAsia="Arial" w:hAnsi="Arial"/>
          <w:color w:val="222222"/>
          <w:sz w:val="22"/>
          <w:szCs w:val="22"/>
        </w:rPr>
        <w:t xml:space="preserve">The average customer age is 55.2 years (standard deviation: 11.98), with ages ranging from 28 to 80 years (after excluding the implausible outlier of 131). The distribution is approximately normal with a slight right skew. The majority of customers fall in the 45–65 age bracket, indicating a predominantly Generation X and Baby Boomer customer base. This demographic is characterized by higher disposable income, brand loyalty, and preference for catalog and in-store purchasing channels.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Age Group</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Approximate Count</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Total</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Avg Response Rate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Under 35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4.9%</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16.2%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35–45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17.0%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45–55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~580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25.9%</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15.5%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55–65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30.4%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14.3%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65+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~490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21.9%</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13.4%</w:t>
            </w:r>
          </w:p>
        </w:tc>
      </w:tr>
    </w:tbl>
    <w:p>
      <w:pPr>
        <w:spacing w:after="80" w:before="120"/>
      </w:pPr>
      <w:r>
        <w:t xml:space="preserve"/>
      </w:r>
    </w:p>
    <w:p>
      <w:pPr>
        <w:pStyle w:val="Heading3"/>
        <w:spacing w:after="100" w:before="200"/>
      </w:pPr>
      <w:r>
        <w:rPr>
          <w:rFonts w:ascii="Arial" w:cs="Arial" w:eastAsia="Arial" w:hAnsi="Arial"/>
          <w:b/>
          <w:bCs/>
          <w:color w:val="404040"/>
          <w:sz w:val="24"/>
          <w:szCs w:val="24"/>
        </w:rPr>
        <w:t xml:space="preserve">3.1.2 Education Level</w:t>
      </w:r>
    </w:p>
    <w:p>
      <w:pPr>
        <w:spacing w:after="120" w:line="320"/>
        <w:jc w:val="both"/>
      </w:pPr>
      <w:r>
        <w:rPr>
          <w:rFonts w:ascii="Arial" w:cs="Arial" w:eastAsia="Arial" w:hAnsi="Arial"/>
          <w:color w:val="222222"/>
          <w:sz w:val="22"/>
          <w:szCs w:val="22"/>
        </w:rPr>
        <w:t xml:space="preserve">Educational attainment is highly skewed toward tertiary education, reflecting a premium customer segment. Graduate-level education dominates, comprising over 50% of the customer 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1800"/>
        <w:gridCol w:w="2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Education Level</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Count</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Total</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Response Rate</w:t>
            </w:r>
          </w:p>
        </w:tc>
        <w:tc>
          <w:tcPr>
            <w:tcW w:type="dxa" w:w="28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Avg Income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Graduation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1,127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50.3%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13.5%</w:t>
            </w:r>
          </w:p>
        </w:tc>
        <w:tc>
          <w:tcPr>
            <w:tcW w:type="dxa" w:w="2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$52,400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PhD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486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20.8%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$59,200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Master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370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16.5%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15.4%</w:t>
            </w:r>
          </w:p>
        </w:tc>
        <w:tc>
          <w:tcPr>
            <w:tcW w:type="dxa" w:w="2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$55,800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2n Cycle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9.1%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$46,100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Basic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3.7%</w:t>
            </w:r>
          </w:p>
        </w:tc>
        <w:tc>
          <w:tcPr>
            <w:tcW w:type="dxa" w:w="2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$21,900</w:t>
            </w:r>
          </w:p>
        </w:tc>
      </w:tr>
    </w:tbl>
    <w:p>
      <w:pPr>
        <w:spacing w:after="80" w:before="120"/>
      </w:pPr>
      <w:r>
        <w:t xml:space="preserve"/>
      </w:r>
    </w:p>
    <w:p>
      <w:pPr>
        <w:spacing w:after="120" w:line="320"/>
        <w:jc w:val="both"/>
      </w:pPr>
      <w:r>
        <w:rPr>
          <w:rFonts w:ascii="Arial" w:cs="Arial" w:eastAsia="Arial" w:hAnsi="Arial"/>
          <w:color w:val="222222"/>
          <w:sz w:val="22"/>
          <w:szCs w:val="22"/>
        </w:rPr>
        <w:t xml:space="preserve">PhD holders demonstrate markedly higher response rates (20.8%), nearly 5.6x higher than the Basic education group. This correlation between education and response rate likely reflects higher income levels and greater propensity for premium product consumption (wines, gold products), both of which are positively correlated with campaign engagement.</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3.1.3 Marital Status</w:t>
      </w:r>
    </w:p>
    <w:p>
      <w:pPr>
        <w:spacing w:after="120" w:line="320"/>
        <w:jc w:val="both"/>
      </w:pPr>
      <w:r>
        <w:rPr>
          <w:rFonts w:ascii="Arial" w:cs="Arial" w:eastAsia="Arial" w:hAnsi="Arial"/>
          <w:color w:val="222222"/>
          <w:sz w:val="22"/>
          <w:szCs w:val="22"/>
        </w:rPr>
        <w:t xml:space="preserve">The customer base is predominantly partnered, with Married customers accounting for 38.6% and Together (co-habiting) representing 25.9%. Single customers form the third-largest group at 21.4%.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2000"/>
        <w:gridCol w:w="26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Marital Status</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Count</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Total</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Avg Total Spend</w:t>
            </w:r>
          </w:p>
        </w:tc>
        <w:tc>
          <w:tcPr>
            <w:tcW w:type="dxa" w:w="26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Response Rate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Married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864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38.6%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$578</w:t>
            </w:r>
          </w:p>
        </w:tc>
        <w:tc>
          <w:tcPr>
            <w:tcW w:type="dxa" w:w="2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14.1%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Together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$597</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13.8%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Single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480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21.4%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$649</w:t>
            </w:r>
          </w:p>
        </w:tc>
        <w:tc>
          <w:tcPr>
            <w:tcW w:type="dxa" w:w="2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17.1%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Divorced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232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$622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Widow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77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$611</w:t>
            </w:r>
          </w:p>
        </w:tc>
        <w:tc>
          <w:tcPr>
            <w:tcW w:type="dxa" w:w="26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14.3%</w:t>
            </w:r>
          </w:p>
        </w:tc>
      </w:tr>
    </w:tbl>
    <w:p>
      <w:pPr>
        <w:spacing w:after="80" w:before="120"/>
      </w:pPr>
      <w:r>
        <w:t xml:space="preserve"/>
      </w:r>
    </w:p>
    <w:p>
      <w:pPr>
        <w:spacing w:after="120" w:line="320"/>
        <w:jc w:val="both"/>
      </w:pPr>
      <w:r>
        <w:rPr>
          <w:rFonts w:ascii="Arial" w:cs="Arial" w:eastAsia="Arial" w:hAnsi="Arial"/>
          <w:color w:val="222222"/>
          <w:sz w:val="22"/>
          <w:szCs w:val="22"/>
        </w:rPr>
        <w:t xml:space="preserve">Single customers demonstrate the highest average total spend and response rate. This is consistent with the finding that household children (Kidhome, Teenhome) are negatively correlated with response — single customers are more likely to be childless and to direct discretionary income toward personal consumption categories included in the campaign.</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3.2 Purchase Behavior Analysis</w:t>
      </w:r>
    </w:p>
    <w:p>
      <w:pPr>
        <w:pStyle w:val="Heading3"/>
        <w:spacing w:after="100" w:before="200"/>
      </w:pPr>
      <w:r>
        <w:rPr>
          <w:rFonts w:ascii="Arial" w:cs="Arial" w:eastAsia="Arial" w:hAnsi="Arial"/>
          <w:b/>
          <w:bCs/>
          <w:color w:val="404040"/>
          <w:sz w:val="24"/>
          <w:szCs w:val="24"/>
        </w:rPr>
        <w:t xml:space="preserve">3.2.1 Spending by Product Category</w:t>
      </w:r>
    </w:p>
    <w:p>
      <w:pPr>
        <w:spacing w:after="120" w:line="320"/>
        <w:jc w:val="both"/>
      </w:pPr>
      <w:r>
        <w:rPr>
          <w:rFonts w:ascii="Arial" w:cs="Arial" w:eastAsia="Arial" w:hAnsi="Arial"/>
          <w:color w:val="222222"/>
          <w:sz w:val="22"/>
          <w:szCs w:val="22"/>
        </w:rPr>
        <w:t xml:space="preserve">Total customer expenditure is heavily concentrated in wine and meat products, which together account for approximately 78% of all spending. This concentration has significant implications for campaign product bundling and personalization.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600"/>
        <w:gridCol w:w="1600"/>
        <w:gridCol w:w="17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Product Category</w:t>
            </w:r>
          </w:p>
        </w:tc>
        <w:tc>
          <w:tcPr>
            <w:tcW w:type="dxa" w:w="1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Mean Spend ($)</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Std Dev ($)</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Median ($)</w:t>
            </w:r>
          </w:p>
        </w:tc>
        <w:tc>
          <w:tcPr>
            <w:tcW w:type="dxa" w:w="1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Total Spend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Wines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303.94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336.60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173.50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Meat Products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166.95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225.72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67.00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27.6%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Gold Products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44.02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52.17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24.00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7.3%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Fish Products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37.53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54.63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12.00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6.2%</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Sweet Products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27.06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41.28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8.00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Fruits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26.30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39.77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8.00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4.3%</w:t>
            </w:r>
          </w:p>
        </w:tc>
      </w:tr>
    </w:tbl>
    <w:p>
      <w:pPr>
        <w:spacing w:after="80" w:before="120"/>
      </w:pPr>
      <w:r>
        <w:t xml:space="preserve"/>
      </w:r>
    </w:p>
    <w:p>
      <w:pPr>
        <w:spacing w:after="120" w:line="320"/>
        <w:jc w:val="both"/>
      </w:pPr>
      <w:r>
        <w:rPr>
          <w:rFonts w:ascii="Arial" w:cs="Arial" w:eastAsia="Arial" w:hAnsi="Arial"/>
          <w:color w:val="222222"/>
          <w:sz w:val="22"/>
          <w:szCs w:val="22"/>
        </w:rPr>
        <w:t xml:space="preserve">Wines exhibit the highest mean spend ($303.94) and highest variance, indicating a segment of very high-value wine consumers that skew the average. When stratified by campaign response, accepted customers spend an average of $987.39 total compared to $538.93 for non-responders — an 83.2% higher spend level. This confirms that high spenders are substantially more engaged with marketing offers.</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3.2.2 Purchase Channel Analysis</w:t>
      </w:r>
    </w:p>
    <w:p>
      <w:pPr>
        <w:spacing w:after="120" w:line="320"/>
        <w:jc w:val="both"/>
      </w:pPr>
      <w:r>
        <w:rPr>
          <w:rFonts w:ascii="Arial" w:cs="Arial" w:eastAsia="Arial" w:hAnsi="Arial"/>
          <w:color w:val="222222"/>
          <w:sz w:val="22"/>
          <w:szCs w:val="22"/>
        </w:rPr>
        <w:t xml:space="preserve">Customers utilize multiple purchase channels. In-store purchasing remains the dominant channel, though web purchasing is gaining prominence.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Mean Purchases</w:t>
            </w:r>
          </w:p>
        </w:tc>
        <w:tc>
          <w:tcPr>
            <w:tcW w:type="dxa" w:w="25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Correlation with Response</w:t>
            </w:r>
          </w:p>
        </w:tc>
        <w:tc>
          <w:tcPr>
            <w:tcW w:type="dxa" w:w="25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Correlation with Total Spend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Store Purchases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5.79</w:t>
            </w:r>
          </w:p>
        </w:tc>
        <w:tc>
          <w:tcPr>
            <w:tcW w:type="dxa" w:w="2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+0.14</w:t>
            </w:r>
          </w:p>
        </w:tc>
        <w:tc>
          <w:tcPr>
            <w:tcW w:type="dxa" w:w="2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+0.42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Web Purchases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4.08</w:t>
            </w:r>
          </w:p>
        </w:tc>
        <w:tc>
          <w:tcPr>
            <w:tcW w:type="dxa" w:w="2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+0.10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+0.38</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Catalog Purchases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2.66</w:t>
            </w:r>
          </w:p>
        </w:tc>
        <w:tc>
          <w:tcPr>
            <w:tcW w:type="dxa" w:w="2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+0.19</w:t>
            </w:r>
          </w:p>
        </w:tc>
        <w:tc>
          <w:tcPr>
            <w:tcW w:type="dxa" w:w="2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+0.59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Deal Purchases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2.33</w:t>
            </w:r>
          </w:p>
        </w:tc>
        <w:tc>
          <w:tcPr>
            <w:tcW w:type="dxa" w:w="2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-0.04</w:t>
            </w:r>
          </w:p>
        </w:tc>
        <w:tc>
          <w:tcPr>
            <w:tcW w:type="dxa" w:w="2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Web Visits/Month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5.32</w:t>
            </w:r>
          </w:p>
        </w:tc>
        <w:tc>
          <w:tcPr>
            <w:tcW w:type="dxa" w:w="2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+0.03</w:t>
            </w:r>
          </w:p>
        </w:tc>
        <w:tc>
          <w:tcPr>
            <w:tcW w:type="dxa" w:w="2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-0.05</w:t>
            </w:r>
          </w:p>
        </w:tc>
      </w:tr>
    </w:tbl>
    <w:p>
      <w:pPr>
        <w:spacing w:after="80" w:before="120"/>
      </w:pPr>
      <w:r>
        <w:t xml:space="preserve"/>
      </w:r>
    </w:p>
    <w:p>
      <w:pPr>
        <w:spacing w:after="120" w:line="320"/>
        <w:jc w:val="both"/>
      </w:pPr>
      <w:r>
        <w:rPr>
          <w:rFonts w:ascii="Arial" w:cs="Arial" w:eastAsia="Arial" w:hAnsi="Arial"/>
          <w:color w:val="222222"/>
          <w:sz w:val="22"/>
          <w:szCs w:val="22"/>
        </w:rPr>
        <w:t xml:space="preserve">Catalog purchases show the strongest correlation with both campaign response and total spending, suggesting that catalog-engaged customers are a high-value segment. Deal purchases show a weak negative correlation with response, indicating that deal-seekers may be less loyal and more price-sensitive, making them harder to convert through premium marketing campaigns.</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3.3 Campaign Response Analysis</w:t>
      </w:r>
    </w:p>
    <w:p>
      <w:pPr>
        <w:spacing w:after="120" w:line="320"/>
        <w:jc w:val="both"/>
      </w:pPr>
      <w:r>
        <w:rPr>
          <w:rFonts w:ascii="Arial" w:cs="Arial" w:eastAsia="Arial" w:hAnsi="Arial"/>
          <w:color w:val="222222"/>
          <w:sz w:val="22"/>
          <w:szCs w:val="22"/>
        </w:rPr>
        <w:t xml:space="preserve">The primary target variable, Response, indicates acceptance of the most recent marketing campaign. With an overall acceptance rate of 14.9%, the analysis reveals clear patterns in which customer segments are most receptive.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Campaign</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Acceptance Count</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Acceptance Rate</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Overlap with Response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Campaign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144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6.4%</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High (0.30)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Campaign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Moderate (0.18)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Campaign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163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7.3%</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High (0.32)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Campaign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167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High (0.31)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Campaign 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163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7.3%</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High (0.33)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Response (Target)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14.9%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N/A</w:t>
            </w:r>
          </w:p>
        </w:tc>
      </w:tr>
    </w:tbl>
    <w:p>
      <w:pPr>
        <w:spacing w:after="80" w:before="120"/>
      </w:pPr>
      <w:r>
        <w:t xml:space="preserve"/>
      </w:r>
    </w:p>
    <w:p>
      <w:pPr>
        <w:spacing w:after="120" w:line="320"/>
        <w:jc w:val="both"/>
      </w:pPr>
      <w:r>
        <w:rPr>
          <w:rFonts w:ascii="Arial" w:cs="Arial" w:eastAsia="Arial" w:hAnsi="Arial"/>
          <w:color w:val="222222"/>
          <w:sz w:val="22"/>
          <w:szCs w:val="22"/>
        </w:rPr>
        <w:t xml:space="preserve">Customers who accepted previous campaigns are dramatically more likely to accept the current campaign. The correlation between TotalCampaignsAccepted and Response is 0.426 — the single strongest predictor in the dataset. Customers who accepted 3 or more prior campaigns have an estimated response probability of approximately 45-55%, compared to 9% for those with no prior acceptance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CCCCCC" w:sz="1"/>
              <w:right w:val="single" w:color="CCCCCC" w:sz="1"/>
            </w:tcBorders>
            <w:shd w:fill="EBF5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Behavioral Segmentation Insight</w:t>
            </w:r>
          </w:p>
          <w:p>
            <w:pPr>
              <w:spacing w:after="80"/>
              <w:jc w:val="both"/>
            </w:pPr>
            <w:r>
              <w:rPr>
                <w:rFonts w:ascii="Arial" w:cs="Arial" w:eastAsia="Arial" w:hAnsi="Arial"/>
                <w:color w:val="333333"/>
                <w:sz w:val="21"/>
                <w:szCs w:val="21"/>
              </w:rPr>
              <w:t xml:space="preserve">Three distinct customer behavioral clusters emerge from the analysis:</w:t>
            </w:r>
          </w:p>
          <w:p>
            <w:pPr>
              <w:spacing w:after="80"/>
              <w:jc w:val="both"/>
            </w:pPr>
            <w:r>
              <w:rPr>
                <w:rFonts w:ascii="Arial" w:cs="Arial" w:eastAsia="Arial" w:hAnsi="Arial"/>
                <w:color w:val="333333"/>
                <w:sz w:val="21"/>
                <w:szCs w:val="21"/>
              </w:rPr>
              <w:t xml:space="preserve">Segment 1 — High-Value Engagers (approx. 18%): High income, high spend, multiple campaign acceptances. Response rate ~38%. Primary targets for premium campaigns.</w:t>
            </w:r>
          </w:p>
          <w:p>
            <w:pPr>
              <w:spacing w:after="80"/>
              <w:jc w:val="both"/>
            </w:pPr>
            <w:r>
              <w:rPr>
                <w:rFonts w:ascii="Arial" w:cs="Arial" w:eastAsia="Arial" w:hAnsi="Arial"/>
                <w:color w:val="333333"/>
                <w:sz w:val="21"/>
                <w:szCs w:val="21"/>
              </w:rPr>
              <w:t xml:space="preserve">Segment 2 — Moderate Shoppers (approx. 52%): Average income, moderate spend, 0-1 campaign acceptances. Response rate ~11%. Responsive to personalized offers and discounts.</w:t>
            </w:r>
          </w:p>
          <w:p>
            <w:pPr>
              <w:spacing w:after="80"/>
              <w:jc w:val="both"/>
            </w:pPr>
            <w:r>
              <w:rPr>
                <w:rFonts w:ascii="Arial" w:cs="Arial" w:eastAsia="Arial" w:hAnsi="Arial"/>
                <w:color w:val="333333"/>
                <w:sz w:val="21"/>
                <w:szCs w:val="21"/>
              </w:rPr>
              <w:t xml:space="preserve">Segment 3 — Low-Engagement Customers (approx. 30%): Lower income, low spend, no prior acceptances, multiple children. Response rate ~5%. Require different marketing strategy (loyalty programs, family-oriented offers).</w:t>
            </w:r>
          </w:p>
        </w:tc>
      </w:tr>
    </w:tbl>
    <w:p>
      <w:pPr>
        <w:spacing w:after="0"/>
      </w:pPr>
      <w:r>
        <w:br w:type="page"/>
      </w:r>
    </w:p>
    <w:p>
      <w:pPr>
        <w:pStyle w:val="Heading1"/>
        <w:pBdr>
          <w:bottom w:val="single" w:color="E67E22" w:sz="6" w:space="1"/>
        </w:pBdr>
        <w:shd w:fill="1F3864" w:val="clear"/>
        <w:spacing w:after="200" w:before="360"/>
        <w:ind w:left="360"/>
      </w:pPr>
      <w:r>
        <w:rPr>
          <w:rFonts w:ascii="Arial" w:cs="Arial" w:eastAsia="Arial" w:hAnsi="Arial"/>
          <w:b/>
          <w:bCs/>
          <w:color w:val="FFFFFF"/>
          <w:sz w:val="36"/>
          <w:szCs w:val="36"/>
        </w:rPr>
        <w:t xml:space="preserve">4. Power BI Dashboard Design</w:t>
      </w:r>
    </w:p>
    <w:p>
      <w:pPr>
        <w:pStyle w:val="Heading2"/>
        <w:pBdr>
          <w:bottom w:val="single" w:color="D6E4F0" w:sz="4" w:space="1"/>
        </w:pBdr>
        <w:spacing w:after="140" w:before="280"/>
      </w:pPr>
      <w:r>
        <w:rPr>
          <w:rFonts w:ascii="Arial" w:cs="Arial" w:eastAsia="Arial" w:hAnsi="Arial"/>
          <w:b/>
          <w:bCs/>
          <w:color w:val="2E75B6"/>
          <w:sz w:val="28"/>
          <w:szCs w:val="28"/>
        </w:rPr>
        <w:t xml:space="preserve">4.1 Overview of Dashboard Architecture</w:t>
      </w:r>
    </w:p>
    <w:p>
      <w:pPr>
        <w:spacing w:after="120" w:line="320"/>
        <w:jc w:val="both"/>
      </w:pPr>
      <w:r>
        <w:rPr>
          <w:rFonts w:ascii="Arial" w:cs="Arial" w:eastAsia="Arial" w:hAnsi="Arial"/>
          <w:color w:val="222222"/>
          <w:sz w:val="22"/>
          <w:szCs w:val="22"/>
        </w:rPr>
        <w:t xml:space="preserve">Power BI was selected as the visualization platform due to its robust DAX calculation engine, interactive filtering capabilities, and seamless integration with Excel data sources. The dashboard architecture is designed around five core analytical views, each addressing a specific analytical objective.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CCCCCC" w:sz="1"/>
              <w:right w:val="single" w:color="CCCCCC" w:sz="1"/>
            </w:tcBorders>
            <w:shd w:fill="EBF5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Dashboard Architecture Overview</w:t>
            </w:r>
          </w:p>
          <w:p>
            <w:pPr>
              <w:spacing w:after="80"/>
              <w:jc w:val="both"/>
            </w:pPr>
            <w:r>
              <w:rPr>
                <w:rFonts w:ascii="Arial" w:cs="Arial" w:eastAsia="Arial" w:hAnsi="Arial"/>
                <w:color w:val="333333"/>
                <w:sz w:val="21"/>
                <w:szCs w:val="21"/>
              </w:rPr>
              <w:t xml:space="preserve">Dashboard 1: Executive KPI Summary — High-level metrics for C-suite stakeholders.</w:t>
            </w:r>
          </w:p>
          <w:p>
            <w:pPr>
              <w:spacing w:after="80"/>
              <w:jc w:val="both"/>
            </w:pPr>
            <w:r>
              <w:rPr>
                <w:rFonts w:ascii="Arial" w:cs="Arial" w:eastAsia="Arial" w:hAnsi="Arial"/>
                <w:color w:val="333333"/>
                <w:sz w:val="21"/>
                <w:szCs w:val="21"/>
              </w:rPr>
              <w:t xml:space="preserve">Dashboard 2: Customer Demographic Profile — Segmentation visuals by age, education, income, and marital status.</w:t>
            </w:r>
          </w:p>
          <w:p>
            <w:pPr>
              <w:spacing w:after="80"/>
              <w:jc w:val="both"/>
            </w:pPr>
            <w:r>
              <w:rPr>
                <w:rFonts w:ascii="Arial" w:cs="Arial" w:eastAsia="Arial" w:hAnsi="Arial"/>
                <w:color w:val="333333"/>
                <w:sz w:val="21"/>
                <w:szCs w:val="21"/>
              </w:rPr>
              <w:t xml:space="preserve">Dashboard 3: Purchase Behavior &amp; Channel Analysis — Category-level spend breakdown, channel comparison, and deal usage.</w:t>
            </w:r>
          </w:p>
          <w:p>
            <w:pPr>
              <w:spacing w:after="80"/>
              <w:jc w:val="both"/>
            </w:pPr>
            <w:r>
              <w:rPr>
                <w:rFonts w:ascii="Arial" w:cs="Arial" w:eastAsia="Arial" w:hAnsi="Arial"/>
                <w:color w:val="333333"/>
                <w:sz w:val="21"/>
                <w:szCs w:val="21"/>
              </w:rPr>
              <w:t xml:space="preserve">Dashboard 4: Campaign Performance Tracker — Response rates by prior acceptance, segment, and campaign.</w:t>
            </w:r>
          </w:p>
          <w:p>
            <w:pPr>
              <w:spacing w:after="80"/>
              <w:jc w:val="both"/>
            </w:pPr>
            <w:r>
              <w:rPr>
                <w:rFonts w:ascii="Arial" w:cs="Arial" w:eastAsia="Arial" w:hAnsi="Arial"/>
                <w:color w:val="333333"/>
                <w:sz w:val="21"/>
                <w:szCs w:val="21"/>
              </w:rPr>
              <w:t xml:space="preserve">Dashboard 5: Predictive Model Insights — Model performance metrics and customer scoring visualization.</w:t>
            </w:r>
          </w:p>
        </w:tc>
      </w:tr>
    </w:tbl>
    <w:p>
      <w:pPr>
        <w:spacing w:after="80" w:before="10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4.2 Dashboard 1: Executive KPI Summary</w:t>
      </w:r>
    </w:p>
    <w:p>
      <w:pPr>
        <w:spacing w:after="120" w:line="320"/>
        <w:jc w:val="both"/>
      </w:pPr>
      <w:r>
        <w:rPr>
          <w:rFonts w:ascii="Arial" w:cs="Arial" w:eastAsia="Arial" w:hAnsi="Arial"/>
          <w:color w:val="222222"/>
          <w:sz w:val="22"/>
          <w:szCs w:val="22"/>
        </w:rPr>
        <w:t xml:space="preserve">The Executive KPI dashboard provides at-a-glance visibility into campaign performance metrics. It employs a card-based layout featuring key performance indicators alongside trend sparklines.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28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KPI Card</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c>
          <w:tcPr>
            <w:tcW w:type="dxa" w:w="28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Visual 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Overall Response Rate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 Customers Responding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14.9%</w:t>
            </w:r>
          </w:p>
        </w:tc>
        <w:tc>
          <w:tcPr>
            <w:tcW w:type="dxa" w:w="2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Gauge Chart + Card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Total Campaign Investment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Z_CostContact × Customers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6,720 units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Card with trend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Avg Revenue per Responder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Z_Revenue × Responders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3,674 units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High-Value Customer 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Income &gt; $75K &amp; Response=1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87 customers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Campaign ROI Proxy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Revenue / Contact Cost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3.67x</w:t>
            </w:r>
          </w:p>
        </w:tc>
        <w:tc>
          <w:tcPr>
            <w:tcW w:type="dxa" w:w="2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KPI indicator</w:t>
            </w:r>
          </w:p>
        </w:tc>
      </w:tr>
    </w:tbl>
    <w:p>
      <w:pPr>
        <w:spacing w:after="80" w:before="120"/>
      </w:pPr>
      <w:r>
        <w:t xml:space="preserve"/>
      </w:r>
    </w:p>
    <w:p>
      <w:pPr>
        <w:spacing w:after="120" w:line="320"/>
        <w:jc w:val="both"/>
      </w:pPr>
      <w:r>
        <w:rPr>
          <w:rFonts w:ascii="Arial" w:cs="Arial" w:eastAsia="Arial" w:hAnsi="Arial"/>
          <w:color w:val="222222"/>
          <w:sz w:val="22"/>
          <w:szCs w:val="22"/>
        </w:rPr>
        <w:t xml:space="preserve">DAX Measures Used: The response rate is calculated dynamically using CALCULATE(COUNTROWS(FILTER(marketing_data, marketing_data[Response]=1))) / COUNTROWS(marketing_data). Cross-filter context enables drill-down by education, age group, or marital status with a single click.</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4.3 Dashboard 2: Customer Demographic Profile</w:t>
      </w:r>
    </w:p>
    <w:p>
      <w:pPr>
        <w:spacing w:after="120" w:line="320"/>
        <w:jc w:val="both"/>
      </w:pPr>
      <w:r>
        <w:rPr>
          <w:rFonts w:ascii="Arial" w:cs="Arial" w:eastAsia="Arial" w:hAnsi="Arial"/>
          <w:color w:val="222222"/>
          <w:sz w:val="22"/>
          <w:szCs w:val="22"/>
        </w:rPr>
        <w:t xml:space="preserve">This dashboard enables marketers to understand who their customers are through interactive demographic segmentation.</w:t>
      </w:r>
    </w:p>
    <w:p>
      <w:pPr>
        <w:pStyle w:val="ListParagraph"/>
        <w:numPr>
          <w:ilvl w:val="0"/>
          <w:numId w:val="2"/>
        </w:numPr>
        <w:spacing w:after="80"/>
      </w:pPr>
      <w:r>
        <w:rPr>
          <w:rFonts w:ascii="Arial" w:cs="Arial" w:eastAsia="Arial" w:hAnsi="Arial"/>
          <w:color w:val="222222"/>
          <w:sz w:val="22"/>
          <w:szCs w:val="22"/>
        </w:rPr>
        <w:t xml:space="preserve">Age Distribution Histogram: A binned histogram (bin width: 10 years) displays the age distribution. An age slicer enables filtering to show how demographics shift across age bands. Overlaid line shows response rate by age band.</w:t>
      </w:r>
    </w:p>
    <w:p>
      <w:pPr>
        <w:pStyle w:val="ListParagraph"/>
        <w:numPr>
          <w:ilvl w:val="0"/>
          <w:numId w:val="2"/>
        </w:numPr>
        <w:spacing w:after="80"/>
      </w:pPr>
      <w:r>
        <w:rPr>
          <w:rFonts w:ascii="Arial" w:cs="Arial" w:eastAsia="Arial" w:hAnsi="Arial"/>
          <w:color w:val="222222"/>
          <w:sz w:val="22"/>
          <w:szCs w:val="22"/>
        </w:rPr>
        <w:t xml:space="preserve">Education Donut Chart: A proportional donut chart displays the five education categories. Clicking a segment cross-filters all other visuals. A secondary bar chart shows response rate by education level, revealing PhD holders as the highest-converting segment.</w:t>
      </w:r>
    </w:p>
    <w:p>
      <w:pPr>
        <w:pStyle w:val="ListParagraph"/>
        <w:numPr>
          <w:ilvl w:val="0"/>
          <w:numId w:val="2"/>
        </w:numPr>
        <w:spacing w:after="80"/>
      </w:pPr>
      <w:r>
        <w:rPr>
          <w:rFonts w:ascii="Arial" w:cs="Arial" w:eastAsia="Arial" w:hAnsi="Arial"/>
          <w:color w:val="222222"/>
          <w:sz w:val="22"/>
          <w:szCs w:val="22"/>
        </w:rPr>
        <w:t xml:space="preserve">Income vs. Spend Scatter Plot: A scatter plot with Income on X-axis and TotalSpend on Y-axis, colored by Response (blue = 0, orange = 1). A clear positive correlation is visible, with responding customers clustering in the high-income, high-spend quadrant.</w:t>
      </w:r>
    </w:p>
    <w:p>
      <w:pPr>
        <w:pStyle w:val="ListParagraph"/>
        <w:numPr>
          <w:ilvl w:val="0"/>
          <w:numId w:val="2"/>
        </w:numPr>
        <w:spacing w:after="80"/>
      </w:pPr>
      <w:r>
        <w:rPr>
          <w:rFonts w:ascii="Arial" w:cs="Arial" w:eastAsia="Arial" w:hAnsi="Arial"/>
          <w:color w:val="222222"/>
          <w:sz w:val="22"/>
          <w:szCs w:val="22"/>
        </w:rPr>
        <w:t xml:space="preserve">Geographic/Marital Status Treemap: A treemap visualizes customer counts by marital status, sized by count and colored by response rate, allowing quick identification of high-response marital segments.</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4.4 Dashboard 3: Purchase Behavior Analysis</w:t>
      </w:r>
    </w:p>
    <w:p>
      <w:pPr>
        <w:spacing w:after="120" w:line="320"/>
        <w:jc w:val="both"/>
      </w:pPr>
      <w:r>
        <w:rPr>
          <w:rFonts w:ascii="Arial" w:cs="Arial" w:eastAsia="Arial" w:hAnsi="Arial"/>
          <w:color w:val="222222"/>
          <w:sz w:val="22"/>
          <w:szCs w:val="22"/>
        </w:rPr>
        <w:t xml:space="preserve">The behavior dashboard focuses on how customers spend and shop, providing actionable insights for product-channel strategy.</w:t>
      </w:r>
    </w:p>
    <w:p>
      <w:pPr>
        <w:pStyle w:val="ListParagraph"/>
        <w:numPr>
          <w:ilvl w:val="0"/>
          <w:numId w:val="2"/>
        </w:numPr>
        <w:spacing w:after="80"/>
      </w:pPr>
      <w:r>
        <w:rPr>
          <w:rFonts w:ascii="Arial" w:cs="Arial" w:eastAsia="Arial" w:hAnsi="Arial"/>
          <w:color w:val="222222"/>
          <w:sz w:val="22"/>
          <w:szCs w:val="22"/>
        </w:rPr>
        <w:t xml:space="preserve">Stacked Bar Chart — Spend by Category &amp; Segment: Customers are segmented into quintiles by total spend. Each quintile bar is broken into product category spend proportions. The wine dominance is visible across all quintiles, while meat products' share increases at higher spend levels.</w:t>
      </w:r>
    </w:p>
    <w:p>
      <w:pPr>
        <w:pStyle w:val="ListParagraph"/>
        <w:numPr>
          <w:ilvl w:val="0"/>
          <w:numId w:val="2"/>
        </w:numPr>
        <w:spacing w:after="80"/>
      </w:pPr>
      <w:r>
        <w:rPr>
          <w:rFonts w:ascii="Arial" w:cs="Arial" w:eastAsia="Arial" w:hAnsi="Arial"/>
          <w:color w:val="222222"/>
          <w:sz w:val="22"/>
          <w:szCs w:val="22"/>
        </w:rPr>
        <w:t xml:space="preserve">Channel Purchase Comparison — Clustered Column Chart: Side-by-side bars compare average purchases across Store, Web, Catalog, and Deals channels, segmented by Response. Catalog purchases show the greatest divergence between responders and non-responders.</w:t>
      </w:r>
    </w:p>
    <w:p>
      <w:pPr>
        <w:pStyle w:val="ListParagraph"/>
        <w:numPr>
          <w:ilvl w:val="0"/>
          <w:numId w:val="2"/>
        </w:numPr>
        <w:spacing w:after="80"/>
      </w:pPr>
      <w:r>
        <w:rPr>
          <w:rFonts w:ascii="Arial" w:cs="Arial" w:eastAsia="Arial" w:hAnsi="Arial"/>
          <w:color w:val="222222"/>
          <w:sz w:val="22"/>
          <w:szCs w:val="22"/>
        </w:rPr>
        <w:t xml:space="preserve">Deal Purchase vs. Response Scatter: A scatter of NumDealsPurchases vs. Response (with jitter) reveals that high deal usage is inversely related to response, supporting the finding that deal-seekers are less campaign-responsive.</w:t>
      </w:r>
    </w:p>
    <w:p>
      <w:pPr>
        <w:pStyle w:val="ListParagraph"/>
        <w:numPr>
          <w:ilvl w:val="0"/>
          <w:numId w:val="2"/>
        </w:numPr>
        <w:spacing w:after="80"/>
      </w:pPr>
      <w:r>
        <w:rPr>
          <w:rFonts w:ascii="Arial" w:cs="Arial" w:eastAsia="Arial" w:hAnsi="Arial"/>
          <w:color w:val="222222"/>
          <w:sz w:val="22"/>
          <w:szCs w:val="22"/>
        </w:rPr>
        <w:t xml:space="preserve">Web Visits Funnel Chart: A funnel chart tracks NumWebVisitsMonth quartiles against conversion rate, showing diminishing returns at very high web visit counts (suggesting browsing-not-buying behavior).</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4.5 Dashboard 4: Campaign Performance Tracker</w:t>
      </w:r>
    </w:p>
    <w:p>
      <w:pPr>
        <w:pStyle w:val="ListParagraph"/>
        <w:numPr>
          <w:ilvl w:val="0"/>
          <w:numId w:val="2"/>
        </w:numPr>
        <w:spacing w:after="80"/>
      </w:pPr>
      <w:r>
        <w:rPr>
          <w:rFonts w:ascii="Arial" w:cs="Arial" w:eastAsia="Arial" w:hAnsi="Arial"/>
          <w:color w:val="222222"/>
          <w:sz w:val="22"/>
          <w:szCs w:val="22"/>
        </w:rPr>
        <w:t xml:space="preserve">Campaign Acceptance Heatmap: A matrix heatmap shows acceptance rates across all five prior campaigns (rows) by education level (columns). Color intensity scales from white (0%) to deep blue (&gt;20%). PhD-educated customers show the deepest color across all campaign rows.</w:t>
      </w:r>
    </w:p>
    <w:p>
      <w:pPr>
        <w:pStyle w:val="ListParagraph"/>
        <w:numPr>
          <w:ilvl w:val="0"/>
          <w:numId w:val="2"/>
        </w:numPr>
        <w:spacing w:after="80"/>
      </w:pPr>
      <w:r>
        <w:rPr>
          <w:rFonts w:ascii="Arial" w:cs="Arial" w:eastAsia="Arial" w:hAnsi="Arial"/>
          <w:color w:val="222222"/>
          <w:sz w:val="22"/>
          <w:szCs w:val="22"/>
        </w:rPr>
        <w:t xml:space="preserve">Response Rate Waterfall Chart: A waterfall chart decomposes the overall 14.9% response rate into contributions from prior campaign acceptance groups (0 prior, 1 prior, 2 prior, 3+ prior), visually demonstrating the compounding effect of prior engagement.</w:t>
      </w:r>
    </w:p>
    <w:p>
      <w:pPr>
        <w:pStyle w:val="ListParagraph"/>
        <w:numPr>
          <w:ilvl w:val="0"/>
          <w:numId w:val="2"/>
        </w:numPr>
        <w:spacing w:after="80"/>
      </w:pPr>
      <w:r>
        <w:rPr>
          <w:rFonts w:ascii="Arial" w:cs="Arial" w:eastAsia="Arial" w:hAnsi="Arial"/>
          <w:color w:val="222222"/>
          <w:sz w:val="22"/>
          <w:szCs w:val="22"/>
        </w:rPr>
        <w:t xml:space="preserve">Customer Journey Sankey Diagram: A Sankey diagram traces customers from initial enrollment year through education level, income quartile, to final campaign response (Yes/No). The visual reveals that high-income, PhD-educated customers joining in earlier years have the widest 'Yes' flow.</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4.6 Dashboard 5: Model Insights</w:t>
      </w:r>
    </w:p>
    <w:p>
      <w:pPr>
        <w:pStyle w:val="ListParagraph"/>
        <w:numPr>
          <w:ilvl w:val="0"/>
          <w:numId w:val="2"/>
        </w:numPr>
        <w:spacing w:after="80"/>
      </w:pPr>
      <w:r>
        <w:rPr>
          <w:rFonts w:ascii="Arial" w:cs="Arial" w:eastAsia="Arial" w:hAnsi="Arial"/>
          <w:color w:val="222222"/>
          <w:sz w:val="22"/>
          <w:szCs w:val="22"/>
        </w:rPr>
        <w:t xml:space="preserve">Predicted Probability Distribution: A histogram of predicted response probabilities from the logistic regression model, color-coded by actual response. The bimodal distribution confirms model discriminative power — most non-responders cluster near 0, most responders near 1.</w:t>
      </w:r>
    </w:p>
    <w:p>
      <w:pPr>
        <w:pStyle w:val="ListParagraph"/>
        <w:numPr>
          <w:ilvl w:val="0"/>
          <w:numId w:val="2"/>
        </w:numPr>
        <w:spacing w:after="80"/>
      </w:pPr>
      <w:r>
        <w:rPr>
          <w:rFonts w:ascii="Arial" w:cs="Arial" w:eastAsia="Arial" w:hAnsi="Arial"/>
          <w:color w:val="222222"/>
          <w:sz w:val="22"/>
          <w:szCs w:val="22"/>
        </w:rPr>
        <w:t xml:space="preserve">ROC Curve Visualization: The Receiver Operating Characteristic curve (AUC = 0.871) is reproduced in Power BI using custom R visuals, with an annotation marking the optimal threshold point (sensitivity = 0.72, specificity = 0.88).</w:t>
      </w:r>
    </w:p>
    <w:p>
      <w:pPr>
        <w:pStyle w:val="ListParagraph"/>
        <w:numPr>
          <w:ilvl w:val="0"/>
          <w:numId w:val="2"/>
        </w:numPr>
        <w:spacing w:after="80"/>
      </w:pPr>
      <w:r>
        <w:rPr>
          <w:rFonts w:ascii="Arial" w:cs="Arial" w:eastAsia="Arial" w:hAnsi="Arial"/>
          <w:color w:val="222222"/>
          <w:sz w:val="22"/>
          <w:szCs w:val="22"/>
        </w:rPr>
        <w:t xml:space="preserve">Feature Importance Bar Chart: A ranked horizontal bar chart of logistic regression coefficients (standardized), showing TotalCampaignsAccepted, Recency, NumWebVisitsMonth, and TotalSpend as the top predictors.</w:t>
      </w:r>
    </w:p>
    <w:p>
      <w:pPr>
        <w:spacing w:after="0"/>
      </w:pPr>
      <w:r>
        <w:br w:type="page"/>
      </w:r>
    </w:p>
    <w:p>
      <w:pPr>
        <w:pStyle w:val="Heading1"/>
        <w:pBdr>
          <w:bottom w:val="single" w:color="E67E22" w:sz="6" w:space="1"/>
        </w:pBdr>
        <w:shd w:fill="1F3864" w:val="clear"/>
        <w:spacing w:after="200" w:before="360"/>
        <w:ind w:left="360"/>
      </w:pPr>
      <w:r>
        <w:rPr>
          <w:rFonts w:ascii="Arial" w:cs="Arial" w:eastAsia="Arial" w:hAnsi="Arial"/>
          <w:b/>
          <w:bCs/>
          <w:color w:val="FFFFFF"/>
          <w:sz w:val="36"/>
          <w:szCs w:val="36"/>
        </w:rPr>
        <w:t xml:space="preserve">5. Statistical Analysis &amp; R Programming</w:t>
      </w:r>
    </w:p>
    <w:p>
      <w:pPr>
        <w:pStyle w:val="Heading2"/>
        <w:pBdr>
          <w:bottom w:val="single" w:color="D6E4F0" w:sz="4" w:space="1"/>
        </w:pBdr>
        <w:spacing w:after="140" w:before="280"/>
      </w:pPr>
      <w:r>
        <w:rPr>
          <w:rFonts w:ascii="Arial" w:cs="Arial" w:eastAsia="Arial" w:hAnsi="Arial"/>
          <w:b/>
          <w:bCs/>
          <w:color w:val="2E75B6"/>
          <w:sz w:val="28"/>
          <w:szCs w:val="28"/>
        </w:rPr>
        <w:t xml:space="preserve">5.1 R Environment Setup</w:t>
      </w:r>
    </w:p>
    <w:p>
      <w:pPr>
        <w:spacing w:after="120" w:line="320"/>
        <w:jc w:val="both"/>
      </w:pPr>
      <w:r>
        <w:rPr>
          <w:rFonts w:ascii="Arial" w:cs="Arial" w:eastAsia="Arial" w:hAnsi="Arial"/>
          <w:color w:val="222222"/>
          <w:sz w:val="22"/>
          <w:szCs w:val="22"/>
        </w:rPr>
        <w:t xml:space="preserve">R (version 4.3.x) was used for statistical modeling, hypothesis testing, and visualization due to its comprehensive statistical libraries, superior handling of regression diagnostics, and widespread use in academic and research settings. The following packages were employed: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Package</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Version</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tidyverse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2.0.0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Data manipulation (dplyr) and visualization (ggplot2)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caret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6.0-94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Machine learning workflow, cross-validation, model comparison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glm (base 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4.3.x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Generalized linear models including logistic regression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lm (base 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4.3.x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Ordinary least squares linear regression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ROCR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1.0-11</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ROC curve generation and AUC calculation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ggplot2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3.4.4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Advanced visualization for regression diagnostics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corrplot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0.92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Correlation matrix visualization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faux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1.2.1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Synthetic data generation with controlled distributions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3.1-2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Regression diagnostics (VIF, Durbin-Watson, outlier tests)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7.3-60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Statistical methods including stepwise regression</w:t>
            </w:r>
          </w:p>
        </w:tc>
      </w:tr>
    </w:tbl>
    <w:p>
      <w:pPr>
        <w:spacing w:after="80" w:before="12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5.2 Exploratory Data Analysis in R</w:t>
      </w:r>
    </w:p>
    <w:p>
      <w:pPr>
        <w:pStyle w:val="Heading3"/>
        <w:spacing w:after="100" w:before="200"/>
      </w:pPr>
      <w:r>
        <w:rPr>
          <w:rFonts w:ascii="Arial" w:cs="Arial" w:eastAsia="Arial" w:hAnsi="Arial"/>
          <w:b/>
          <w:bCs/>
          <w:color w:val="404040"/>
          <w:sz w:val="24"/>
          <w:szCs w:val="24"/>
        </w:rPr>
        <w:t xml:space="preserve">5.2.1 Descriptive Statistics</w:t>
      </w:r>
    </w:p>
    <w:p>
      <w:pPr>
        <w:spacing w:after="120" w:line="320"/>
        <w:jc w:val="both"/>
      </w:pPr>
      <w:r>
        <w:rPr>
          <w:rFonts w:ascii="Arial" w:cs="Arial" w:eastAsia="Arial" w:hAnsi="Arial"/>
          <w:color w:val="222222"/>
          <w:sz w:val="22"/>
          <w:szCs w:val="22"/>
        </w:rPr>
        <w:t xml:space="preserve">R's summary() and describe() functions from the psych package were used to generate comprehensive descriptive statistics. Key findings from the R EDA phase: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100"/>
        <w:gridCol w:w="1100"/>
        <w:gridCol w:w="10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Variable</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Mean</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Median</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Std Dev</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Min</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Max</w:t>
            </w:r>
          </w:p>
        </w:tc>
        <w:tc>
          <w:tcPr>
            <w:tcW w:type="dxa" w:w="10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Skewness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Age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55.19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54.00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11.98</w:t>
            </w:r>
          </w:p>
        </w:tc>
        <w:tc>
          <w:tcPr>
            <w:tcW w:type="dxa" w:w="1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28</w:t>
            </w:r>
          </w:p>
        </w:tc>
        <w:tc>
          <w:tcPr>
            <w:tcW w:type="dxa" w:w="1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80*</w:t>
            </w:r>
          </w:p>
        </w:tc>
        <w:tc>
          <w:tcPr>
            <w:tcW w:type="dxa" w:w="10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+0.42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Income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$52,247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$51,382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$25,173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$1,730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$666,666*</w:t>
            </w:r>
          </w:p>
        </w:tc>
        <w:tc>
          <w:tcPr>
            <w:tcW w:type="dxa" w:w="1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+1.87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TotalSpend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$605.80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$396.00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$602.25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$2,525</w:t>
            </w:r>
          </w:p>
        </w:tc>
        <w:tc>
          <w:tcPr>
            <w:tcW w:type="dxa" w:w="10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+0.95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Recency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49.11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49.00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28.96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99</w:t>
            </w:r>
          </w:p>
        </w:tc>
        <w:tc>
          <w:tcPr>
            <w:tcW w:type="dxa" w:w="1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+0.03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NumWebVisits/Mo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5.32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2.43</w:t>
            </w:r>
          </w:p>
        </w:tc>
        <w:tc>
          <w:tcPr>
            <w:tcW w:type="dxa" w:w="1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20</w:t>
            </w:r>
          </w:p>
        </w:tc>
        <w:tc>
          <w:tcPr>
            <w:tcW w:type="dxa" w:w="10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+0.73</w:t>
            </w:r>
          </w:p>
        </w:tc>
      </w:tr>
    </w:tbl>
    <w:p>
      <w:pPr>
        <w:spacing w:after="80" w:before="120"/>
      </w:pPr>
      <w:r>
        <w:t xml:space="preserve"/>
      </w:r>
    </w:p>
    <w:p>
      <w:pPr>
        <w:spacing w:after="120" w:line="320"/>
        <w:jc w:val="both"/>
      </w:pPr>
      <w:r>
        <w:rPr>
          <w:rFonts w:ascii="Arial" w:cs="Arial" w:eastAsia="Arial" w:hAnsi="Arial"/>
          <w:color w:val="222222"/>
          <w:sz w:val="22"/>
          <w:szCs w:val="22"/>
        </w:rPr>
        <w:t xml:space="preserve">* Extreme outliers identified. The income outlier of $666,666 was flagged as data entry error (likely $66,666) but retained in the dataset with a note, as it affects fewer than 0.05% of records.</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5.2.2 R Code: Correlation Analysis</w:t>
      </w:r>
    </w:p>
    <w:p>
      <w:pPr>
        <w:spacing w:after="120" w:line="320"/>
        <w:jc w:val="both"/>
      </w:pPr>
      <w:r>
        <w:rPr>
          <w:rFonts w:ascii="Arial" w:cs="Arial" w:eastAsia="Arial" w:hAnsi="Arial"/>
          <w:color w:val="222222"/>
          <w:sz w:val="22"/>
          <w:szCs w:val="22"/>
        </w:rPr>
        <w:t xml:space="preserve">The following R code excerpt illustrates the correlation analysis conducted:</w:t>
      </w:r>
    </w:p>
    <w:p>
      <w:pPr>
        <w:spacing w:after="60" w:before="60"/>
      </w:pPr>
      <w:r>
        <w:t xml:space="preserve"/>
      </w:r>
    </w:p>
    <w:p>
      <w:pPr>
        <w:shd w:fill="F8F8F8" w:val="clear"/>
        <w:spacing w:after="40"/>
      </w:pPr>
      <w:r>
        <w:rPr>
          <w:rFonts w:ascii="Courier New" w:cs="Courier New" w:eastAsia="Courier New" w:hAnsi="Courier New"/>
          <w:color w:val="006400"/>
          <w:sz w:val="20"/>
          <w:szCs w:val="20"/>
        </w:rPr>
        <w:t xml:space="preserve"># Load and prepare data</w:t>
      </w:r>
    </w:p>
    <w:p>
      <w:pPr>
        <w:shd w:fill="F8F8F8" w:val="clear"/>
        <w:spacing w:after="40"/>
      </w:pPr>
      <w:r>
        <w:rPr>
          <w:rFonts w:ascii="Courier New" w:cs="Courier New" w:eastAsia="Courier New" w:hAnsi="Courier New"/>
          <w:color w:val="000080"/>
          <w:sz w:val="20"/>
          <w:szCs w:val="20"/>
        </w:rPr>
        <w:t xml:space="preserve">library(tidyverse); library(corrplot)</w:t>
      </w:r>
    </w:p>
    <w:p>
      <w:pPr>
        <w:shd w:fill="F8F8F8" w:val="clear"/>
        <w:spacing w:after="40"/>
      </w:pPr>
      <w:r>
        <w:rPr>
          <w:rFonts w:ascii="Courier New" w:cs="Courier New" w:eastAsia="Courier New" w:hAnsi="Courier New"/>
          <w:color w:val="333333"/>
          <w:sz w:val="20"/>
          <w:szCs w:val="20"/>
        </w:rPr>
        <w:t xml:space="preserve">campaign_data &lt;- read.csv('marketing_campaign.csv')</w:t>
      </w:r>
    </w:p>
    <w:p>
      <w:pPr>
        <w:shd w:fill="F8F8F8" w:val="clear"/>
        <w:spacing w:after="40"/>
      </w:pPr>
      <w:r>
        <w:rPr>
          <w:rFonts w:ascii="Courier New" w:cs="Courier New" w:eastAsia="Courier New" w:hAnsi="Courier New"/>
          <w:color w:val="333333"/>
          <w:sz w:val="20"/>
          <w:szCs w:val="20"/>
        </w:rPr>
        <w:t xml:space="preserve">campaign_data$Age &lt;- 2024 - campaign_data$Year_Birth</w:t>
      </w:r>
    </w:p>
    <w:p>
      <w:pPr>
        <w:shd w:fill="F8F8F8" w:val="clear"/>
        <w:spacing w:after="40"/>
      </w:pPr>
      <w:r>
        <w:rPr>
          <w:rFonts w:ascii="Courier New" w:cs="Courier New" w:eastAsia="Courier New" w:hAnsi="Courier New"/>
          <w:color w:val="333333"/>
          <w:sz w:val="20"/>
          <w:szCs w:val="20"/>
        </w:rPr>
        <w:t xml:space="preserve">campaign_data$TotalSpend &lt;- rowSums(campaign_data[,c('MntWines','MntFruits','MntMeatProducts','MntFishProducts','MntSweetProducts','MntGoldProds')])</w:t>
      </w:r>
    </w:p>
    <w:p>
      <w:pPr>
        <w:shd w:fill="F8F8F8" w:val="clear"/>
        <w:spacing w:after="40"/>
      </w:pPr>
      <w:r>
        <w:rPr>
          <w:rFonts w:ascii="Courier New" w:cs="Courier New" w:eastAsia="Courier New" w:hAnsi="Courier New"/>
          <w:color w:val="006400"/>
          <w:sz w:val="20"/>
          <w:szCs w:val="20"/>
        </w:rPr>
        <w:t xml:space="preserve"># Correlation matrix with significance</w:t>
      </w:r>
    </w:p>
    <w:p>
      <w:pPr>
        <w:shd w:fill="F8F8F8" w:val="clear"/>
        <w:spacing w:after="40"/>
      </w:pPr>
      <w:r>
        <w:rPr>
          <w:rFonts w:ascii="Courier New" w:cs="Courier New" w:eastAsia="Courier New" w:hAnsi="Courier New"/>
          <w:color w:val="333333"/>
          <w:sz w:val="20"/>
          <w:szCs w:val="20"/>
        </w:rPr>
        <w:t xml:space="preserve">cor_vars &lt;- c('Age','Income','TotalSpend','Recency','Kidhome','Teenhome','Response')</w:t>
      </w:r>
    </w:p>
    <w:p>
      <w:pPr>
        <w:shd w:fill="F8F8F8" w:val="clear"/>
        <w:spacing w:after="40"/>
      </w:pPr>
      <w:r>
        <w:rPr>
          <w:rFonts w:ascii="Courier New" w:cs="Courier New" w:eastAsia="Courier New" w:hAnsi="Courier New"/>
          <w:color w:val="333333"/>
          <w:sz w:val="20"/>
          <w:szCs w:val="20"/>
        </w:rPr>
        <w:t xml:space="preserve">cor_matrix &lt;- cor(campaign_data[,cor_vars], use='complete.obs')</w:t>
      </w:r>
    </w:p>
    <w:p>
      <w:pPr>
        <w:shd w:fill="F8F8F8" w:val="clear"/>
        <w:spacing w:after="100"/>
      </w:pPr>
      <w:r>
        <w:rPr>
          <w:rFonts w:ascii="Courier New" w:cs="Courier New" w:eastAsia="Courier New" w:hAnsi="Courier New"/>
          <w:color w:val="333333"/>
          <w:sz w:val="20"/>
          <w:szCs w:val="20"/>
        </w:rPr>
        <w:t xml:space="preserve">corrplot(cor_matrix, method='color', type='upper', addCoef.col='black', tl.cex=0.8)</w:t>
      </w:r>
    </w:p>
    <w:p>
      <w:pPr>
        <w:spacing w:after="80" w:before="100"/>
      </w:pPr>
      <w:r>
        <w:t xml:space="preserve"/>
      </w:r>
    </w:p>
    <w:p>
      <w:pPr>
        <w:pStyle w:val="Heading3"/>
        <w:spacing w:after="100" w:before="200"/>
      </w:pPr>
      <w:r>
        <w:rPr>
          <w:rFonts w:ascii="Arial" w:cs="Arial" w:eastAsia="Arial" w:hAnsi="Arial"/>
          <w:b/>
          <w:bCs/>
          <w:color w:val="404040"/>
          <w:sz w:val="24"/>
          <w:szCs w:val="24"/>
        </w:rPr>
        <w:t xml:space="preserve">5.2.3 Correlation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Variable Pair</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Pearson r</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p-value</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TotalCampaignsAccepted ~ Response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0.426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Strong positive — prior acceptance drives future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TotalSpend ~ Response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0.265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Moderate positive — high spenders more receptive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Recency ~ Response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-0.198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Moderate negative — recent buyers less likely to respond (saturation)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TotalPurchases ~ Response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0.155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Weak positive — active buyers slightly more responsive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Income ~ Response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0.133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Weak positive — higher income marginally increases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Teenhome ~ Response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-0.154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Negative — teenagers in home reduce response probability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Age ~ Response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-0.021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0.316</w:t>
            </w:r>
          </w:p>
        </w:tc>
        <w:tc>
          <w:tcPr>
            <w:tcW w:type="dxa" w:w="3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Not significant — age is not a meaningful predictor</w:t>
            </w:r>
          </w:p>
        </w:tc>
      </w:tr>
    </w:tbl>
    <w:p>
      <w:pPr>
        <w:spacing w:after="80" w:before="12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5.3 Hypothesis Testing</w:t>
      </w:r>
    </w:p>
    <w:p>
      <w:pPr>
        <w:pStyle w:val="Heading3"/>
        <w:spacing w:after="100" w:before="200"/>
      </w:pPr>
      <w:r>
        <w:rPr>
          <w:rFonts w:ascii="Arial" w:cs="Arial" w:eastAsia="Arial" w:hAnsi="Arial"/>
          <w:b/>
          <w:bCs/>
          <w:color w:val="404040"/>
          <w:sz w:val="24"/>
          <w:szCs w:val="24"/>
        </w:rPr>
        <w:t xml:space="preserve">5.3.1 Chi-Square Test: Education vs. Response</w:t>
      </w:r>
    </w:p>
    <w:p>
      <w:pPr>
        <w:spacing w:after="120" w:line="320"/>
        <w:jc w:val="both"/>
      </w:pPr>
      <w:r>
        <w:rPr>
          <w:rFonts w:ascii="Arial" w:cs="Arial" w:eastAsia="Arial" w:hAnsi="Arial"/>
          <w:color w:val="222222"/>
          <w:sz w:val="22"/>
          <w:szCs w:val="22"/>
        </w:rPr>
        <w:t xml:space="preserve">A chi-square test of independence was conducted to test whether education level is significantly associated with campaign response.</w:t>
      </w:r>
    </w:p>
    <w:p>
      <w:pPr>
        <w:spacing w:after="120" w:line="320"/>
        <w:jc w:val="both"/>
      </w:pPr>
      <w:r>
        <w:rPr>
          <w:rFonts w:ascii="Arial" w:cs="Arial" w:eastAsia="Arial" w:hAnsi="Arial"/>
          <w:b/>
          <w:bCs/>
          <w:color w:val="222222"/>
          <w:sz w:val="22"/>
          <w:szCs w:val="22"/>
        </w:rPr>
        <w:t xml:space="preserve">H₀: </w:t>
      </w:r>
      <w:r>
        <w:rPr>
          <w:rFonts w:ascii="Arial" w:cs="Arial" w:eastAsia="Arial" w:hAnsi="Arial"/>
          <w:sz w:val="22"/>
          <w:szCs w:val="22"/>
        </w:rPr>
        <w:t xml:space="preserve">Education level and campaign response are independent.</w:t>
      </w:r>
    </w:p>
    <w:p>
      <w:pPr>
        <w:spacing w:after="120" w:line="320"/>
        <w:jc w:val="both"/>
      </w:pPr>
      <w:r>
        <w:rPr>
          <w:rFonts w:ascii="Arial" w:cs="Arial" w:eastAsia="Arial" w:hAnsi="Arial"/>
          <w:b/>
          <w:bCs/>
          <w:color w:val="222222"/>
          <w:sz w:val="22"/>
          <w:szCs w:val="22"/>
        </w:rPr>
        <w:t xml:space="preserve">H₁: </w:t>
      </w:r>
      <w:r>
        <w:rPr>
          <w:rFonts w:ascii="Arial" w:cs="Arial" w:eastAsia="Arial" w:hAnsi="Arial"/>
          <w:sz w:val="22"/>
          <w:szCs w:val="22"/>
        </w:rPr>
        <w:t xml:space="preserve">Education level and campaign response are associated.</w:t>
      </w:r>
    </w:p>
    <w:p>
      <w:pPr>
        <w:spacing w:after="60" w:before="60"/>
      </w:pPr>
      <w:r>
        <w:t xml:space="preserve"/>
      </w:r>
    </w:p>
    <w:p>
      <w:pPr>
        <w:shd w:fill="F8F8F8" w:val="clear"/>
        <w:spacing w:after="40"/>
      </w:pPr>
      <w:r>
        <w:rPr>
          <w:rFonts w:ascii="Courier New" w:cs="Courier New" w:eastAsia="Courier New" w:hAnsi="Courier New"/>
          <w:color w:val="333333"/>
          <w:sz w:val="20"/>
          <w:szCs w:val="20"/>
        </w:rPr>
        <w:t xml:space="preserve">chi_test &lt;- chisq.test(table(campaign_data$Education, campaign_data$Response))</w:t>
      </w:r>
    </w:p>
    <w:p>
      <w:pPr>
        <w:shd w:fill="F8F8F8" w:val="clear"/>
        <w:spacing w:after="100"/>
      </w:pPr>
      <w:r>
        <w:rPr>
          <w:rFonts w:ascii="Courier New" w:cs="Courier New" w:eastAsia="Courier New" w:hAnsi="Courier New"/>
          <w:color w:val="006400"/>
          <w:sz w:val="20"/>
          <w:szCs w:val="20"/>
        </w:rPr>
        <w:t xml:space="preserve"># Output: X-squared = 48.72, df = 4, p-value = 7.23e-10</w:t>
      </w:r>
    </w:p>
    <w:p>
      <w:pPr>
        <w:spacing w:after="80" w:before="80"/>
      </w:pPr>
      <w:r>
        <w:t xml:space="preserve"/>
      </w:r>
    </w:p>
    <w:p>
      <w:pPr>
        <w:spacing w:after="120" w:line="320"/>
        <w:jc w:val="both"/>
      </w:pPr>
      <w:r>
        <w:rPr>
          <w:rFonts w:ascii="Arial" w:cs="Arial" w:eastAsia="Arial" w:hAnsi="Arial"/>
          <w:color w:val="222222"/>
          <w:sz w:val="22"/>
          <w:szCs w:val="22"/>
        </w:rPr>
        <w:t xml:space="preserve">Result: χ²(4) = 48.72, p &lt; 0.001. We reject the null hypothesis. Education level is significantly associated with campaign response at the 1% significance level. This justifies the inclusion of education as a categorical predictor in regression models.</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5.3.2 Welch Two-Sample t-Test: Income by Response</w:t>
      </w:r>
    </w:p>
    <w:p>
      <w:pPr>
        <w:spacing w:after="120" w:line="320"/>
        <w:jc w:val="both"/>
      </w:pPr>
      <w:r>
        <w:rPr>
          <w:rFonts w:ascii="Arial" w:cs="Arial" w:eastAsia="Arial" w:hAnsi="Arial"/>
          <w:color w:val="222222"/>
          <w:sz w:val="22"/>
          <w:szCs w:val="22"/>
        </w:rPr>
        <w:t xml:space="preserve">A Welch two-sample t-test (assuming unequal variances) was conducted to determine whether responding and non-responding customers have significantly different income levels.</w:t>
      </w:r>
    </w:p>
    <w:p>
      <w:pPr>
        <w:spacing w:after="120" w:line="320"/>
        <w:jc w:val="both"/>
      </w:pPr>
      <w:r>
        <w:rPr>
          <w:rFonts w:ascii="Arial" w:cs="Arial" w:eastAsia="Arial" w:hAnsi="Arial"/>
          <w:b/>
          <w:bCs/>
          <w:color w:val="222222"/>
          <w:sz w:val="22"/>
          <w:szCs w:val="22"/>
        </w:rPr>
        <w:t xml:space="preserve">H₀: </w:t>
      </w:r>
      <w:r>
        <w:rPr>
          <w:rFonts w:ascii="Arial" w:cs="Arial" w:eastAsia="Arial" w:hAnsi="Arial"/>
          <w:sz w:val="22"/>
          <w:szCs w:val="22"/>
        </w:rPr>
        <w:t xml:space="preserve">Mean income is equal for responders and non-responders.</w:t>
      </w:r>
    </w:p>
    <w:p>
      <w:pPr>
        <w:spacing w:after="120" w:line="320"/>
        <w:jc w:val="both"/>
      </w:pPr>
      <w:r>
        <w:rPr>
          <w:rFonts w:ascii="Arial" w:cs="Arial" w:eastAsia="Arial" w:hAnsi="Arial"/>
          <w:b/>
          <w:bCs/>
          <w:color w:val="222222"/>
          <w:sz w:val="22"/>
          <w:szCs w:val="22"/>
        </w:rPr>
        <w:t xml:space="preserve">H₁: </w:t>
      </w:r>
      <w:r>
        <w:rPr>
          <w:rFonts w:ascii="Arial" w:cs="Arial" w:eastAsia="Arial" w:hAnsi="Arial"/>
          <w:sz w:val="22"/>
          <w:szCs w:val="22"/>
        </w:rPr>
        <w:t xml:space="preserve">Mean income differs significantly between the two groups.</w:t>
      </w:r>
    </w:p>
    <w:p>
      <w:pPr>
        <w:spacing w:after="60" w:before="60"/>
      </w:pPr>
      <w:r>
        <w:t xml:space="preserve"/>
      </w:r>
    </w:p>
    <w:p>
      <w:pPr>
        <w:shd w:fill="F8F8F8" w:val="clear"/>
        <w:spacing w:after="40"/>
      </w:pPr>
      <w:r>
        <w:rPr>
          <w:rFonts w:ascii="Courier New" w:cs="Courier New" w:eastAsia="Courier New" w:hAnsi="Courier New"/>
          <w:color w:val="333333"/>
          <w:sz w:val="20"/>
          <w:szCs w:val="20"/>
        </w:rPr>
        <w:t xml:space="preserve">t.test(Income ~ Response, data=campaign_data, var.equal=FALSE)</w:t>
      </w:r>
    </w:p>
    <w:p>
      <w:pPr>
        <w:shd w:fill="F8F8F8" w:val="clear"/>
        <w:spacing w:after="100"/>
      </w:pPr>
      <w:r>
        <w:rPr>
          <w:rFonts w:ascii="Courier New" w:cs="Courier New" w:eastAsia="Courier New" w:hAnsi="Courier New"/>
          <w:color w:val="006400"/>
          <w:sz w:val="20"/>
          <w:szCs w:val="20"/>
        </w:rPr>
        <w:t xml:space="preserve"># t = -5.84, df = 394.2, p-value = 9.1e-09</w:t>
      </w:r>
    </w:p>
    <w:p>
      <w:pPr>
        <w:spacing w:after="80" w:before="80"/>
      </w:pPr>
      <w:r>
        <w:t xml:space="preserve"/>
      </w:r>
    </w:p>
    <w:p>
      <w:pPr>
        <w:spacing w:after="120" w:line="320"/>
        <w:jc w:val="both"/>
      </w:pPr>
      <w:r>
        <w:rPr>
          <w:rFonts w:ascii="Arial" w:cs="Arial" w:eastAsia="Arial" w:hAnsi="Arial"/>
          <w:color w:val="222222"/>
          <w:sz w:val="22"/>
          <w:szCs w:val="22"/>
        </w:rPr>
        <w:t xml:space="preserve">Result: t(394.2) = -5.84, p &lt; 0.001. Responders have a significantly higher mean income ($60,210) compared to non-responders ($50,839), a difference of $9,371 (18.4%). This confirms income as a meaningful, statistically significant differentiator between the two groups.</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5.3.3 ANOVA: Spend by Education Level</w:t>
      </w:r>
    </w:p>
    <w:p>
      <w:pPr>
        <w:spacing w:after="120" w:line="320"/>
        <w:jc w:val="both"/>
      </w:pPr>
      <w:r>
        <w:rPr>
          <w:rFonts w:ascii="Arial" w:cs="Arial" w:eastAsia="Arial" w:hAnsi="Arial"/>
          <w:color w:val="222222"/>
          <w:sz w:val="22"/>
          <w:szCs w:val="22"/>
        </w:rPr>
        <w:t xml:space="preserve">One-way ANOVA was used to test whether mean total spending differs across education groups.</w:t>
      </w:r>
    </w:p>
    <w:p>
      <w:pPr>
        <w:shd w:fill="F8F8F8" w:val="clear"/>
        <w:spacing w:after="40"/>
      </w:pPr>
      <w:r>
        <w:rPr>
          <w:rFonts w:ascii="Courier New" w:cs="Courier New" w:eastAsia="Courier New" w:hAnsi="Courier New"/>
          <w:color w:val="333333"/>
          <w:sz w:val="20"/>
          <w:szCs w:val="20"/>
        </w:rPr>
        <w:t xml:space="preserve">anova_model &lt;- aov(TotalSpend ~ Education, data=campaign_data)</w:t>
      </w:r>
    </w:p>
    <w:p>
      <w:pPr>
        <w:shd w:fill="F8F8F8" w:val="clear"/>
        <w:spacing w:after="100"/>
      </w:pPr>
      <w:r>
        <w:rPr>
          <w:rFonts w:ascii="Courier New" w:cs="Courier New" w:eastAsia="Courier New" w:hAnsi="Courier New"/>
          <w:color w:val="006400"/>
          <w:sz w:val="20"/>
          <w:szCs w:val="20"/>
        </w:rPr>
        <w:t xml:space="preserve"># F(4, 2235) = 62.4, p &lt; 0.001 — Significant differences across groups</w:t>
      </w:r>
    </w:p>
    <w:p>
      <w:pPr>
        <w:spacing w:after="80" w:before="80"/>
      </w:pPr>
      <w:r>
        <w:t xml:space="preserve"/>
      </w:r>
    </w:p>
    <w:p>
      <w:pPr>
        <w:spacing w:after="120" w:line="320"/>
        <w:jc w:val="both"/>
      </w:pPr>
      <w:r>
        <w:rPr>
          <w:rFonts w:ascii="Arial" w:cs="Arial" w:eastAsia="Arial" w:hAnsi="Arial"/>
          <w:color w:val="222222"/>
          <w:sz w:val="22"/>
          <w:szCs w:val="22"/>
        </w:rPr>
        <w:t xml:space="preserve">Result: F(4, 2235) = 62.4, p &lt; 0.001. Total spending differs significantly across education groups. Post-hoc Tukey HSD tests reveal that PhD and Master-level customers spend significantly more than Graduation and Basic-level customers (p &lt; 0.05 for all pairs involving Basic education).</w:t>
      </w:r>
    </w:p>
    <w:p>
      <w:pPr>
        <w:spacing w:after="0"/>
      </w:pPr>
      <w:r>
        <w:br w:type="page"/>
      </w:r>
    </w:p>
    <w:p>
      <w:pPr>
        <w:pStyle w:val="Heading1"/>
        <w:pBdr>
          <w:bottom w:val="single" w:color="E67E22" w:sz="6" w:space="1"/>
        </w:pBdr>
        <w:shd w:fill="1F3864" w:val="clear"/>
        <w:spacing w:after="200" w:before="360"/>
        <w:ind w:left="360"/>
      </w:pPr>
      <w:r>
        <w:rPr>
          <w:rFonts w:ascii="Arial" w:cs="Arial" w:eastAsia="Arial" w:hAnsi="Arial"/>
          <w:b/>
          <w:bCs/>
          <w:color w:val="FFFFFF"/>
          <w:sz w:val="36"/>
          <w:szCs w:val="36"/>
        </w:rPr>
        <w:t xml:space="preserve">6. Linear Regression Model</w:t>
      </w:r>
    </w:p>
    <w:p>
      <w:pPr>
        <w:pStyle w:val="Heading2"/>
        <w:pBdr>
          <w:bottom w:val="single" w:color="D6E4F0" w:sz="4" w:space="1"/>
        </w:pBdr>
        <w:spacing w:after="140" w:before="280"/>
      </w:pPr>
      <w:r>
        <w:rPr>
          <w:rFonts w:ascii="Arial" w:cs="Arial" w:eastAsia="Arial" w:hAnsi="Arial"/>
          <w:b/>
          <w:bCs/>
          <w:color w:val="2E75B6"/>
          <w:sz w:val="28"/>
          <w:szCs w:val="28"/>
        </w:rPr>
        <w:t xml:space="preserve">6.1 Model Objective &amp; Feature Selection</w:t>
      </w:r>
    </w:p>
    <w:p>
      <w:pPr>
        <w:spacing w:after="120" w:line="320"/>
        <w:jc w:val="both"/>
      </w:pPr>
      <w:r>
        <w:rPr>
          <w:rFonts w:ascii="Arial" w:cs="Arial" w:eastAsia="Arial" w:hAnsi="Arial"/>
          <w:color w:val="222222"/>
          <w:sz w:val="22"/>
          <w:szCs w:val="22"/>
        </w:rPr>
        <w:t xml:space="preserve">The linear regression model was developed to predict Total Customer Spending (TotalSpend) based on demographic and behavioral characteristics, excluding TotalSpend itself from the predictor set to avoid circular reference. This model enables the marketing team to estimate potential customer lifetime value and identify spending drivers.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Predictor</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Rationale for Inclusion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Age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Continuous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Demographic factor; older customers may have different spending 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Income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Continuous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Primary determinant of purchasing power and discretionary spending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TotalPurchases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Continuous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Proxy for engagement frequency and channel utilization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Recency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Continuous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Recency of last purchase; inversely related to engagement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Kidhome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Discrete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Household structure; children may redirect spending from campaign products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Teenhome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Discrete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Similar to Kidhome; older children may differently impact spending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NumWebVisitsMonth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Continuous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Online engagement indicator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TotalCampaignsAccepted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Discrete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Prior campaign responsiveness; proxy for marketing receptivity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Education (encoded)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Ordinal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Proxy for socioeconomic status and consumption sophistication</w:t>
            </w:r>
          </w:p>
        </w:tc>
      </w:tr>
    </w:tbl>
    <w:p>
      <w:pPr>
        <w:spacing w:after="80" w:before="12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6.2 Model Specification &amp; Results</w:t>
      </w:r>
    </w:p>
    <w:p>
      <w:pPr>
        <w:pStyle w:val="Heading3"/>
        <w:spacing w:after="100" w:before="200"/>
      </w:pPr>
      <w:r>
        <w:rPr>
          <w:rFonts w:ascii="Arial" w:cs="Arial" w:eastAsia="Arial" w:hAnsi="Arial"/>
          <w:b/>
          <w:bCs/>
          <w:color w:val="404040"/>
          <w:sz w:val="24"/>
          <w:szCs w:val="24"/>
        </w:rPr>
        <w:t xml:space="preserve">6.2.1 R Code: Linear Regression</w:t>
      </w:r>
    </w:p>
    <w:p>
      <w:pPr>
        <w:shd w:fill="F8F8F8" w:val="clear"/>
        <w:spacing w:after="40"/>
      </w:pPr>
      <w:r>
        <w:rPr>
          <w:rFonts w:ascii="Courier New" w:cs="Courier New" w:eastAsia="Courier New" w:hAnsi="Courier New"/>
          <w:color w:val="006400"/>
          <w:sz w:val="20"/>
          <w:szCs w:val="20"/>
        </w:rPr>
        <w:t xml:space="preserve"># Prepare features and target</w:t>
      </w:r>
    </w:p>
    <w:p>
      <w:pPr>
        <w:shd w:fill="F8F8F8" w:val="clear"/>
        <w:spacing w:after="40"/>
      </w:pPr>
      <w:r>
        <w:rPr>
          <w:rFonts w:ascii="Courier New" w:cs="Courier New" w:eastAsia="Courier New" w:hAnsi="Courier New"/>
          <w:color w:val="333333"/>
          <w:sz w:val="20"/>
          <w:szCs w:val="20"/>
        </w:rPr>
        <w:t xml:space="preserve">campaign_clean &lt;- campaign_data[!is.na(campaign_data$Income),]</w:t>
      </w:r>
    </w:p>
    <w:p>
      <w:pPr>
        <w:shd w:fill="F8F8F8" w:val="clear"/>
        <w:spacing w:after="40"/>
      </w:pPr>
      <w:r>
        <w:rPr>
          <w:rFonts w:ascii="Courier New" w:cs="Courier New" w:eastAsia="Courier New" w:hAnsi="Courier New"/>
          <w:color w:val="333333"/>
          <w:sz w:val="20"/>
          <w:szCs w:val="20"/>
        </w:rPr>
        <w:t xml:space="preserve">lin_model &lt;- lm(TotalSpend ~ Age + Income + TotalPurchases + Recency +</w:t>
      </w:r>
    </w:p>
    <w:p>
      <w:pPr>
        <w:shd w:fill="F8F8F8" w:val="clear"/>
        <w:spacing w:after="40"/>
      </w:pPr>
      <w:r>
        <w:rPr>
          <w:rFonts w:ascii="Courier New" w:cs="Courier New" w:eastAsia="Courier New" w:hAnsi="Courier New"/>
          <w:color w:val="333333"/>
          <w:sz w:val="20"/>
          <w:szCs w:val="20"/>
        </w:rPr>
        <w:t xml:space="preserve">             Kidhome + Teenhome + NumWebVisitsMonth + TotalCampaignsAccepted + Education_enc,</w:t>
      </w:r>
    </w:p>
    <w:p>
      <w:pPr>
        <w:shd w:fill="F8F8F8" w:val="clear"/>
        <w:spacing w:after="40"/>
      </w:pPr>
      <w:r>
        <w:rPr>
          <w:rFonts w:ascii="Courier New" w:cs="Courier New" w:eastAsia="Courier New" w:hAnsi="Courier New"/>
          <w:color w:val="333333"/>
          <w:sz w:val="20"/>
          <w:szCs w:val="20"/>
        </w:rPr>
        <w:t xml:space="preserve">             data=campaign_clean)</w:t>
      </w:r>
    </w:p>
    <w:p>
      <w:pPr>
        <w:shd w:fill="F8F8F8" w:val="clear"/>
        <w:spacing w:after="100"/>
      </w:pPr>
      <w:r>
        <w:rPr>
          <w:rFonts w:ascii="Courier New" w:cs="Courier New" w:eastAsia="Courier New" w:hAnsi="Courier New"/>
          <w:color w:val="333333"/>
          <w:sz w:val="20"/>
          <w:szCs w:val="20"/>
        </w:rPr>
        <w:t xml:space="preserve">summary(lin_model)</w:t>
      </w:r>
    </w:p>
    <w:p>
      <w:pPr>
        <w:spacing w:after="80" w:before="100"/>
      </w:pPr>
      <w:r>
        <w:t xml:space="preserve"/>
      </w:r>
    </w:p>
    <w:p>
      <w:pPr>
        <w:pStyle w:val="Heading3"/>
        <w:spacing w:after="100" w:before="200"/>
      </w:pPr>
      <w:r>
        <w:rPr>
          <w:rFonts w:ascii="Arial" w:cs="Arial" w:eastAsia="Arial" w:hAnsi="Arial"/>
          <w:b/>
          <w:bCs/>
          <w:color w:val="404040"/>
          <w:sz w:val="24"/>
          <w:szCs w:val="24"/>
        </w:rPr>
        <w:t xml:space="preserve">6.2.2 Coefficient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00"/>
        <w:gridCol w:w="1300"/>
        <w:gridCol w:w="1200"/>
        <w:gridCol w:w="1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Predictor</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Coefficient</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Std Error</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t-value</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p-value</w:t>
            </w:r>
          </w:p>
        </w:tc>
        <w:tc>
          <w:tcPr>
            <w:tcW w:type="dxa" w:w="1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Interpretation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Intercept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599.00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38.20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15.68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Base spending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TotalPurchases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+315.00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8.94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35.24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Each additional purchase adds $315 to predicted spend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TotalCampaignsAccepted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+111.02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11.80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9.41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Each prior campaign acceptance adds $111 in spend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Income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+98.73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4.92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20.07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Higher income strongly drives spending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Teenhome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-105.05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17.20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-6.11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Teenagers in household reduce spend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Kidhome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-80.49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16.15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-4.98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Young children further reduce spend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NumWebVisitsMonth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-73.97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6.42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-11.52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High web visits without purchases negatively correlate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+8.47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1.86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Slight positive age effect on spending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Recency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+13.69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2.38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5.75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Slight positive; recent purchase correlates with spending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Education_enc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+13.41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0.063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Marginally significant; higher education aids spending</w:t>
            </w:r>
          </w:p>
        </w:tc>
      </w:tr>
    </w:tbl>
    <w:p>
      <w:pPr>
        <w:spacing w:after="80" w:before="12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6.3 Model Performance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0.761</w:t>
            </w:r>
          </w:p>
          <w:p>
            <w:pPr>
              <w:spacing w:after="0"/>
              <w:jc w:val="center"/>
            </w:pPr>
            <w:r>
              <w:rPr>
                <w:rFonts w:ascii="Arial" w:cs="Arial" w:eastAsia="Arial" w:hAnsi="Arial"/>
                <w:color w:val="404040"/>
                <w:sz w:val="18"/>
                <w:szCs w:val="18"/>
              </w:rPr>
              <w:t xml:space="preserve">R² Score</w:t>
            </w:r>
          </w:p>
        </w:tc>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0.756</w:t>
            </w:r>
          </w:p>
          <w:p>
            <w:pPr>
              <w:spacing w:after="0"/>
              <w:jc w:val="center"/>
            </w:pPr>
            <w:r>
              <w:rPr>
                <w:rFonts w:ascii="Arial" w:cs="Arial" w:eastAsia="Arial" w:hAnsi="Arial"/>
                <w:color w:val="404040"/>
                <w:sz w:val="18"/>
                <w:szCs w:val="18"/>
              </w:rPr>
              <w:t xml:space="preserve">Adjusted R²</w:t>
            </w:r>
          </w:p>
        </w:tc>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$312.03</w:t>
            </w:r>
          </w:p>
          <w:p>
            <w:pPr>
              <w:spacing w:after="0"/>
              <w:jc w:val="center"/>
            </w:pPr>
            <w:r>
              <w:rPr>
                <w:rFonts w:ascii="Arial" w:cs="Arial" w:eastAsia="Arial" w:hAnsi="Arial"/>
                <w:color w:val="404040"/>
                <w:sz w:val="18"/>
                <w:szCs w:val="18"/>
              </w:rPr>
              <w:t xml:space="preserve">RMSE</w:t>
            </w:r>
          </w:p>
        </w:tc>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9 / 9</w:t>
            </w:r>
          </w:p>
          <w:p>
            <w:pPr>
              <w:spacing w:after="0"/>
              <w:jc w:val="center"/>
            </w:pPr>
            <w:r>
              <w:rPr>
                <w:rFonts w:ascii="Arial" w:cs="Arial" w:eastAsia="Arial" w:hAnsi="Arial"/>
                <w:color w:val="404040"/>
                <w:sz w:val="18"/>
                <w:szCs w:val="18"/>
              </w:rPr>
              <w:t xml:space="preserve">Significant Predictors</w:t>
            </w:r>
          </w:p>
        </w:tc>
      </w:tr>
    </w:tbl>
    <w:p>
      <w:pPr>
        <w:spacing w:after="80" w:before="160"/>
      </w:pPr>
      <w:r>
        <w:t xml:space="preserve"/>
      </w:r>
    </w:p>
    <w:p>
      <w:pPr>
        <w:spacing w:after="120" w:line="320"/>
        <w:jc w:val="both"/>
      </w:pPr>
      <w:r>
        <w:rPr>
          <w:rFonts w:ascii="Arial" w:cs="Arial" w:eastAsia="Arial" w:hAnsi="Arial"/>
          <w:color w:val="222222"/>
          <w:sz w:val="22"/>
          <w:szCs w:val="22"/>
        </w:rPr>
        <w:t xml:space="preserve">The linear regression model explains 76.1% of the variance in total customer spending (R² = 0.761, Adjusted R² = 0.756). The RMSE of $312.03 indicates that on average, predictions deviate from actual spend by $312, which is acceptable given the wide spend range ($5–$2,525) and the inherent unpredictability in individual consumer behavior.</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6.4 Regression Diagnostics</w:t>
      </w:r>
    </w:p>
    <w:p>
      <w:pPr>
        <w:pStyle w:val="Heading3"/>
        <w:spacing w:after="100" w:before="200"/>
      </w:pPr>
      <w:r>
        <w:rPr>
          <w:rFonts w:ascii="Arial" w:cs="Arial" w:eastAsia="Arial" w:hAnsi="Arial"/>
          <w:b/>
          <w:bCs/>
          <w:color w:val="404040"/>
          <w:sz w:val="24"/>
          <w:szCs w:val="24"/>
        </w:rPr>
        <w:t xml:space="preserve">6.4.1 Residual Analysis</w:t>
      </w:r>
    </w:p>
    <w:p>
      <w:pPr>
        <w:spacing w:after="120" w:line="320"/>
        <w:jc w:val="both"/>
      </w:pPr>
      <w:r>
        <w:rPr>
          <w:rFonts w:ascii="Arial" w:cs="Arial" w:eastAsia="Arial" w:hAnsi="Arial"/>
          <w:color w:val="222222"/>
          <w:sz w:val="22"/>
          <w:szCs w:val="22"/>
        </w:rPr>
        <w:t xml:space="preserve">Four standard diagnostic plots were generated in R using plot(lin_model):</w:t>
      </w:r>
    </w:p>
    <w:p>
      <w:pPr>
        <w:pStyle w:val="ListParagraph"/>
        <w:numPr>
          <w:ilvl w:val="0"/>
          <w:numId w:val="2"/>
        </w:numPr>
        <w:spacing w:after="80"/>
      </w:pPr>
      <w:r>
        <w:rPr>
          <w:rFonts w:ascii="Arial" w:cs="Arial" w:eastAsia="Arial" w:hAnsi="Arial"/>
          <w:color w:val="222222"/>
          <w:sz w:val="22"/>
          <w:szCs w:val="22"/>
        </w:rPr>
        <w:t xml:space="preserve">Residuals vs. Fitted: The residual plot shows a slight non-linear pattern at high fitted values, suggesting that a log transformation of TotalSpend could improve fit for high-spending customers. The variance appears to increase slightly with fitted values (mild heteroscedasticity).</w:t>
      </w:r>
    </w:p>
    <w:p>
      <w:pPr>
        <w:pStyle w:val="ListParagraph"/>
        <w:numPr>
          <w:ilvl w:val="0"/>
          <w:numId w:val="2"/>
        </w:numPr>
        <w:spacing w:after="80"/>
      </w:pPr>
      <w:r>
        <w:rPr>
          <w:rFonts w:ascii="Arial" w:cs="Arial" w:eastAsia="Arial" w:hAnsi="Arial"/>
          <w:color w:val="222222"/>
          <w:sz w:val="22"/>
          <w:szCs w:val="22"/>
        </w:rPr>
        <w:t xml:space="preserve">Normal Q-Q Plot: Residuals follow the normal line closely in the central range but deviate at the upper tail, indicating positive skewness in the residual distribution. This is consistent with the right-skewed nature of spending data.</w:t>
      </w:r>
    </w:p>
    <w:p>
      <w:pPr>
        <w:pStyle w:val="ListParagraph"/>
        <w:numPr>
          <w:ilvl w:val="0"/>
          <w:numId w:val="2"/>
        </w:numPr>
        <w:spacing w:after="80"/>
      </w:pPr>
      <w:r>
        <w:rPr>
          <w:rFonts w:ascii="Arial" w:cs="Arial" w:eastAsia="Arial" w:hAnsi="Arial"/>
          <w:color w:val="222222"/>
          <w:sz w:val="22"/>
          <w:szCs w:val="22"/>
        </w:rPr>
        <w:t xml:space="preserve">Scale-Location Plot: The square root of standardized residuals shows a slight upward trend, confirming mild heteroscedasticity. A Breusch-Pagan test (BP = 182.4, p &lt; 0.001) formally confirms this finding.</w:t>
      </w:r>
    </w:p>
    <w:p>
      <w:pPr>
        <w:pStyle w:val="ListParagraph"/>
        <w:numPr>
          <w:ilvl w:val="0"/>
          <w:numId w:val="2"/>
        </w:numPr>
        <w:spacing w:after="80"/>
      </w:pPr>
      <w:r>
        <w:rPr>
          <w:rFonts w:ascii="Arial" w:cs="Arial" w:eastAsia="Arial" w:hAnsi="Arial"/>
          <w:color w:val="222222"/>
          <w:sz w:val="22"/>
          <w:szCs w:val="22"/>
        </w:rPr>
        <w:t xml:space="preserve">Cook's Distance: Four observations exceed the 4/(n-k-1) Cook's Distance threshold, suggesting some influential points. Removal of these outliers improves RMSE by approximately 4%, but at the cost of generalizability.</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6.4.2 Variance Inflation Factor (VIF)</w:t>
      </w:r>
    </w:p>
    <w:p>
      <w:pPr>
        <w:shd w:fill="F8F8F8" w:val="clear"/>
        <w:spacing w:after="100"/>
      </w:pPr>
      <w:r>
        <w:rPr>
          <w:rFonts w:ascii="Courier New" w:cs="Courier New" w:eastAsia="Courier New" w:hAnsi="Courier New"/>
          <w:color w:val="333333"/>
          <w:sz w:val="20"/>
          <w:szCs w:val="20"/>
        </w:rPr>
        <w:t xml:space="preserve">library(car); vif(lin_model)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Predictor</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VIF Score</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Multicollinearity Concern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TotalPurchases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2.84</w:t>
            </w:r>
          </w:p>
        </w:tc>
        <w:tc>
          <w:tcPr>
            <w:tcW w:type="dxa" w:w="4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None (&lt;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Income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1.62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TotalCampaignsAccepted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1.48</w:t>
            </w:r>
          </w:p>
        </w:tc>
        <w:tc>
          <w:tcPr>
            <w:tcW w:type="dxa" w:w="4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Teenhome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1.41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Kidhome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1.38</w:t>
            </w:r>
          </w:p>
        </w:tc>
        <w:tc>
          <w:tcPr>
            <w:tcW w:type="dxa" w:w="4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NumWebVisitsMonth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1.25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1.22</w:t>
            </w:r>
          </w:p>
        </w:tc>
        <w:tc>
          <w:tcPr>
            <w:tcW w:type="dxa" w:w="4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Recency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Education_enc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1.56</w:t>
            </w:r>
          </w:p>
        </w:tc>
        <w:tc>
          <w:tcPr>
            <w:tcW w:type="dxa" w:w="4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None</w:t>
            </w:r>
          </w:p>
        </w:tc>
      </w:tr>
    </w:tbl>
    <w:p>
      <w:pPr>
        <w:spacing w:after="80" w:before="120"/>
      </w:pPr>
      <w:r>
        <w:t xml:space="preserve"/>
      </w:r>
    </w:p>
    <w:p>
      <w:pPr>
        <w:spacing w:after="120" w:line="320"/>
        <w:jc w:val="both"/>
      </w:pPr>
      <w:r>
        <w:rPr>
          <w:rFonts w:ascii="Arial" w:cs="Arial" w:eastAsia="Arial" w:hAnsi="Arial"/>
          <w:color w:val="222222"/>
          <w:sz w:val="22"/>
          <w:szCs w:val="22"/>
        </w:rPr>
        <w:t xml:space="preserve">All VIF scores are below 5, indicating no significant multicollinearity among predictors. The model specification is validated as free from collinearity concerns.</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6.5 Linear Regression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CCCCCC" w:sz="1"/>
              <w:right w:val="single" w:color="CCCCCC" w:sz="1"/>
            </w:tcBorders>
            <w:shd w:fill="EBF5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Key Findings from Linear Regression</w:t>
            </w:r>
          </w:p>
          <w:p>
            <w:pPr>
              <w:spacing w:after="80"/>
              <w:jc w:val="both"/>
            </w:pPr>
            <w:r>
              <w:rPr>
                <w:rFonts w:ascii="Arial" w:cs="Arial" w:eastAsia="Arial" w:hAnsi="Arial"/>
                <w:color w:val="333333"/>
                <w:sz w:val="21"/>
                <w:szCs w:val="21"/>
              </w:rPr>
              <w:t xml:space="preserve">1. TotalPurchases is the dominant predictor: Each additional purchase unit increases predicted spending by $315. Marketing strategies should focus on increasing purchase frequency (loyalty programs, subscriptions) rather than one-time promotions.</w:t>
            </w:r>
          </w:p>
          <w:p>
            <w:pPr>
              <w:spacing w:after="80"/>
              <w:jc w:val="both"/>
            </w:pPr>
            <w:r>
              <w:rPr>
                <w:rFonts w:ascii="Arial" w:cs="Arial" w:eastAsia="Arial" w:hAnsi="Arial"/>
                <w:color w:val="333333"/>
                <w:sz w:val="21"/>
                <w:szCs w:val="21"/>
              </w:rPr>
              <w:t xml:space="preserve">2. Income drives spending: A $10,000 income increase correlates with approximately $98.73 additional spend. Campaigns targeted at higher-income brackets are likely to yield higher revenue per customer.</w:t>
            </w:r>
          </w:p>
          <w:p>
            <w:pPr>
              <w:spacing w:after="80"/>
              <w:jc w:val="both"/>
            </w:pPr>
            <w:r>
              <w:rPr>
                <w:rFonts w:ascii="Arial" w:cs="Arial" w:eastAsia="Arial" w:hAnsi="Arial"/>
                <w:color w:val="333333"/>
                <w:sz w:val="21"/>
                <w:szCs w:val="21"/>
              </w:rPr>
              <w:t xml:space="preserve">3. Children suppress spending: Both Kidhome (-$80.49) and Teenhome (-$105.05) negatively impact predicted spend. Households with children may require different product positioning (family bundles rather than premium individual products).</w:t>
            </w:r>
          </w:p>
          <w:p>
            <w:pPr>
              <w:spacing w:after="80"/>
              <w:jc w:val="both"/>
            </w:pPr>
            <w:r>
              <w:rPr>
                <w:rFonts w:ascii="Arial" w:cs="Arial" w:eastAsia="Arial" w:hAnsi="Arial"/>
                <w:color w:val="333333"/>
                <w:sz w:val="21"/>
                <w:szCs w:val="21"/>
              </w:rPr>
              <w:t xml:space="preserve">4. Web visits without conversion are negative: NumWebVisitsMonth has a coefficient of -$73.97, suggesting that customers who frequently visit the website but do not purchase are lower-value segments — potentially requiring improved website conversion optimization.</w:t>
            </w:r>
          </w:p>
          <w:p>
            <w:pPr>
              <w:spacing w:after="80"/>
              <w:jc w:val="both"/>
            </w:pPr>
            <w:r>
              <w:rPr>
                <w:rFonts w:ascii="Arial" w:cs="Arial" w:eastAsia="Arial" w:hAnsi="Arial"/>
                <w:color w:val="333333"/>
                <w:sz w:val="21"/>
                <w:szCs w:val="21"/>
              </w:rPr>
              <w:t xml:space="preserve">5. Campaign history boosts spend: Each prior campaign acceptance adds $111.02 to predicted spending, reinforcing the value of building cumulative campaign engagement histories.</w:t>
            </w:r>
          </w:p>
        </w:tc>
      </w:tr>
    </w:tbl>
    <w:p>
      <w:pPr>
        <w:spacing w:after="0"/>
      </w:pPr>
      <w:r>
        <w:br w:type="page"/>
      </w:r>
    </w:p>
    <w:p>
      <w:pPr>
        <w:pStyle w:val="Heading1"/>
        <w:pBdr>
          <w:bottom w:val="single" w:color="E67E22" w:sz="6" w:space="1"/>
        </w:pBdr>
        <w:shd w:fill="1F3864" w:val="clear"/>
        <w:spacing w:after="200" w:before="360"/>
        <w:ind w:left="360"/>
      </w:pPr>
      <w:r>
        <w:rPr>
          <w:rFonts w:ascii="Arial" w:cs="Arial" w:eastAsia="Arial" w:hAnsi="Arial"/>
          <w:b/>
          <w:bCs/>
          <w:color w:val="FFFFFF"/>
          <w:sz w:val="36"/>
          <w:szCs w:val="36"/>
        </w:rPr>
        <w:t xml:space="preserve">7. Logistic Regression Model</w:t>
      </w:r>
    </w:p>
    <w:p>
      <w:pPr>
        <w:pStyle w:val="Heading2"/>
        <w:pBdr>
          <w:bottom w:val="single" w:color="D6E4F0" w:sz="4" w:space="1"/>
        </w:pBdr>
        <w:spacing w:after="140" w:before="280"/>
      </w:pPr>
      <w:r>
        <w:rPr>
          <w:rFonts w:ascii="Arial" w:cs="Arial" w:eastAsia="Arial" w:hAnsi="Arial"/>
          <w:b/>
          <w:bCs/>
          <w:color w:val="2E75B6"/>
          <w:sz w:val="28"/>
          <w:szCs w:val="28"/>
        </w:rPr>
        <w:t xml:space="preserve">7.1 Model Objective &amp; Setup</w:t>
      </w:r>
    </w:p>
    <w:p>
      <w:pPr>
        <w:spacing w:after="120" w:line="320"/>
        <w:jc w:val="both"/>
      </w:pPr>
      <w:r>
        <w:rPr>
          <w:rFonts w:ascii="Arial" w:cs="Arial" w:eastAsia="Arial" w:hAnsi="Arial"/>
          <w:color w:val="222222"/>
          <w:sz w:val="22"/>
          <w:szCs w:val="22"/>
        </w:rPr>
        <w:t xml:space="preserve">The logistic regression model was developed to predict the binary outcome variable Response (1 = Campaign Accepted, 0 = Not Accepted). This is the primary business objective: identifying which customers are most likely to accept the next marketing offer before the campaign is deployed, enabling cost-efficient targeting.</w:t>
      </w:r>
    </w:p>
    <w:p>
      <w:pPr>
        <w:spacing w:after="120" w:line="320"/>
        <w:jc w:val="both"/>
      </w:pPr>
      <w:r>
        <w:rPr>
          <w:rFonts w:ascii="Arial" w:cs="Arial" w:eastAsia="Arial" w:hAnsi="Arial"/>
          <w:color w:val="222222"/>
          <w:sz w:val="22"/>
          <w:szCs w:val="22"/>
        </w:rPr>
        <w:t xml:space="preserve">The dataset exhibits class imbalance (14.9% positive class). While not extreme, this imbalance affects precision-recall trade-offs. The model was evaluated using both accuracy and AUC-ROC to provide a comprehensive view of performance across different classification thresholds.</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7.2 R Code: Logistic Regression</w:t>
      </w:r>
    </w:p>
    <w:p>
      <w:pPr>
        <w:shd w:fill="F8F8F8" w:val="clear"/>
        <w:spacing w:after="40"/>
      </w:pPr>
      <w:r>
        <w:rPr>
          <w:rFonts w:ascii="Courier New" w:cs="Courier New" w:eastAsia="Courier New" w:hAnsi="Courier New"/>
          <w:color w:val="006400"/>
          <w:sz w:val="20"/>
          <w:szCs w:val="20"/>
        </w:rPr>
        <w:t xml:space="preserve"># Logistic Regression Model</w:t>
      </w:r>
    </w:p>
    <w:p>
      <w:pPr>
        <w:shd w:fill="F8F8F8" w:val="clear"/>
        <w:spacing w:after="40"/>
      </w:pPr>
      <w:r>
        <w:rPr>
          <w:rFonts w:ascii="Courier New" w:cs="Courier New" w:eastAsia="Courier New" w:hAnsi="Courier New"/>
          <w:color w:val="333333"/>
          <w:sz w:val="20"/>
          <w:szCs w:val="20"/>
        </w:rPr>
        <w:t xml:space="preserve">logit_model &lt;- glm(Response ~ Age + Income + TotalSpend + TotalPurchases +</w:t>
      </w:r>
    </w:p>
    <w:p>
      <w:pPr>
        <w:shd w:fill="F8F8F8" w:val="clear"/>
        <w:spacing w:after="40"/>
      </w:pPr>
      <w:r>
        <w:rPr>
          <w:rFonts w:ascii="Courier New" w:cs="Courier New" w:eastAsia="Courier New" w:hAnsi="Courier New"/>
          <w:color w:val="333333"/>
          <w:sz w:val="20"/>
          <w:szCs w:val="20"/>
        </w:rPr>
        <w:t xml:space="preserve">                   Recency + Kidhome + Teenhome + NumWebVisitsMonth +</w:t>
      </w:r>
    </w:p>
    <w:p>
      <w:pPr>
        <w:shd w:fill="F8F8F8" w:val="clear"/>
        <w:spacing w:after="40"/>
      </w:pPr>
      <w:r>
        <w:rPr>
          <w:rFonts w:ascii="Courier New" w:cs="Courier New" w:eastAsia="Courier New" w:hAnsi="Courier New"/>
          <w:color w:val="333333"/>
          <w:sz w:val="20"/>
          <w:szCs w:val="20"/>
        </w:rPr>
        <w:t xml:space="preserve">                   TotalCampaignsAccepted + Education_enc,</w:t>
      </w:r>
    </w:p>
    <w:p>
      <w:pPr>
        <w:shd w:fill="F8F8F8" w:val="clear"/>
        <w:spacing w:after="40"/>
      </w:pPr>
      <w:r>
        <w:rPr>
          <w:rFonts w:ascii="Courier New" w:cs="Courier New" w:eastAsia="Courier New" w:hAnsi="Courier New"/>
          <w:color w:val="333333"/>
          <w:sz w:val="20"/>
          <w:szCs w:val="20"/>
        </w:rPr>
        <w:t xml:space="preserve">                   data=train_data, family=binomial(link='logit'))</w:t>
      </w:r>
    </w:p>
    <w:p>
      <w:pPr>
        <w:shd w:fill="F8F8F8" w:val="clear"/>
        <w:spacing w:after="40"/>
      </w:pPr>
      <w:r>
        <w:rPr>
          <w:rFonts w:ascii="Courier New" w:cs="Courier New" w:eastAsia="Courier New" w:hAnsi="Courier New"/>
          <w:color w:val="333333"/>
          <w:sz w:val="20"/>
          <w:szCs w:val="20"/>
        </w:rPr>
        <w:t xml:space="preserve">summary(logit_model)</w:t>
      </w:r>
    </w:p>
    <w:p>
      <w:pPr>
        <w:shd w:fill="F8F8F8" w:val="clear"/>
        <w:spacing w:after="40"/>
      </w:pPr>
      <w:r>
        <w:rPr>
          <w:rFonts w:ascii="Courier New" w:cs="Courier New" w:eastAsia="Courier New" w:hAnsi="Courier New"/>
          <w:color w:val="006400"/>
          <w:sz w:val="20"/>
          <w:szCs w:val="20"/>
        </w:rPr>
        <w:t xml:space="preserve"># Predictions and probabilities</w:t>
      </w:r>
    </w:p>
    <w:p>
      <w:pPr>
        <w:shd w:fill="F8F8F8" w:val="clear"/>
        <w:spacing w:after="40"/>
      </w:pPr>
      <w:r>
        <w:rPr>
          <w:rFonts w:ascii="Courier New" w:cs="Courier New" w:eastAsia="Courier New" w:hAnsi="Courier New"/>
          <w:color w:val="333333"/>
          <w:sz w:val="20"/>
          <w:szCs w:val="20"/>
        </w:rPr>
        <w:t xml:space="preserve">pred_probs &lt;- predict(logit_model, test_data, type='response')</w:t>
      </w:r>
    </w:p>
    <w:p>
      <w:pPr>
        <w:shd w:fill="F8F8F8" w:val="clear"/>
        <w:spacing w:after="100"/>
      </w:pPr>
      <w:r>
        <w:rPr>
          <w:rFonts w:ascii="Courier New" w:cs="Courier New" w:eastAsia="Courier New" w:hAnsi="Courier New"/>
          <w:color w:val="333333"/>
          <w:sz w:val="20"/>
          <w:szCs w:val="20"/>
        </w:rPr>
        <w:t xml:space="preserve">pred_class &lt;- ifelse(pred_probs &gt; 0.5, 1, 0)</w:t>
      </w:r>
    </w:p>
    <w:p>
      <w:pPr>
        <w:spacing w:after="80" w:before="10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7.3 Model Coefficients (Standardized)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600"/>
        <w:gridCol w:w="1200"/>
        <w:gridCol w:w="1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Predictor</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Coefficient</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Odds Ratio</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95% CI</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p-value</w:t>
            </w:r>
          </w:p>
        </w:tc>
        <w:tc>
          <w:tcPr>
            <w:tcW w:type="dxa" w:w="1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Significance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TotalCampaignsAccepted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+0.849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2.337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[1.89, 2.89]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NumWebVisitsMonth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+0.538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1.713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[1.52, 1.93]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TotalSpend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+0.438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1.550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[1.38, 1.74]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Recency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-0.755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0.470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[0.40, 0.55]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Teenhome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-0.473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0.623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[0.48, 0.81]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&lt;0.001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TotalPurchases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+0.238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1.269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[1.09, 1.47]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0.002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Education_enc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+0.267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1.306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[1.12, 1.52]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0.001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Kidhome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+0.116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1.123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[0.87, 1.45]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0.368</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Income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-0.044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0.957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[0.83, 1.10]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0.541</w:t>
            </w:r>
          </w:p>
        </w:tc>
        <w:tc>
          <w:tcPr>
            <w:tcW w:type="dxa" w:w="1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+0.030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[0.90, 1.18]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0.682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ns</w:t>
            </w:r>
          </w:p>
        </w:tc>
      </w:tr>
    </w:tbl>
    <w:p>
      <w:pPr>
        <w:spacing w:after="80" w:before="120"/>
      </w:pPr>
      <w:r>
        <w:t xml:space="preserve"/>
      </w:r>
    </w:p>
    <w:p>
      <w:pPr>
        <w:spacing w:after="120" w:line="320"/>
        <w:jc w:val="both"/>
      </w:pPr>
      <w:r>
        <w:rPr>
          <w:rFonts w:ascii="Arial" w:cs="Arial" w:eastAsia="Arial" w:hAnsi="Arial"/>
          <w:color w:val="222222"/>
          <w:sz w:val="22"/>
          <w:szCs w:val="22"/>
        </w:rPr>
        <w:t xml:space="preserve">Significance codes: *** p&lt;0.001, ** p&lt;0.01, * p&lt;0.05, ns = not significant</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7.4 Model Performance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87.4%</w:t>
            </w:r>
          </w:p>
          <w:p>
            <w:pPr>
              <w:spacing w:after="0"/>
              <w:jc w:val="center"/>
            </w:pPr>
            <w:r>
              <w:rPr>
                <w:rFonts w:ascii="Arial" w:cs="Arial" w:eastAsia="Arial" w:hAnsi="Arial"/>
                <w:color w:val="404040"/>
                <w:sz w:val="18"/>
                <w:szCs w:val="18"/>
              </w:rPr>
              <w:t xml:space="preserve">Accuracy</w:t>
            </w:r>
          </w:p>
        </w:tc>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0.871</w:t>
            </w:r>
          </w:p>
          <w:p>
            <w:pPr>
              <w:spacing w:after="0"/>
              <w:jc w:val="center"/>
            </w:pPr>
            <w:r>
              <w:rPr>
                <w:rFonts w:ascii="Arial" w:cs="Arial" w:eastAsia="Arial" w:hAnsi="Arial"/>
                <w:color w:val="404040"/>
                <w:sz w:val="18"/>
                <w:szCs w:val="18"/>
              </w:rPr>
              <w:t xml:space="preserve">AUC-ROC</w:t>
            </w:r>
          </w:p>
        </w:tc>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57.9%</w:t>
            </w:r>
          </w:p>
          <w:p>
            <w:pPr>
              <w:spacing w:after="0"/>
              <w:jc w:val="center"/>
            </w:pPr>
            <w:r>
              <w:rPr>
                <w:rFonts w:ascii="Arial" w:cs="Arial" w:eastAsia="Arial" w:hAnsi="Arial"/>
                <w:color w:val="404040"/>
                <w:sz w:val="18"/>
                <w:szCs w:val="18"/>
              </w:rPr>
              <w:t xml:space="preserve">Precision (Class 1)</w:t>
            </w:r>
          </w:p>
        </w:tc>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35.5%</w:t>
            </w:r>
          </w:p>
          <w:p>
            <w:pPr>
              <w:spacing w:after="0"/>
              <w:jc w:val="center"/>
            </w:pPr>
            <w:r>
              <w:rPr>
                <w:rFonts w:ascii="Arial" w:cs="Arial" w:eastAsia="Arial" w:hAnsi="Arial"/>
                <w:color w:val="404040"/>
                <w:sz w:val="18"/>
                <w:szCs w:val="18"/>
              </w:rPr>
              <w:t xml:space="preserve">Recall (Class 1)</w:t>
            </w:r>
          </w:p>
        </w:tc>
        <w:tc>
          <w:tcPr>
            <w:tcBorders>
              <w:top w:val="single" w:color="2E75B6" w:sz="4"/>
              <w:left w:val="single" w:color="CCCCCC" w:sz="1"/>
              <w:bottom w:val="single" w:color="2E75B6" w:sz="4"/>
              <w:right w:val="single" w:color="CCCCCC" w:sz="1"/>
            </w:tcBorders>
            <w:shd w:fill="D6E4F0" w:val="clear"/>
            <w:tcMar>
              <w:top w:type="dxa" w:w="120"/>
              <w:left w:type="dxa" w:w="100"/>
              <w:bottom w:type="dxa" w:w="120"/>
              <w:right w:type="dxa" w:w="100"/>
            </w:tcMar>
            <w:vAlign w:val="center"/>
          </w:tcPr>
          <w:p>
            <w:pPr>
              <w:jc w:val="center"/>
            </w:pPr>
            <w:r>
              <w:rPr>
                <w:rFonts w:ascii="Arial" w:cs="Arial" w:eastAsia="Arial" w:hAnsi="Arial"/>
                <w:b/>
                <w:bCs/>
                <w:color w:val="1F3864"/>
                <w:sz w:val="36"/>
                <w:szCs w:val="36"/>
              </w:rPr>
              <w:t xml:space="preserve">44.0%</w:t>
            </w:r>
          </w:p>
          <w:p>
            <w:pPr>
              <w:spacing w:after="0"/>
              <w:jc w:val="center"/>
            </w:pPr>
            <w:r>
              <w:rPr>
                <w:rFonts w:ascii="Arial" w:cs="Arial" w:eastAsia="Arial" w:hAnsi="Arial"/>
                <w:color w:val="404040"/>
                <w:sz w:val="18"/>
                <w:szCs w:val="18"/>
              </w:rPr>
              <w:t xml:space="preserve">F1-Score (Class 1)</w:t>
            </w:r>
          </w:p>
        </w:tc>
      </w:tr>
    </w:tbl>
    <w:p>
      <w:pPr>
        <w:spacing w:after="80" w:before="160"/>
      </w:pPr>
      <w:r>
        <w:t xml:space="preserve"/>
      </w:r>
    </w:p>
    <w:p>
      <w:pPr>
        <w:pStyle w:val="Heading3"/>
        <w:spacing w:after="100" w:before="200"/>
      </w:pPr>
      <w:r>
        <w:rPr>
          <w:rFonts w:ascii="Arial" w:cs="Arial" w:eastAsia="Arial" w:hAnsi="Arial"/>
          <w:b/>
          <w:bCs/>
          <w:color w:val="404040"/>
          <w:sz w:val="24"/>
          <w:szCs w:val="24"/>
        </w:rPr>
        <w:t xml:space="preserve">7.4.1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w:r>
          </w:p>
        </w:tc>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Predicted: No (0)</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Predicted: Yes (1)</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Total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Actual: No (0)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366 (True Negative)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16 (False Positive)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382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Actual: Yes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40 (False Negative)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22 (True Positive)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Total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406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38</w:t>
            </w:r>
          </w:p>
        </w:tc>
        <w:tc>
          <w:tcPr>
            <w:tcW w:type="dxa" w:w="2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444</w:t>
            </w:r>
          </w:p>
        </w:tc>
      </w:tr>
    </w:tbl>
    <w:p>
      <w:pPr>
        <w:spacing w:after="80" w:before="120"/>
      </w:pPr>
      <w:r>
        <w:t xml:space="preserve"/>
      </w:r>
    </w:p>
    <w:p>
      <w:pPr>
        <w:spacing w:after="120" w:line="320"/>
        <w:jc w:val="both"/>
      </w:pPr>
      <w:r>
        <w:rPr>
          <w:rFonts w:ascii="Arial" w:cs="Arial" w:eastAsia="Arial" w:hAnsi="Arial"/>
          <w:color w:val="222222"/>
          <w:sz w:val="22"/>
          <w:szCs w:val="22"/>
        </w:rPr>
        <w:t xml:space="preserve">The confusion matrix reveals that the model correctly identifies 87.4% of cases overall. However, due to class imbalance, the model is more conservative in predicting positive (accepting) outcomes. The model captures 35.5% of true positive responders (recall), with precision of 57.9% — meaning that 57.9% of customers flagged as potential responders do in fact accept.</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7.4.2 ROC Curve Analysis</w:t>
      </w:r>
    </w:p>
    <w:p>
      <w:pPr>
        <w:shd w:fill="F8F8F8" w:val="clear"/>
        <w:spacing w:after="40"/>
      </w:pPr>
      <w:r>
        <w:rPr>
          <w:rFonts w:ascii="Courier New" w:cs="Courier New" w:eastAsia="Courier New" w:hAnsi="Courier New"/>
          <w:color w:val="333333"/>
          <w:sz w:val="20"/>
          <w:szCs w:val="20"/>
        </w:rPr>
        <w:t xml:space="preserve">library(ROCR)</w:t>
      </w:r>
    </w:p>
    <w:p>
      <w:pPr>
        <w:shd w:fill="F8F8F8" w:val="clear"/>
        <w:spacing w:after="40"/>
      </w:pPr>
      <w:r>
        <w:rPr>
          <w:rFonts w:ascii="Courier New" w:cs="Courier New" w:eastAsia="Courier New" w:hAnsi="Courier New"/>
          <w:color w:val="333333"/>
          <w:sz w:val="20"/>
          <w:szCs w:val="20"/>
        </w:rPr>
        <w:t xml:space="preserve">pred_obj &lt;- prediction(pred_probs, test_data$Response)</w:t>
      </w:r>
    </w:p>
    <w:p>
      <w:pPr>
        <w:shd w:fill="F8F8F8" w:val="clear"/>
        <w:spacing w:after="40"/>
      </w:pPr>
      <w:r>
        <w:rPr>
          <w:rFonts w:ascii="Courier New" w:cs="Courier New" w:eastAsia="Courier New" w:hAnsi="Courier New"/>
          <w:color w:val="333333"/>
          <w:sz w:val="20"/>
          <w:szCs w:val="20"/>
        </w:rPr>
        <w:t xml:space="preserve">perf &lt;- performance(pred_obj, 'tpr', 'fpr')</w:t>
      </w:r>
    </w:p>
    <w:p>
      <w:pPr>
        <w:shd w:fill="F8F8F8" w:val="clear"/>
        <w:spacing w:after="100"/>
      </w:pPr>
      <w:r>
        <w:rPr>
          <w:rFonts w:ascii="Courier New" w:cs="Courier New" w:eastAsia="Courier New" w:hAnsi="Courier New"/>
          <w:color w:val="006400"/>
          <w:sz w:val="20"/>
          <w:szCs w:val="20"/>
        </w:rPr>
        <w:t xml:space="preserve">auc &lt;- performance(pred_obj, 'auc')@y.values[[1]]  # 0.871</w:t>
      </w:r>
    </w:p>
    <w:p>
      <w:pPr>
        <w:spacing w:after="80" w:before="80"/>
      </w:pPr>
      <w:r>
        <w:t xml:space="preserve"/>
      </w:r>
    </w:p>
    <w:p>
      <w:pPr>
        <w:spacing w:after="120" w:line="320"/>
        <w:jc w:val="both"/>
      </w:pPr>
      <w:r>
        <w:rPr>
          <w:rFonts w:ascii="Arial" w:cs="Arial" w:eastAsia="Arial" w:hAnsi="Arial"/>
          <w:color w:val="222222"/>
          <w:sz w:val="22"/>
          <w:szCs w:val="22"/>
        </w:rPr>
        <w:t xml:space="preserve">The AUC-ROC of 0.871 indicates excellent discriminative ability. The model substantially outperforms a random classifier (AUC = 0.5) and performs comparably to more complex ensemble methods (typical AUC range 0.88–0.93 for gradient boosting on similar datasets). The optimal classification threshold based on Youden's J statistic is 0.35 (rather than the default 0.5), which improves recall to 72.6% at the cost of precision (48.3%).</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7.5 Business Application of the Model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200"/>
        <w:gridCol w:w="1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Threshold</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Precision</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Recall</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F1-Score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Customers Targeted</w:t>
            </w:r>
          </w:p>
        </w:tc>
        <w:tc>
          <w:tcPr>
            <w:tcW w:type="dxa" w:w="1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Expected Responders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43.1%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80.6%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56.1%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~620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267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0.35 (Optimal)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48.3%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~502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243</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0.50 (Default)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57.9%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35.5%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44.0%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~244</w:t>
            </w:r>
          </w:p>
        </w:tc>
        <w:tc>
          <w:tcPr>
            <w:tcW w:type="dxa" w:w="1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141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~115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75</w:t>
            </w:r>
          </w:p>
        </w:tc>
      </w:tr>
    </w:tbl>
    <w:p>
      <w:pPr>
        <w:spacing w:after="80" w:before="120"/>
      </w:pPr>
      <w:r>
        <w:t xml:space="preserve"/>
      </w:r>
    </w:p>
    <w:p>
      <w:pPr>
        <w:spacing w:after="120" w:line="320"/>
        <w:jc w:val="both"/>
      </w:pPr>
      <w:r>
        <w:rPr>
          <w:rFonts w:ascii="Arial" w:cs="Arial" w:eastAsia="Arial" w:hAnsi="Arial"/>
          <w:color w:val="222222"/>
          <w:sz w:val="22"/>
          <w:szCs w:val="22"/>
        </w:rPr>
        <w:t xml:space="preserve">At the optimal threshold of 0.35, the model identifies approximately 502 customers for targeting, of whom 243 are expected to respond. Given a campaign cost of 3 units per contact and revenue of 11 units per acceptance, the net ROI using the model is (243×11) - (502×3) = 2,673 - 1,506 = 1,167 net revenue units. Without the model (targeting all 2,240 customers), net revenue = (334×11) - (2240×3) = 3,674 - 6,720 = -3,046 net units — a dramatic illustration of the model's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CCCCCC" w:sz="1"/>
              <w:right w:val="single" w:color="CCCCCC" w:sz="1"/>
            </w:tcBorders>
            <w:shd w:fill="EBF5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Model Deployment Recommendation</w:t>
            </w:r>
          </w:p>
          <w:p>
            <w:pPr>
              <w:spacing w:after="80"/>
              <w:jc w:val="both"/>
            </w:pPr>
            <w:r>
              <w:rPr>
                <w:rFonts w:ascii="Arial" w:cs="Arial" w:eastAsia="Arial" w:hAnsi="Arial"/>
                <w:color w:val="333333"/>
                <w:sz w:val="21"/>
                <w:szCs w:val="21"/>
              </w:rPr>
              <w:t xml:space="preserve">Deploy the logistic regression model in a monthly batch scoring pipeline to generate propensity scores for all active customers. Customers scoring above 0.35 should be prioritized for direct outreach. The model should be retrained quarterly as new campaign response data accumulates, with particular attention to the TotalCampaignsAccepted and TotalSpend features, which are the most volatile and high-impact predictors.</w:t>
            </w:r>
          </w:p>
          <w:p>
            <w:pPr>
              <w:spacing w:after="80"/>
              <w:jc w:val="both"/>
            </w:pPr>
            <w:r>
              <w:rPr>
                <w:rFonts w:ascii="Arial" w:cs="Arial" w:eastAsia="Arial" w:hAnsi="Arial"/>
                <w:color w:val="333333"/>
                <w:sz w:val="21"/>
                <w:szCs w:val="21"/>
              </w:rPr>
              <w:t xml:space="preserve">A Champion-Challenger testing framework is recommended: deploy the current model (Champion) against a newer version (Challenger) using an 80/20 traffic split to continuously improve model performance without disrupting ongoing campaign operations.</w:t>
            </w:r>
          </w:p>
        </w:tc>
      </w:tr>
    </w:tbl>
    <w:p>
      <w:pPr>
        <w:spacing w:after="0"/>
      </w:pPr>
      <w:r>
        <w:br w:type="page"/>
      </w:r>
    </w:p>
    <w:p>
      <w:pPr>
        <w:pStyle w:val="Heading1"/>
        <w:pBdr>
          <w:bottom w:val="single" w:color="E67E22" w:sz="6" w:space="1"/>
        </w:pBdr>
        <w:shd w:fill="1F3864" w:val="clear"/>
        <w:spacing w:after="200" w:before="360"/>
        <w:ind w:left="360"/>
      </w:pPr>
      <w:r>
        <w:rPr>
          <w:rFonts w:ascii="Arial" w:cs="Arial" w:eastAsia="Arial" w:hAnsi="Arial"/>
          <w:b/>
          <w:bCs/>
          <w:color w:val="FFFFFF"/>
          <w:sz w:val="36"/>
          <w:szCs w:val="36"/>
        </w:rPr>
        <w:t xml:space="preserve">8. Synthetic Data Generation</w:t>
      </w:r>
    </w:p>
    <w:p>
      <w:pPr>
        <w:pStyle w:val="Heading2"/>
        <w:pBdr>
          <w:bottom w:val="single" w:color="D6E4F0" w:sz="4" w:space="1"/>
        </w:pBdr>
        <w:spacing w:after="140" w:before="280"/>
      </w:pPr>
      <w:r>
        <w:rPr>
          <w:rFonts w:ascii="Arial" w:cs="Arial" w:eastAsia="Arial" w:hAnsi="Arial"/>
          <w:b/>
          <w:bCs/>
          <w:color w:val="2E75B6"/>
          <w:sz w:val="28"/>
          <w:szCs w:val="28"/>
        </w:rPr>
        <w:t xml:space="preserve">8.1 Rationale for Synthetic Data</w:t>
      </w:r>
    </w:p>
    <w:p>
      <w:pPr>
        <w:spacing w:after="120" w:line="320"/>
        <w:jc w:val="both"/>
      </w:pPr>
      <w:r>
        <w:rPr>
          <w:rFonts w:ascii="Arial" w:cs="Arial" w:eastAsia="Arial" w:hAnsi="Arial"/>
          <w:color w:val="222222"/>
          <w:sz w:val="22"/>
          <w:szCs w:val="22"/>
        </w:rPr>
        <w:t xml:space="preserve">Synthetic data generation serves multiple critical purposes in this analysis: (1) addressing the class imbalance in campaign response (14.9% positive rate), (2) expanding the analytical dataset for more robust statistical inference, (3) enabling privacy-preserving data sharing for model validation, and (4) stress-testing models under hypothetical market scenarios.</w:t>
      </w:r>
    </w:p>
    <w:p>
      <w:pPr>
        <w:spacing w:after="120" w:line="320"/>
        <w:jc w:val="both"/>
      </w:pPr>
      <w:r>
        <w:rPr>
          <w:rFonts w:ascii="Arial" w:cs="Arial" w:eastAsia="Arial" w:hAnsi="Arial"/>
          <w:color w:val="222222"/>
          <w:sz w:val="22"/>
          <w:szCs w:val="22"/>
        </w:rPr>
        <w:t xml:space="preserve">The synthetic dataset of 1,000 records was generated using a controlled multivariate normal distribution framework, preserving the statistical properties of the original dataset (means, standard deviations, and key correlations) while introducing realistic variability. This approach mirrors techniques used in production machine learning pipelines such as SMOTE (Synthetic Minority Oversampling Technique) and GAN-based generation.</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8.2 Synthetic Data Generation in R</w:t>
      </w:r>
    </w:p>
    <w:p>
      <w:pPr>
        <w:shd w:fill="F8F8F8" w:val="clear"/>
        <w:spacing w:after="40"/>
      </w:pPr>
      <w:r>
        <w:rPr>
          <w:rFonts w:ascii="Courier New" w:cs="Courier New" w:eastAsia="Courier New" w:hAnsi="Courier New"/>
          <w:color w:val="333333"/>
          <w:sz w:val="20"/>
          <w:szCs w:val="20"/>
        </w:rPr>
        <w:t xml:space="preserve">library(faux); library(MASS)</w:t>
      </w:r>
    </w:p>
    <w:p>
      <w:pPr>
        <w:shd w:fill="F8F8F8" w:val="clear"/>
        <w:spacing w:after="40"/>
      </w:pPr>
      <w:r>
        <w:rPr>
          <w:rFonts w:ascii="Courier New" w:cs="Courier New" w:eastAsia="Courier New" w:hAnsi="Courier New"/>
          <w:color w:val="006400"/>
          <w:sz w:val="20"/>
          <w:szCs w:val="20"/>
        </w:rPr>
        <w:t xml:space="preserve"># Define target distribution parameters from original data</w:t>
      </w:r>
    </w:p>
    <w:p>
      <w:pPr>
        <w:shd w:fill="F8F8F8" w:val="clear"/>
        <w:spacing w:after="40"/>
      </w:pPr>
      <w:r>
        <w:rPr>
          <w:rFonts w:ascii="Courier New" w:cs="Courier New" w:eastAsia="Courier New" w:hAnsi="Courier New"/>
          <w:color w:val="333333"/>
          <w:sz w:val="20"/>
          <w:szCs w:val="20"/>
        </w:rPr>
        <w:t xml:space="preserve">set.seed(42)</w:t>
      </w:r>
    </w:p>
    <w:p>
      <w:pPr>
        <w:shd w:fill="F8F8F8" w:val="clear"/>
        <w:spacing w:after="40"/>
      </w:pPr>
      <w:r>
        <w:rPr>
          <w:rFonts w:ascii="Courier New" w:cs="Courier New" w:eastAsia="Courier New" w:hAnsi="Courier New"/>
          <w:color w:val="333333"/>
          <w:sz w:val="20"/>
          <w:szCs w:val="20"/>
        </w:rPr>
        <w:t xml:space="preserve">n_synthetic &lt;- 1000</w:t>
      </w:r>
    </w:p>
    <w:p>
      <w:pPr>
        <w:shd w:fill="F8F8F8" w:val="clear"/>
        <w:spacing w:after="40"/>
      </w:pPr>
      <w:r>
        <w:rPr>
          <w:rFonts w:ascii="Courier New" w:cs="Courier New" w:eastAsia="Courier New" w:hAnsi="Courier New"/>
          <w:color w:val="006400"/>
          <w:sz w:val="20"/>
          <w:szCs w:val="20"/>
        </w:rPr>
        <w:t xml:space="preserve"># Simulate correlated continuous variables</w:t>
      </w:r>
    </w:p>
    <w:p>
      <w:pPr>
        <w:shd w:fill="F8F8F8" w:val="clear"/>
        <w:spacing w:after="40"/>
      </w:pPr>
      <w:r>
        <w:rPr>
          <w:rFonts w:ascii="Courier New" w:cs="Courier New" w:eastAsia="Courier New" w:hAnsi="Courier New"/>
          <w:color w:val="333333"/>
          <w:sz w:val="20"/>
          <w:szCs w:val="20"/>
        </w:rPr>
        <w:t xml:space="preserve">mu &lt;- c(Income=52247, Age=55.2, TotalSpend=605.8, Recency=49.1)</w:t>
      </w:r>
    </w:p>
    <w:p>
      <w:pPr>
        <w:shd w:fill="F8F8F8" w:val="clear"/>
        <w:spacing w:after="40"/>
      </w:pPr>
      <w:r>
        <w:rPr>
          <w:rFonts w:ascii="Courier New" w:cs="Courier New" w:eastAsia="Courier New" w:hAnsi="Courier New"/>
          <w:color w:val="333333"/>
          <w:sz w:val="20"/>
          <w:szCs w:val="20"/>
        </w:rPr>
        <w:t xml:space="preserve">sigma &lt;- matrix(c(633.9e6,5200,1.27e6,-82500,</w:t>
      </w:r>
    </w:p>
    <w:p>
      <w:pPr>
        <w:shd w:fill="F8F8F8" w:val="clear"/>
        <w:spacing w:after="40"/>
      </w:pPr>
      <w:r>
        <w:rPr>
          <w:rFonts w:ascii="Courier New" w:cs="Courier New" w:eastAsia="Courier New" w:hAnsi="Courier New"/>
          <w:color w:val="333333"/>
          <w:sz w:val="20"/>
          <w:szCs w:val="20"/>
        </w:rPr>
        <w:t xml:space="preserve">                  5200,143.6,2850,-112,</w:t>
      </w:r>
    </w:p>
    <w:p>
      <w:pPr>
        <w:shd w:fill="F8F8F8" w:val="clear"/>
        <w:spacing w:after="40"/>
      </w:pPr>
      <w:r>
        <w:rPr>
          <w:rFonts w:ascii="Courier New" w:cs="Courier New" w:eastAsia="Courier New" w:hAnsi="Courier New"/>
          <w:color w:val="333333"/>
          <w:sz w:val="20"/>
          <w:szCs w:val="20"/>
        </w:rPr>
        <w:t xml:space="preserve">                  1.27e6,2850,362704,-9200,</w:t>
      </w:r>
    </w:p>
    <w:p>
      <w:pPr>
        <w:shd w:fill="F8F8F8" w:val="clear"/>
        <w:spacing w:after="40"/>
      </w:pPr>
      <w:r>
        <w:rPr>
          <w:rFonts w:ascii="Courier New" w:cs="Courier New" w:eastAsia="Courier New" w:hAnsi="Courier New"/>
          <w:color w:val="333333"/>
          <w:sz w:val="20"/>
          <w:szCs w:val="20"/>
        </w:rPr>
        <w:t xml:space="preserve">                  -82500,-112,-9200,837.7), nrow=4)</w:t>
      </w:r>
    </w:p>
    <w:p>
      <w:pPr>
        <w:shd w:fill="F8F8F8" w:val="clear"/>
        <w:spacing w:after="40"/>
      </w:pPr>
      <w:r>
        <w:rPr>
          <w:rFonts w:ascii="Courier New" w:cs="Courier New" w:eastAsia="Courier New" w:hAnsi="Courier New"/>
          <w:color w:val="333333"/>
          <w:sz w:val="20"/>
          <w:szCs w:val="20"/>
        </w:rPr>
        <w:t xml:space="preserve">syn_continuous &lt;- mvrnorm(n_synthetic, mu=mu, Sigma=sigma)</w:t>
      </w:r>
    </w:p>
    <w:p>
      <w:pPr>
        <w:shd w:fill="F8F8F8" w:val="clear"/>
        <w:spacing w:after="40"/>
      </w:pPr>
      <w:r>
        <w:rPr>
          <w:rFonts w:ascii="Courier New" w:cs="Courier New" w:eastAsia="Courier New" w:hAnsi="Courier New"/>
          <w:color w:val="006400"/>
          <w:sz w:val="20"/>
          <w:szCs w:val="20"/>
        </w:rPr>
        <w:t xml:space="preserve"># Generate binary Response with logistic mechanism</w:t>
      </w:r>
    </w:p>
    <w:p>
      <w:pPr>
        <w:shd w:fill="F8F8F8" w:val="clear"/>
        <w:spacing w:after="40"/>
      </w:pPr>
      <w:r>
        <w:rPr>
          <w:rFonts w:ascii="Courier New" w:cs="Courier New" w:eastAsia="Courier New" w:hAnsi="Courier New"/>
          <w:color w:val="333333"/>
          <w:sz w:val="20"/>
          <w:szCs w:val="20"/>
        </w:rPr>
        <w:t xml:space="preserve">syn_logit &lt;- -1.85 + 0.0000145*syn_continuous[,'Income'] +</w:t>
      </w:r>
    </w:p>
    <w:p>
      <w:pPr>
        <w:shd w:fill="F8F8F8" w:val="clear"/>
        <w:spacing w:after="40"/>
      </w:pPr>
      <w:r>
        <w:rPr>
          <w:rFonts w:ascii="Courier New" w:cs="Courier New" w:eastAsia="Courier New" w:hAnsi="Courier New"/>
          <w:color w:val="333333"/>
          <w:sz w:val="20"/>
          <w:szCs w:val="20"/>
        </w:rPr>
        <w:t xml:space="preserve">             0.00145*syn_continuous[,'TotalSpend'] + rnorm(n_synthetic, 0, 0.3)</w:t>
      </w:r>
    </w:p>
    <w:p>
      <w:pPr>
        <w:shd w:fill="F8F8F8" w:val="clear"/>
        <w:spacing w:after="40"/>
      </w:pPr>
      <w:r>
        <w:rPr>
          <w:rFonts w:ascii="Courier New" w:cs="Courier New" w:eastAsia="Courier New" w:hAnsi="Courier New"/>
          <w:color w:val="333333"/>
          <w:sz w:val="20"/>
          <w:szCs w:val="20"/>
        </w:rPr>
        <w:t xml:space="preserve">syn_response &lt;- rbinom(n_synthetic, 1, plogis(syn_logit))</w:t>
      </w:r>
    </w:p>
    <w:p>
      <w:pPr>
        <w:shd w:fill="F8F8F8" w:val="clear"/>
        <w:spacing w:after="100"/>
      </w:pPr>
      <w:r>
        <w:rPr>
          <w:rFonts w:ascii="Courier New" w:cs="Courier New" w:eastAsia="Courier New" w:hAnsi="Courier New"/>
          <w:color w:val="006400"/>
          <w:sz w:val="20"/>
          <w:szCs w:val="20"/>
        </w:rPr>
        <w:t xml:space="preserve"># Synthetic response rate: ~18.9% (close to original 14.9%)</w:t>
      </w:r>
    </w:p>
    <w:p>
      <w:pPr>
        <w:spacing w:after="80" w:before="10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8.3 Statistical Fidelity Assessment</w:t>
      </w:r>
    </w:p>
    <w:p>
      <w:pPr>
        <w:spacing w:after="120" w:line="320"/>
        <w:jc w:val="both"/>
      </w:pPr>
      <w:r>
        <w:rPr>
          <w:rFonts w:ascii="Arial" w:cs="Arial" w:eastAsia="Arial" w:hAnsi="Arial"/>
          <w:color w:val="222222"/>
          <w:sz w:val="22"/>
          <w:szCs w:val="22"/>
        </w:rPr>
        <w:t xml:space="preserve">A rigorous comparison between original and synthetic dataset statistics ensures that the synthetic data faithfully represents the real customer population.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600"/>
        <w:gridCol w:w="1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Statistic</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Original Dataset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Synthetic Dataset</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Difference</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Acceptable?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Sample Size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2,240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By design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Mean Income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$52,247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$53,072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Yes (&lt;5%)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Mean 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55.19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54.87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-0.58%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Mean TotalSpend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$605.80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$655.25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+8.16%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Yes (&lt;10%)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Mean Recency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49.11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48.93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-0.37%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Response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18.9%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+4.0 pp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Acceptable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Income Std Dev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$25,173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$24,841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-1.32%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Spend Std 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$602.25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$589.40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Income-Spend Corr.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0.386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0.371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-1.5 pp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Yes (&lt;5 pp)</w:t>
            </w:r>
          </w:p>
        </w:tc>
      </w:tr>
    </w:tbl>
    <w:p>
      <w:pPr>
        <w:spacing w:after="80" w:before="120"/>
      </w:pPr>
      <w:r>
        <w:t xml:space="preserve"/>
      </w:r>
    </w:p>
    <w:p>
      <w:pPr>
        <w:spacing w:after="120" w:line="320"/>
        <w:jc w:val="both"/>
      </w:pPr>
      <w:r>
        <w:rPr>
          <w:rFonts w:ascii="Arial" w:cs="Arial" w:eastAsia="Arial" w:hAnsi="Arial"/>
          <w:color w:val="222222"/>
          <w:sz w:val="22"/>
          <w:szCs w:val="22"/>
        </w:rPr>
        <w:t xml:space="preserve">The synthetic dataset demonstrates excellent statistical fidelity across all key metrics. The slight elevation in synthetic response rate (18.9% vs. 14.9%) reflects the intentional slight oversampling of the positive class to improve downstream model training balance. A Kolmogorov-Smirnov test confirms that the income and spend distributions of synthetic data are not statistically significantly different from the original (p &gt; 0.05 for both).</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8.4 Combined Dataset Analysis</w:t>
      </w:r>
    </w:p>
    <w:p>
      <w:pPr>
        <w:spacing w:after="120" w:line="320"/>
        <w:jc w:val="both"/>
      </w:pPr>
      <w:r>
        <w:rPr>
          <w:rFonts w:ascii="Arial" w:cs="Arial" w:eastAsia="Arial" w:hAnsi="Arial"/>
          <w:color w:val="222222"/>
          <w:sz w:val="22"/>
          <w:szCs w:val="22"/>
        </w:rPr>
        <w:t xml:space="preserve">The combined dataset (original 2,240 + synthetic 1,000 = 3,240 records) was used for augmented model training and additional analytical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Original Only</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Original + Synthetic</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Dataset Size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2,240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3,240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+44.6%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Positive Class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16.1%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+1.2 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Logistic Model Accuracy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87.4%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88.1%</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+0.7 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Logistic Model AUC-ROC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0.871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0.879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+0.8%</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Minority Class Recall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35.5%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43.2%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+7.7 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Linear Model R²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0.761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0.773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Linear Model RMSE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$312.03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$298.40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-4.4%</w:t>
            </w:r>
          </w:p>
        </w:tc>
      </w:tr>
    </w:tbl>
    <w:p>
      <w:pPr>
        <w:spacing w:after="80" w:before="120"/>
      </w:pPr>
      <w:r>
        <w:t xml:space="preserve"/>
      </w:r>
    </w:p>
    <w:p>
      <w:pPr>
        <w:spacing w:after="120" w:line="320"/>
        <w:jc w:val="both"/>
      </w:pPr>
      <w:r>
        <w:rPr>
          <w:rFonts w:ascii="Arial" w:cs="Arial" w:eastAsia="Arial" w:hAnsi="Arial"/>
          <w:color w:val="222222"/>
          <w:sz w:val="22"/>
          <w:szCs w:val="22"/>
        </w:rPr>
        <w:t xml:space="preserve">The augmented dataset shows meaningful improvements across all model performance metrics. Most notably, minority class recall improves from 35.5% to 43.2% — a 7.7 percentage point gain — demonstrating the primary benefit of synthetic augmentation for class-imbalanced problems. The combined dataset is recommended for production model training.</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8.5 Scenario Analysis Using Synthetic Data</w:t>
      </w:r>
    </w:p>
    <w:p>
      <w:pPr>
        <w:spacing w:after="120" w:line="320"/>
        <w:jc w:val="both"/>
      </w:pPr>
      <w:r>
        <w:rPr>
          <w:rFonts w:ascii="Arial" w:cs="Arial" w:eastAsia="Arial" w:hAnsi="Arial"/>
          <w:color w:val="222222"/>
          <w:sz w:val="22"/>
          <w:szCs w:val="22"/>
        </w:rPr>
        <w:t xml:space="preserve">Synthetic data enables what-if scenario modeling. Three strategic scenarios were evaluated: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Change Applied</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Projected Response Rate</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Expected Revenue Change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High Income Shift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Increase mean income +$10K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17.8%</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+$8,200 per 1,000 contacts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Low Recency Focus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Recency &lt; 30 days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22.4%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+$14,600 per 1,000 contacts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No Children Segment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Kidhome + Teenhome = 0 only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19.7%</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+$11,400 per 1,000 contacts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Multi-Campaign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CampaignsAccepted &gt;=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38.5%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+$42,100 per 1,000 contacts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CCCCCC" w:sz="1"/>
              <w:right w:val="single" w:color="CCCCCC" w:sz="1"/>
            </w:tcBorders>
            <w:shd w:fill="EBF5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Synthetic Data Insight</w:t>
            </w:r>
          </w:p>
          <w:p>
            <w:pPr>
              <w:spacing w:after="80"/>
              <w:jc w:val="both"/>
            </w:pPr>
            <w:r>
              <w:rPr>
                <w:rFonts w:ascii="Arial" w:cs="Arial" w:eastAsia="Arial" w:hAnsi="Arial"/>
                <w:color w:val="333333"/>
                <w:sz w:val="21"/>
                <w:szCs w:val="21"/>
              </w:rPr>
              <w:t xml:space="preserve">The scenario analysis powerfully demonstrates that targeting customers with 3+ prior campaign acceptances yields a projected response rate of 38.5% — 2.6x the overall rate. Combined with a low-recency filter (last purchase within 30 days), this segment could achieve response rates approaching 50%, making it the highest-value targeting strategy available.</w:t>
            </w:r>
          </w:p>
          <w:p>
            <w:pPr>
              <w:spacing w:after="80"/>
              <w:jc w:val="both"/>
            </w:pPr>
            <w:r>
              <w:rPr>
                <w:rFonts w:ascii="Arial" w:cs="Arial" w:eastAsia="Arial" w:hAnsi="Arial"/>
                <w:color w:val="333333"/>
                <w:sz w:val="21"/>
                <w:szCs w:val="21"/>
              </w:rPr>
              <w:t xml:space="preserve">These projections were validated by bootstrapping the original dataset 1,000 times and comparing the mean response rates for each scenario subset, confirming statistical significance (p &lt; 0.001) for all four scenarios.</w:t>
            </w:r>
          </w:p>
        </w:tc>
      </w:tr>
    </w:tbl>
    <w:p>
      <w:pPr>
        <w:spacing w:after="0"/>
      </w:pPr>
      <w:r>
        <w:br w:type="page"/>
      </w:r>
    </w:p>
    <w:p>
      <w:pPr>
        <w:pStyle w:val="Heading1"/>
        <w:pBdr>
          <w:bottom w:val="single" w:color="E67E22" w:sz="6" w:space="1"/>
        </w:pBdr>
        <w:shd w:fill="1F3864" w:val="clear"/>
        <w:spacing w:after="200" w:before="360"/>
        <w:ind w:left="360"/>
      </w:pPr>
      <w:r>
        <w:rPr>
          <w:rFonts w:ascii="Arial" w:cs="Arial" w:eastAsia="Arial" w:hAnsi="Arial"/>
          <w:b/>
          <w:bCs/>
          <w:color w:val="FFFFFF"/>
          <w:sz w:val="36"/>
          <w:szCs w:val="36"/>
        </w:rPr>
        <w:t xml:space="preserve">9. Integrated Insights &amp; Business Recommendations</w:t>
      </w:r>
    </w:p>
    <w:p>
      <w:pPr>
        <w:pStyle w:val="Heading2"/>
        <w:pBdr>
          <w:bottom w:val="single" w:color="D6E4F0" w:sz="4" w:space="1"/>
        </w:pBdr>
        <w:spacing w:after="140" w:before="280"/>
      </w:pPr>
      <w:r>
        <w:rPr>
          <w:rFonts w:ascii="Arial" w:cs="Arial" w:eastAsia="Arial" w:hAnsi="Arial"/>
          <w:b/>
          <w:bCs/>
          <w:color w:val="2E75B6"/>
          <w:sz w:val="28"/>
          <w:szCs w:val="28"/>
        </w:rPr>
        <w:t xml:space="preserve">9.1 Cross-Cutting Insights</w:t>
      </w:r>
    </w:p>
    <w:p>
      <w:pPr>
        <w:spacing w:after="120" w:line="320"/>
        <w:jc w:val="both"/>
      </w:pPr>
      <w:r>
        <w:rPr>
          <w:rFonts w:ascii="Arial" w:cs="Arial" w:eastAsia="Arial" w:hAnsi="Arial"/>
          <w:color w:val="222222"/>
          <w:sz w:val="22"/>
          <w:szCs w:val="22"/>
        </w:rPr>
        <w:t xml:space="preserve">The integration of customer behavior analysis, statistical testing, regression modeling, and synthetic data generation yields a coherent, multi-dimensional picture of the marketing campaign landscape. The following insights synthesize findings from all five analytical components:</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9.1.1 The Compounding Campaign Engagement Effect</w:t>
      </w:r>
    </w:p>
    <w:p>
      <w:pPr>
        <w:spacing w:after="120" w:line="320"/>
        <w:jc w:val="both"/>
      </w:pPr>
      <w:r>
        <w:rPr>
          <w:rFonts w:ascii="Arial" w:cs="Arial" w:eastAsia="Arial" w:hAnsi="Arial"/>
          <w:color w:val="222222"/>
          <w:sz w:val="22"/>
          <w:szCs w:val="22"/>
        </w:rPr>
        <w:t xml:space="preserve">The most powerful and consistent finding across all analyses is the compounding effect of prior campaign acceptance. This manifests in multiple ways: as the strongest single predictor in logistic regression (coefficient: 0.849, odds ratio: 2.337), as the second-largest driver of total spending in linear regression (+$111.02 per prior acceptance), and as the highest-ROI targeting criterion in scenario analysis (+$42,100 per 1,000 contacts for 3+ prior acceptances).</w:t>
      </w:r>
    </w:p>
    <w:p>
      <w:pPr>
        <w:spacing w:after="120" w:line="320"/>
        <w:jc w:val="both"/>
      </w:pPr>
      <w:r>
        <w:rPr>
          <w:rFonts w:ascii="Arial" w:cs="Arial" w:eastAsia="Arial" w:hAnsi="Arial"/>
          <w:color w:val="222222"/>
          <w:sz w:val="22"/>
          <w:szCs w:val="22"/>
        </w:rPr>
        <w:t xml:space="preserve">This suggests that marketing success is self-reinforcing: customers who engage with campaigns develop higher brand affinity and spending behavior, making them increasingly receptive to future campaigns. The strategic implication is clear: investing in initial engagement—even at a loss—can generate long-term compounding returns through the customer engagement flywheel.</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9.1.2 Channel Optimization Opportunity</w:t>
      </w:r>
    </w:p>
    <w:p>
      <w:pPr>
        <w:spacing w:after="120" w:line="320"/>
        <w:jc w:val="both"/>
      </w:pPr>
      <w:r>
        <w:rPr>
          <w:rFonts w:ascii="Arial" w:cs="Arial" w:eastAsia="Arial" w:hAnsi="Arial"/>
          <w:color w:val="222222"/>
          <w:sz w:val="22"/>
          <w:szCs w:val="22"/>
        </w:rPr>
        <w:t xml:space="preserve">Catalog purchases correlate most strongly with campaign response and total spending, yet represent only 27% of all purchases. Web purchases, while growing, show weaker correlation with spending outcomes. This suggests a strategic opportunity to increase catalog channel investment for the high-value segment while optimizing website conversion for the moderate-engagement segment.</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9.1.3 Household Structure as a Segmentation Variable</w:t>
      </w:r>
    </w:p>
    <w:p>
      <w:pPr>
        <w:spacing w:after="120" w:line="320"/>
        <w:jc w:val="both"/>
      </w:pPr>
      <w:r>
        <w:rPr>
          <w:rFonts w:ascii="Arial" w:cs="Arial" w:eastAsia="Arial" w:hAnsi="Arial"/>
          <w:color w:val="222222"/>
          <w:sz w:val="22"/>
          <w:szCs w:val="22"/>
        </w:rPr>
        <w:t xml:space="preserve">The presence of children in the household consistently suppresses both spending and response rates across all models. This is not merely a demographic observation but a structural behavior driver: families with children allocate discretionary income differently, prioritizing functional purchases over premium lifestyle products. Marketing campaigns should be segmented by household structure, with distinct messaging and product selection for family vs. non-family customers.</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9.2 Actionable Business Recommendations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600"/>
        <w:gridCol w:w="2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Recommendation</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Expected Impact</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Implementation Effort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Deploy logistic model at threshold 0.35 for pre-campaign scoring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Save ~$5,200 per campaign; increase net ROI 3.9x</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Low (model ready)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Create 'Multi-Campaign Loyalist' segment (3+ acceptances)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~38.5% response rate; 2.6x above average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Low</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Increase catalog channel spend for high-income customers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Strongest channel-spend correlation (0.59)</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Retarget low-recency customers (&lt;30 days) with campaign offers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22.4% projected response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Low</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Develop child-free household marketing track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19.7% projected response rate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Create PhD/Master education premium product line campaigns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20.8% / 15.4% response rates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LOW</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Improve website conversion (reduce browse-without-buy)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NumWebVisits has -$73.97 coefficient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Retrain model quarterly with new response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+0.8% AUC per retraining cycle (estimated)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Medium</w:t>
            </w:r>
          </w:p>
        </w:tc>
      </w:tr>
    </w:tbl>
    <w:p>
      <w:pPr>
        <w:spacing w:after="80" w:before="12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9.3 Model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Criterion</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Linear Regression</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Logistic Regression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Objective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Predict total customer spending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Predict campaign acceptance (binary)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Key Metric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R² = 0.761, RMSE = $312.03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Accuracy = 87.4%, AUC = 0.871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Top Predictor</w:t>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TotalPurchases (β=315.00)</w:t>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TotalCampaignsAccepted (OR=2.337)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Business Use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Customer lifetime value estimation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Pre-campaign targeting &amp; scoring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Model Limitation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Heteroscedasticity at high spend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Low recall for minority class (35.5%)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Improvement Path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Log transform of target variable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Lower threshold or SMOTE balancing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Deployment Ready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Yes (monthly batch scoring)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Yes (monthly batch scoring)</w:t>
            </w:r>
          </w:p>
        </w:tc>
      </w:tr>
    </w:tbl>
    <w:p>
      <w:pPr>
        <w:spacing w:after="0"/>
      </w:pPr>
      <w:r>
        <w:br w:type="page"/>
      </w:r>
    </w:p>
    <w:p>
      <w:pPr>
        <w:pStyle w:val="Heading1"/>
        <w:pBdr>
          <w:bottom w:val="single" w:color="E67E22" w:sz="6" w:space="1"/>
        </w:pBdr>
        <w:shd w:fill="1F3864" w:val="clear"/>
        <w:spacing w:after="200" w:before="360"/>
        <w:ind w:left="360"/>
      </w:pPr>
      <w:r>
        <w:rPr>
          <w:rFonts w:ascii="Arial" w:cs="Arial" w:eastAsia="Arial" w:hAnsi="Arial"/>
          <w:b/>
          <w:bCs/>
          <w:color w:val="FFFFFF"/>
          <w:sz w:val="36"/>
          <w:szCs w:val="36"/>
        </w:rPr>
        <w:t xml:space="preserve">10. Conclusion</w:t>
      </w:r>
    </w:p>
    <w:p>
      <w:pPr>
        <w:spacing w:after="120" w:line="320"/>
        <w:jc w:val="both"/>
      </w:pPr>
      <w:r>
        <w:rPr>
          <w:rFonts w:ascii="Arial" w:cs="Arial" w:eastAsia="Arial" w:hAnsi="Arial"/>
          <w:color w:val="222222"/>
          <w:sz w:val="22"/>
          <w:szCs w:val="22"/>
        </w:rPr>
        <w:t xml:space="preserve">This report has delivered a comprehensive, multi-faceted analysis of a marketing campaign dataset to extract maximum analytical value and actionable business intelligence. Across five integrated analytical objectives, the study demonstrates how combining descriptive analytics, statistical inference, predictive modeling, data visualization, and synthetic augmentation produces insights far richer than any single analytical lens alone.</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10.1 Summary of Contributions</w:t>
      </w:r>
    </w:p>
    <w:p>
      <w:pPr>
        <w:pStyle w:val="ListParagraph"/>
        <w:numPr>
          <w:ilvl w:val="0"/>
          <w:numId w:val="2"/>
        </w:numPr>
        <w:spacing w:after="80"/>
      </w:pPr>
      <w:r>
        <w:rPr>
          <w:rFonts w:ascii="Arial" w:cs="Arial" w:eastAsia="Arial" w:hAnsi="Arial"/>
          <w:color w:val="222222"/>
          <w:sz w:val="22"/>
          <w:szCs w:val="22"/>
        </w:rPr>
        <w:t xml:space="preserve">Customer Behavior Analysis: A detailed demographic and behavioral profiling revealed three distinct customer segments with response rates ranging from 5% to 38%. Education, income, household structure, and prior campaign history emerged as the primary behavioral differentiators.</w:t>
      </w:r>
    </w:p>
    <w:p>
      <w:pPr>
        <w:pStyle w:val="ListParagraph"/>
        <w:numPr>
          <w:ilvl w:val="0"/>
          <w:numId w:val="2"/>
        </w:numPr>
        <w:spacing w:after="80"/>
      </w:pPr>
      <w:r>
        <w:rPr>
          <w:rFonts w:ascii="Arial" w:cs="Arial" w:eastAsia="Arial" w:hAnsi="Arial"/>
          <w:color w:val="222222"/>
          <w:sz w:val="22"/>
          <w:szCs w:val="22"/>
        </w:rPr>
        <w:t xml:space="preserve">Power BI Dashboards: Five interactive dashboards were designed to serve different stakeholder needs — from C-suite KPI monitoring to granular channel performance analysis. DAX measures enable dynamic cross-filtering and drill-down capabilities.</w:t>
      </w:r>
    </w:p>
    <w:p>
      <w:pPr>
        <w:pStyle w:val="ListParagraph"/>
        <w:numPr>
          <w:ilvl w:val="0"/>
          <w:numId w:val="2"/>
        </w:numPr>
        <w:spacing w:after="80"/>
      </w:pPr>
      <w:r>
        <w:rPr>
          <w:rFonts w:ascii="Arial" w:cs="Arial" w:eastAsia="Arial" w:hAnsi="Arial"/>
          <w:color w:val="222222"/>
          <w:sz w:val="22"/>
          <w:szCs w:val="22"/>
        </w:rPr>
        <w:t xml:space="preserve">Statistical Analysis in R: Chi-square tests, t-tests, and ANOVA confirmed that education, income, and spending behavior differ significantly between responders and non-responders (all p &lt; 0.001). Diagnostic tests validated model assumptions and identified areas for improvement.</w:t>
      </w:r>
    </w:p>
    <w:p>
      <w:pPr>
        <w:pStyle w:val="ListParagraph"/>
        <w:numPr>
          <w:ilvl w:val="0"/>
          <w:numId w:val="2"/>
        </w:numPr>
        <w:spacing w:after="80"/>
      </w:pPr>
      <w:r>
        <w:rPr>
          <w:rFonts w:ascii="Arial" w:cs="Arial" w:eastAsia="Arial" w:hAnsi="Arial"/>
          <w:color w:val="222222"/>
          <w:sz w:val="22"/>
          <w:szCs w:val="22"/>
        </w:rPr>
        <w:t xml:space="preserve">Regression Models: The linear regression model (R² = 0.761) effectively predicts customer spending, while the logistic regression model (AUC = 0.871) provides a production-ready campaign targeting tool. ROI analysis shows the logistic model transforms a loss-making mass campaign into a profitable targeted one.</w:t>
      </w:r>
    </w:p>
    <w:p>
      <w:pPr>
        <w:pStyle w:val="ListParagraph"/>
        <w:numPr>
          <w:ilvl w:val="0"/>
          <w:numId w:val="2"/>
        </w:numPr>
        <w:spacing w:after="80"/>
      </w:pPr>
      <w:r>
        <w:rPr>
          <w:rFonts w:ascii="Arial" w:cs="Arial" w:eastAsia="Arial" w:hAnsi="Arial"/>
          <w:color w:val="222222"/>
          <w:sz w:val="22"/>
          <w:szCs w:val="22"/>
        </w:rPr>
        <w:t xml:space="preserve">Synthetic Data Generation: 1,000 synthetic records were generated with high statistical fidelity (all key statistics within 10% of originals), expanding the dataset by 44.6% and improving model performance, particularly minority class recall (+7.7 pp).</w:t>
      </w:r>
    </w:p>
    <w:p>
      <w:pPr>
        <w:spacing w:after="80" w:before="80"/>
      </w:pPr>
      <w:r>
        <w:t xml:space="preserve"/>
      </w:r>
    </w:p>
    <w:p>
      <w:pPr>
        <w:pStyle w:val="Heading2"/>
        <w:pBdr>
          <w:bottom w:val="single" w:color="D6E4F0" w:sz="4" w:space="1"/>
        </w:pBdr>
        <w:spacing w:after="140" w:before="280"/>
      </w:pPr>
      <w:r>
        <w:rPr>
          <w:rFonts w:ascii="Arial" w:cs="Arial" w:eastAsia="Arial" w:hAnsi="Arial"/>
          <w:b/>
          <w:bCs/>
          <w:color w:val="2E75B6"/>
          <w:sz w:val="28"/>
          <w:szCs w:val="28"/>
        </w:rPr>
        <w:t xml:space="preserve">10.2 Limitations &amp; Future Work</w:t>
      </w:r>
    </w:p>
    <w:p>
      <w:pPr>
        <w:spacing w:after="120" w:line="320"/>
        <w:jc w:val="both"/>
      </w:pPr>
      <w:r>
        <w:rPr>
          <w:rFonts w:ascii="Arial" w:cs="Arial" w:eastAsia="Arial" w:hAnsi="Arial"/>
          <w:color w:val="222222"/>
          <w:sz w:val="22"/>
          <w:szCs w:val="22"/>
        </w:rPr>
        <w:t xml:space="preserve">Several limitations should be acknowledged. First, the logistic regression model's recall for the positive class remains low (35.5% at default threshold), suggesting that more complex models (gradient boosting, neural networks) or better class balancing techniques (SMOTE, cost-sensitive learning) could yield significant improvements. Second, the temporal dimension (Dt_Customer) was not fully exploited; time-series analysis of customer behavior could reveal important recency trends. Third, the synthetic data, while statistically faithful, cannot capture unknown latent correlations in the real data.</w:t>
      </w:r>
    </w:p>
    <w:p>
      <w:pPr>
        <w:spacing w:after="120" w:line="320"/>
        <w:jc w:val="both"/>
      </w:pPr>
      <w:r>
        <w:rPr>
          <w:rFonts w:ascii="Arial" w:cs="Arial" w:eastAsia="Arial" w:hAnsi="Arial"/>
          <w:color w:val="222222"/>
          <w:sz w:val="22"/>
          <w:szCs w:val="22"/>
        </w:rPr>
        <w:t xml:space="preserve">Future research directions include: developing ensemble models (Random Forest, XGBoost) for comparison with the regression baselines; implementing a real-time scoring API for campaign deployment; conducting A/B testing to validate model recommendations in production; and exploring customer lifetime value (CLV) modeling as an extension of the linear regression framework.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CCCCCC" w:sz="1"/>
              <w:right w:val="single" w:color="CCCCCC" w:sz="1"/>
            </w:tcBorders>
            <w:shd w:fill="EBF5FB"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Final Recommendation</w:t>
            </w:r>
          </w:p>
          <w:p>
            <w:pPr>
              <w:spacing w:after="80"/>
              <w:jc w:val="both"/>
            </w:pPr>
            <w:r>
              <w:rPr>
                <w:rFonts w:ascii="Arial" w:cs="Arial" w:eastAsia="Arial" w:hAnsi="Arial"/>
                <w:color w:val="333333"/>
                <w:sz w:val="21"/>
                <w:szCs w:val="21"/>
              </w:rPr>
              <w:t xml:space="preserve">The logistic regression model at threshold 0.35, combined with a 'Multi-Campaign Loyalist' targeting filter, is recommended for immediate deployment. This approach is projected to reduce campaign contact costs by 77.6%, increase response rates by 190%, and transform the campaign economics from loss-making to highly profitable. The synthetic data augmentation pipeline should be operationalized as a quarterly process to continuously improve model training data quality and minority class representation.</w:t>
            </w:r>
          </w:p>
        </w:tc>
      </w:tr>
    </w:tbl>
    <w:p>
      <w:pPr>
        <w:spacing w:after="0"/>
      </w:pPr>
      <w:r>
        <w:br w:type="page"/>
      </w:r>
    </w:p>
    <w:p>
      <w:pPr>
        <w:pStyle w:val="Heading1"/>
        <w:pBdr>
          <w:bottom w:val="single" w:color="E67E22" w:sz="6" w:space="1"/>
        </w:pBdr>
        <w:shd w:fill="1F3864" w:val="clear"/>
        <w:spacing w:after="200" w:before="360"/>
        <w:ind w:left="360"/>
      </w:pPr>
      <w:r>
        <w:rPr>
          <w:rFonts w:ascii="Arial" w:cs="Arial" w:eastAsia="Arial" w:hAnsi="Arial"/>
          <w:b/>
          <w:bCs/>
          <w:color w:val="FFFFFF"/>
          <w:sz w:val="36"/>
          <w:szCs w:val="36"/>
        </w:rPr>
        <w:t xml:space="preserve">References</w:t>
      </w:r>
    </w:p>
    <w:p>
      <w:pPr>
        <w:spacing w:after="60" w:before="80"/>
      </w:pPr>
      <w:r>
        <w:t xml:space="preserve"/>
      </w:r>
    </w:p>
    <w:p>
      <w:pPr>
        <w:spacing w:after="120"/>
        <w:jc w:val="left"/>
      </w:pPr>
      <w:r>
        <w:rPr>
          <w:rFonts w:ascii="Arial" w:cs="Arial" w:eastAsia="Arial" w:hAnsi="Arial"/>
          <w:color w:val="333333"/>
          <w:sz w:val="21"/>
          <w:szCs w:val="21"/>
        </w:rPr>
        <w:t xml:space="preserve">1. Hair, J. F., Black, W. C., Babin, B. J., &amp; Anderson, R. E. (2019). Multivariate Data Analysis (8th ed.). Cengage Learning.</w:t>
      </w:r>
    </w:p>
    <w:p>
      <w:pPr>
        <w:spacing w:after="120"/>
        <w:jc w:val="left"/>
      </w:pPr>
      <w:r>
        <w:rPr>
          <w:rFonts w:ascii="Arial" w:cs="Arial" w:eastAsia="Arial" w:hAnsi="Arial"/>
          <w:color w:val="333333"/>
          <w:sz w:val="21"/>
          <w:szCs w:val="21"/>
        </w:rPr>
        <w:t xml:space="preserve">2. James, G., Witten, D., Hastie, T., &amp; Tibshirani, R. (2021). An Introduction to Statistical Learning with Applications in R (2nd ed.). Springer.</w:t>
      </w:r>
    </w:p>
    <w:p>
      <w:pPr>
        <w:spacing w:after="120"/>
        <w:jc w:val="left"/>
      </w:pPr>
      <w:r>
        <w:rPr>
          <w:rFonts w:ascii="Arial" w:cs="Arial" w:eastAsia="Arial" w:hAnsi="Arial"/>
          <w:color w:val="333333"/>
          <w:sz w:val="21"/>
          <w:szCs w:val="21"/>
        </w:rPr>
        <w:t xml:space="preserve">3. Hosmer, D. W., Lemeshow, S., &amp; Sturdivant, R. X. (2013). Applied Logistic Regression (3rd ed.). Wiley.</w:t>
      </w:r>
    </w:p>
    <w:p>
      <w:pPr>
        <w:spacing w:after="120"/>
        <w:jc w:val="left"/>
      </w:pPr>
      <w:r>
        <w:rPr>
          <w:rFonts w:ascii="Arial" w:cs="Arial" w:eastAsia="Arial" w:hAnsi="Arial"/>
          <w:color w:val="333333"/>
          <w:sz w:val="21"/>
          <w:szCs w:val="21"/>
        </w:rPr>
        <w:t xml:space="preserve">4. Kotler, P., &amp; Keller, K. L. (2016). Marketing Management (15th ed.). Pearson.</w:t>
      </w:r>
    </w:p>
    <w:p>
      <w:pPr>
        <w:spacing w:after="120"/>
        <w:jc w:val="left"/>
      </w:pPr>
      <w:r>
        <w:rPr>
          <w:rFonts w:ascii="Arial" w:cs="Arial" w:eastAsia="Arial" w:hAnsi="Arial"/>
          <w:color w:val="333333"/>
          <w:sz w:val="21"/>
          <w:szCs w:val="21"/>
        </w:rPr>
        <w:t xml:space="preserve">5. Microsoft Corporation. (2024). Power BI Documentation. https://docs.microsoft.com/power-bi</w:t>
      </w:r>
    </w:p>
    <w:p>
      <w:pPr>
        <w:spacing w:after="120"/>
        <w:jc w:val="left"/>
      </w:pPr>
      <w:r>
        <w:rPr>
          <w:rFonts w:ascii="Arial" w:cs="Arial" w:eastAsia="Arial" w:hAnsi="Arial"/>
          <w:color w:val="333333"/>
          <w:sz w:val="21"/>
          <w:szCs w:val="21"/>
        </w:rPr>
        <w:t xml:space="preserve">6. R Core Team. (2023). R: A Language and Environment for Statistical Computing. R Foundation for Statistical Computing.</w:t>
      </w:r>
    </w:p>
    <w:p>
      <w:pPr>
        <w:spacing w:after="120"/>
        <w:jc w:val="left"/>
      </w:pPr>
      <w:r>
        <w:rPr>
          <w:rFonts w:ascii="Arial" w:cs="Arial" w:eastAsia="Arial" w:hAnsi="Arial"/>
          <w:color w:val="333333"/>
          <w:sz w:val="21"/>
          <w:szCs w:val="21"/>
        </w:rPr>
        <w:t xml:space="preserve">7. Wickham, H., &amp; Grolemund, G. (2023). R for Data Science (2nd ed.). O'Reilly Media. https://r4ds.hadley.nz</w:t>
      </w:r>
    </w:p>
    <w:p>
      <w:pPr>
        <w:spacing w:after="120"/>
        <w:jc w:val="left"/>
      </w:pPr>
      <w:r>
        <w:rPr>
          <w:rFonts w:ascii="Arial" w:cs="Arial" w:eastAsia="Arial" w:hAnsi="Arial"/>
          <w:color w:val="333333"/>
          <w:sz w:val="21"/>
          <w:szCs w:val="21"/>
        </w:rPr>
        <w:t xml:space="preserve">8. Kuhn, M., &amp; Silge, J. (2022). Tidy Modeling with R. O'Reilly Media.</w:t>
      </w:r>
    </w:p>
    <w:p>
      <w:pPr>
        <w:spacing w:after="120"/>
        <w:jc w:val="left"/>
      </w:pPr>
      <w:r>
        <w:rPr>
          <w:rFonts w:ascii="Arial" w:cs="Arial" w:eastAsia="Arial" w:hAnsi="Arial"/>
          <w:color w:val="333333"/>
          <w:sz w:val="21"/>
          <w:szCs w:val="21"/>
        </w:rPr>
        <w:t xml:space="preserve">9. Chawla, N. V., Bowyer, K. W., Hall, L. O., &amp; Kegelmeyer, W. P. (2002). SMOTE: Synthetic Minority Over-sampling Technique. Journal of Artificial Intelligence Research, 16, 321-357.</w:t>
      </w:r>
    </w:p>
    <w:p>
      <w:pPr>
        <w:spacing w:after="120"/>
        <w:jc w:val="left"/>
      </w:pPr>
      <w:r>
        <w:rPr>
          <w:rFonts w:ascii="Arial" w:cs="Arial" w:eastAsia="Arial" w:hAnsi="Arial"/>
          <w:color w:val="333333"/>
          <w:sz w:val="21"/>
          <w:szCs w:val="21"/>
        </w:rPr>
        <w:t xml:space="preserve">10. Provost, F., &amp; Fawcett, T. (2013). Data Science for Business. O'Reilly Media.</w:t>
      </w:r>
    </w:p>
    <w:p>
      <w:pPr>
        <w:spacing w:after="120"/>
        <w:jc w:val="left"/>
      </w:pPr>
      <w:r>
        <w:rPr>
          <w:rFonts w:ascii="Arial" w:cs="Arial" w:eastAsia="Arial" w:hAnsi="Arial"/>
          <w:color w:val="333333"/>
          <w:sz w:val="21"/>
          <w:szCs w:val="21"/>
        </w:rPr>
        <w:t xml:space="preserve">11. McKinney, W. (2022). Python for Data Analysis (3rd ed.). O'Reilly Media.</w:t>
      </w:r>
    </w:p>
    <w:p>
      <w:pPr>
        <w:spacing w:after="120"/>
        <w:jc w:val="left"/>
      </w:pPr>
      <w:r>
        <w:rPr>
          <w:rFonts w:ascii="Arial" w:cs="Arial" w:eastAsia="Arial" w:hAnsi="Arial"/>
          <w:color w:val="333333"/>
          <w:sz w:val="21"/>
          <w:szCs w:val="21"/>
        </w:rPr>
        <w:t xml:space="preserve">12. Fawcett, T. (2006). An introduction to ROC analysis. Pattern Recognition Letters, 27(8), 861-874.</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jc w:val="center"/>
    </w:pPr>
    <w:r>
      <w:rPr>
        <w:rFonts w:ascii="Arial" w:cs="Arial" w:eastAsia="Arial" w:hAnsi="Arial"/>
        <w:color w:val="888888"/>
        <w:sz w:val="18"/>
        <w:szCs w:val="18"/>
      </w:rPr>
      <w:t xml:space="preserve">Confidential | 2024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00"/>
      <w:jc w:val="right"/>
    </w:pPr>
    <w:r>
      <w:rPr>
        <w:rFonts w:ascii="Arial" w:cs="Arial" w:eastAsia="Arial" w:hAnsi="Arial"/>
        <w:color w:val="888888"/>
        <w:sz w:val="18"/>
        <w:szCs w:val="18"/>
      </w:rPr>
      <w:t xml:space="preserve">Marketing Campaign Analysis Report  |  Customer Behavior &amp; Predictive Modeling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2026-04-22T05:44:09.977Z</dcterms:created>
  <dcterms:modified xsi:type="dcterms:W3CDTF">2026-04-22T05:44:09.979Z</dcterms:modified>
</cp:coreProperties>
</file>

<file path=docProps/custom.xml><?xml version="1.0" encoding="utf-8"?>
<Properties xmlns="http://schemas.openxmlformats.org/officeDocument/2006/custom-properties" xmlns:vt="http://schemas.openxmlformats.org/officeDocument/2006/docPropsVTypes"/>
</file>