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864"/>
          <w:sz w:val="56"/>
          <w:szCs w:val="56"/>
        </w:rPr>
        <w:t xml:space="preserve">RETAIL SALES ANALYSIS</w:t>
      </w:r>
    </w:p>
    <w:p>
      <w:pPr>
        <w:spacing w:after="400"/>
        <w:jc w:val="center"/>
      </w:pPr>
      <w:r>
        <w:rPr>
          <w:i/>
          <w:iCs/>
          <w:color w:val="595959"/>
          <w:sz w:val="28"/>
          <w:szCs w:val="28"/>
        </w:rPr>
        <w:t xml:space="preserve">A Complete End-to-End Excel Analytics Project</w:t>
      </w:r>
    </w:p>
    <w:p>
      <w:pPr>
        <w:spacing w:after="2000"/>
        <w:jc w:val="center"/>
      </w:pPr>
      <w:r>
        <w:rPr>
          <w:color w:val="595959"/>
          <w:sz w:val="20"/>
          <w:szCs w:val="20"/>
        </w:rPr>
        <w:t xml:space="preserve">Phases 1-10: Data Understanding -&gt; Audit -&gt; Cleaning -&gt; Formatting -&gt; KPIs -&gt; EDA -&gt; Insights -&gt; Visualization -&gt; Dashboard -&gt; Business Report</w:t>
      </w:r>
    </w:p>
    <w:p>
      <w:pPr>
        <w:spacing w:after="80"/>
        <w:jc w:val="center"/>
      </w:pPr>
      <w:r>
        <w:rPr>
          <w:b/>
          <w:bCs/>
          <w:sz w:val="22"/>
          <w:szCs w:val="22"/>
        </w:rPr>
        <w:t xml:space="preserve">Dataset: Sample - Superstore.xlsx</w:t>
      </w:r>
    </w:p>
    <w:p>
      <w:pPr>
        <w:spacing w:after="80"/>
        <w:jc w:val="center"/>
      </w:pPr>
      <w:r>
        <w:rPr>
          <w:color w:val="595959"/>
          <w:sz w:val="20"/>
          <w:szCs w:val="20"/>
        </w:rPr>
        <w:t xml:space="preserve">9,994 transaction rows | 20 source columns | 2014-2017</w:t>
      </w:r>
    </w:p>
    <w:p>
      <w:pPr>
        <w:spacing w:after="80"/>
        <w:jc w:val="center"/>
      </w:pPr>
      <w:r>
        <w:rPr>
          <w:i/>
          <w:iCs/>
          <w:color w:val="595959"/>
          <w:sz w:val="18"/>
          <w:szCs w:val="18"/>
        </w:rPr>
        <w:t xml:space="preserve">Prepared as a mentoring deliverable - Senior Data Analyst walkthrough</w:t>
      </w:r>
    </w:p>
    <w:p>
      <w:pPr>
        <w:pageBreakBefore/>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PHASE 1 - UNDERSTANDING THE DATASET</w:t>
      </w:r>
    </w:p>
    <w:p>
      <w:pPr>
        <w:spacing w:after="160"/>
      </w:pPr>
      <w:r>
        <w:t xml:space="preserve">Before touching a single formula, a real analyst spends time simply reading the data. Below is exactly what this dataset contains, verified column by column against the actual file you uploaded — not a generic description of what a 'Superstore dataset' usually looks like.</w:t>
      </w:r>
    </w:p>
    <w:p>
      <w:pPr>
        <w:pStyle w:val="Heading2"/>
      </w:pPr>
      <w:r>
        <w:t xml:space="preserve">1.1 What This Dataset Is</w:t>
      </w:r>
    </w:p>
    <w:p>
      <w:pPr>
        <w:spacing w:after="160"/>
      </w:pPr>
      <w:r>
        <w:t xml:space="preserve">This is a transaction-level retail sales extract: 9,994 rows, each representing one product line item within a customer order, across 20 columns. The data spans January 2014 to December 2017 (4 full years) for a US retailer selling Furniture, Office Supplies, and Technology products.</w:t>
      </w:r>
    </w:p>
    <w:p>
      <w:pPr>
        <w:pStyle w:val="Heading2"/>
      </w:pPr>
      <w:r>
        <w:t xml:space="preserve">1.2 Column-by-Column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500"/>
        <w:gridCol w:w="5960"/>
      </w:tblGrid>
      <w:tr>
        <w:trPr>
          <w:tblHeader/>
        </w:trPr>
        <w:tc>
          <w:tcPr>
            <w:tcW w:type="dxa" w:w="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w:t>
            </w:r>
          </w:p>
        </w:tc>
        <w:tc>
          <w:tcPr>
            <w:tcW w:type="dxa" w:w="1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Column</w:t>
            </w:r>
          </w:p>
        </w:tc>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Type</w:t>
            </w:r>
          </w:p>
        </w:tc>
        <w:tc>
          <w:tcPr>
            <w:tcW w:type="dxa" w:w="59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What It Represents</w:t>
            </w:r>
          </w:p>
        </w:tc>
      </w:tr>
      <w:tr>
        <w:tc>
          <w:tcPr>
            <w:tcW w:type="dxa" w:w="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1</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Row ID</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Numeric (ID)</w:t>
            </w:r>
          </w:p>
        </w:tc>
        <w:tc>
          <w:tcPr>
            <w:tcW w:type="dxa" w:w="5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Unique row identifier. One per line item. Confirmed unique across all 9,994 rows — this is the table's primary key.</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2</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Order ID</w:t>
            </w:r>
          </w:p>
        </w:tc>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Text (ID)</w:t>
            </w:r>
          </w:p>
        </w:tc>
        <w:tc>
          <w:tcPr>
            <w:tcW w:type="dxa" w:w="5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Identifies an order. Format: [Region Code]-[Year]-[Number], e.g. CA-2014-140795. 5,009 distinct orders share these 9,994 rows — average 2.0 line items per order.</w:t>
            </w:r>
          </w:p>
        </w:tc>
      </w:tr>
      <w:tr>
        <w:tc>
          <w:tcPr>
            <w:tcW w:type="dxa" w:w="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3</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Order Date</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Date</w:t>
            </w:r>
          </w:p>
        </w:tc>
        <w:tc>
          <w:tcPr>
            <w:tcW w:type="dxa" w:w="5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The date the order was placed. CRITICAL FINDING: 59.6% of these values are corrupted (see Phase 2).</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4</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Ship Mode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Categorical</w:t>
            </w:r>
          </w:p>
        </w:tc>
        <w:tc>
          <w:tcPr>
            <w:tcW w:type="dxa" w:w="5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Shipping method: Standard Class, Second Class, First Class, Same Day. 4 clean categories, no inconsistency.</w:t>
            </w:r>
          </w:p>
        </w:tc>
      </w:tr>
      <w:tr>
        <w:tc>
          <w:tcPr>
            <w:tcW w:type="dxa" w:w="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5</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Customer ID</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Text (ID)</w:t>
            </w:r>
          </w:p>
        </w:tc>
        <w:tc>
          <w:tcPr>
            <w:tcW w:type="dxa" w:w="5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Unique code per customer. 793 distinct customers.</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6</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Customer Name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Text</w:t>
            </w:r>
          </w:p>
        </w:tc>
        <w:tc>
          <w:tcPr>
            <w:tcW w:type="dxa" w:w="5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Full name of the customer. Maps 1-to-1 with Customer ID.</w:t>
            </w:r>
          </w:p>
        </w:tc>
      </w:tr>
      <w:tr>
        <w:tc>
          <w:tcPr>
            <w:tcW w:type="dxa" w:w="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7</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Segment</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Categorical</w:t>
            </w:r>
          </w:p>
        </w:tc>
        <w:tc>
          <w:tcPr>
            <w:tcW w:type="dxa" w:w="5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Customer type: Consumer, Corporate, Home Office. 3 clean categories.</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8</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Country</w:t>
            </w:r>
          </w:p>
        </w:tc>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Categorical</w:t>
            </w:r>
          </w:p>
        </w:tc>
        <w:tc>
          <w:tcPr>
            <w:tcW w:type="dxa" w:w="5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Always 'United States' — zero variance, not useful for segmentation in this extract.</w:t>
            </w:r>
          </w:p>
        </w:tc>
      </w:tr>
      <w:tr>
        <w:tc>
          <w:tcPr>
            <w:tcW w:type="dxa" w:w="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9</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City</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Categorical</w:t>
            </w:r>
          </w:p>
        </w:tc>
        <w:tc>
          <w:tcPr>
            <w:tcW w:type="dxa" w:w="5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531 distinct cities.</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10</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State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Categorical</w:t>
            </w:r>
          </w:p>
        </w:tc>
        <w:tc>
          <w:tcPr>
            <w:tcW w:type="dxa" w:w="5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49 US states/territories represented.</w:t>
            </w:r>
          </w:p>
        </w:tc>
      </w:tr>
      <w:tr>
        <w:tc>
          <w:tcPr>
            <w:tcW w:type="dxa" w:w="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11</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Postal Code</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Numeric (ID)</w:t>
            </w:r>
          </w:p>
        </w:tc>
        <w:tc>
          <w:tcPr>
            <w:tcW w:type="dxa" w:w="5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5-digit US ZIP. CRITICAL FINDING: stored as Number, so 449 Northeast ZIP codes lost their leading zero (see Phase 2).</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12</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Region</w:t>
            </w:r>
          </w:p>
        </w:tc>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Categorical</w:t>
            </w:r>
          </w:p>
        </w:tc>
        <w:tc>
          <w:tcPr>
            <w:tcW w:type="dxa" w:w="5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4 sales regions: West, East, Central, South.</w:t>
            </w:r>
          </w:p>
        </w:tc>
      </w:tr>
      <w:tr>
        <w:tc>
          <w:tcPr>
            <w:tcW w:type="dxa" w:w="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13</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Product ID</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Text (ID)</w:t>
            </w:r>
          </w:p>
        </w:tc>
        <w:tc>
          <w:tcPr>
            <w:tcW w:type="dxa" w:w="5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Product code, e.g. TEC-AC-10001432. 1,862 distinct values.</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14</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Category</w:t>
            </w:r>
          </w:p>
        </w:tc>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Categorical</w:t>
            </w:r>
          </w:p>
        </w:tc>
        <w:tc>
          <w:tcPr>
            <w:tcW w:type="dxa" w:w="5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Top-level product grouping: Technology, Furniture, Office Supplies (3 values).</w:t>
            </w:r>
          </w:p>
        </w:tc>
      </w:tr>
      <w:tr>
        <w:tc>
          <w:tcPr>
            <w:tcW w:type="dxa" w:w="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15</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Sub-Category</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Categorical</w:t>
            </w:r>
          </w:p>
        </w:tc>
        <w:tc>
          <w:tcPr>
            <w:tcW w:type="dxa" w:w="5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17 finer product groupings (Phones, Chairs, Binders, etc.).</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16</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Product Name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Text</w:t>
            </w:r>
          </w:p>
        </w:tc>
        <w:tc>
          <w:tcPr>
            <w:tcW w:type="dxa" w:w="5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Full product description. 1,850 distinct names (note: doesn't perfectly match the 1,862 Product IDs — see Phase 2).</w:t>
            </w:r>
          </w:p>
        </w:tc>
      </w:tr>
      <w:tr>
        <w:tc>
          <w:tcPr>
            <w:tcW w:type="dxa" w:w="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17</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Sales</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Numeric (Currency)</w:t>
            </w:r>
          </w:p>
        </w:tc>
        <w:tc>
          <w:tcPr>
            <w:tcW w:type="dxa" w:w="5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Revenue for that line item. CRITICAL FINDING: stored as TEXT, not a number (see Phase 2).</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18</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Quantity</w:t>
            </w:r>
          </w:p>
        </w:tc>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Numeric (Integer)</w:t>
            </w:r>
          </w:p>
        </w:tc>
        <w:tc>
          <w:tcPr>
            <w:tcW w:type="dxa" w:w="5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Units sold in that line item. Range 1-14.</w:t>
            </w:r>
          </w:p>
        </w:tc>
      </w:tr>
      <w:tr>
        <w:tc>
          <w:tcPr>
            <w:tcW w:type="dxa" w:w="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19</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Discount</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Numeric (Decimal/%)</w:t>
            </w:r>
          </w:p>
        </w:tc>
        <w:tc>
          <w:tcPr>
            <w:tcW w:type="dxa" w:w="5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Discount rate applied, 0% to 80%.</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20</w:t>
            </w:r>
          </w:p>
        </w:tc>
        <w:tc>
          <w:tcPr>
            <w:tcW w:type="dxa" w:w="1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Profit</w:t>
            </w:r>
          </w:p>
        </w:tc>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Numeric (Currency)</w:t>
            </w:r>
          </w:p>
        </w:tc>
        <w:tc>
          <w:tcPr>
            <w:tcW w:type="dxa" w:w="5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Profit earned on that line item. CRITICAL FINDING: also stored as TEXT (see Phase 2).</w:t>
            </w:r>
          </w:p>
        </w:tc>
      </w:tr>
    </w:tbl>
    <w:p>
      <w:pPr>
        <w:spacing w:after="120"/>
      </w:pPr>
    </w:p>
    <w:p>
      <w:pPr>
        <w:pStyle w:val="Heading2"/>
      </w:pPr>
      <w:r>
        <w:t xml:space="preserve">1.3 Classifying the Columns</w:t>
      </w:r>
    </w:p>
    <w:p>
      <w:pPr>
        <w:spacing w:after="40" w:before="120"/>
      </w:pPr>
      <w:r>
        <w:rPr>
          <w:b/>
          <w:bCs/>
          <w:color w:val="2E5C99"/>
        </w:rPr>
        <w:t xml:space="preserve">Numerical columns (4):</w:t>
      </w:r>
    </w:p>
    <w:p>
      <w:pPr>
        <w:pStyle w:val="ListParagraph"/>
        <w:numPr>
          <w:ilvl w:val="0"/>
          <w:numId w:val="2"/>
        </w:numPr>
        <w:spacing w:after="80"/>
      </w:pPr>
      <w:r>
        <w:t xml:space="preserve">Sales — continuous, currency</w:t>
      </w:r>
    </w:p>
    <w:p>
      <w:pPr>
        <w:pStyle w:val="ListParagraph"/>
        <w:numPr>
          <w:ilvl w:val="0"/>
          <w:numId w:val="2"/>
        </w:numPr>
        <w:spacing w:after="80"/>
      </w:pPr>
      <w:r>
        <w:t xml:space="preserve">Profit — continuous, currency (can be negative in principle, though this extract has none — see Phase 2)</w:t>
      </w:r>
    </w:p>
    <w:p>
      <w:pPr>
        <w:pStyle w:val="ListParagraph"/>
        <w:numPr>
          <w:ilvl w:val="0"/>
          <w:numId w:val="2"/>
        </w:numPr>
        <w:spacing w:after="80"/>
      </w:pPr>
      <w:r>
        <w:t xml:space="preserve">Quantity — discrete, integer count</w:t>
      </w:r>
    </w:p>
    <w:p>
      <w:pPr>
        <w:pStyle w:val="ListParagraph"/>
        <w:numPr>
          <w:ilvl w:val="0"/>
          <w:numId w:val="2"/>
        </w:numPr>
        <w:spacing w:after="80"/>
      </w:pPr>
      <w:r>
        <w:t xml:space="preserve">Discount — continuous, percentage (stored as decimal 0–0.8)</w:t>
      </w:r>
    </w:p>
    <w:p>
      <w:pPr>
        <w:spacing w:after="40" w:before="120"/>
      </w:pPr>
      <w:r>
        <w:rPr>
          <w:b/>
          <w:bCs/>
          <w:color w:val="2E5C99"/>
        </w:rPr>
        <w:t xml:space="preserve">Categorical columns (9):</w:t>
      </w:r>
    </w:p>
    <w:p>
      <w:pPr>
        <w:pStyle w:val="ListParagraph"/>
        <w:numPr>
          <w:ilvl w:val="0"/>
          <w:numId w:val="2"/>
        </w:numPr>
        <w:spacing w:after="80"/>
      </w:pPr>
      <w:r>
        <w:t xml:space="preserve">Ship Mode, Segment, Country, Region, Category, Sub-Category — low-cardinality (3–17 unique values), ideal for slicers/filters</w:t>
      </w:r>
    </w:p>
    <w:p>
      <w:pPr>
        <w:pStyle w:val="ListParagraph"/>
        <w:numPr>
          <w:ilvl w:val="0"/>
          <w:numId w:val="2"/>
        </w:numPr>
        <w:spacing w:after="80"/>
      </w:pPr>
      <w:r>
        <w:t xml:space="preserve">City, State — higher-cardinality geography (531 and 49 values)</w:t>
      </w:r>
    </w:p>
    <w:p>
      <w:pPr>
        <w:pStyle w:val="ListParagraph"/>
        <w:numPr>
          <w:ilvl w:val="0"/>
          <w:numId w:val="2"/>
        </w:numPr>
        <w:spacing w:after="80"/>
      </w:pPr>
      <w:r>
        <w:t xml:space="preserve">Customer Name, Product Name — high-cardinality entity labels</w:t>
      </w:r>
    </w:p>
    <w:p>
      <w:pPr>
        <w:spacing w:after="40" w:before="120"/>
      </w:pPr>
      <w:r>
        <w:rPr>
          <w:b/>
          <w:bCs/>
          <w:color w:val="2E5C99"/>
        </w:rPr>
        <w:t xml:space="preserve">Date columns (1):</w:t>
      </w:r>
    </w:p>
    <w:p>
      <w:pPr>
        <w:pStyle w:val="ListParagraph"/>
        <w:numPr>
          <w:ilvl w:val="0"/>
          <w:numId w:val="2"/>
        </w:numPr>
        <w:spacing w:after="80"/>
      </w:pPr>
      <w:r>
        <w:t xml:space="preserve">Order Date — the only date field in this extract. (The public Superstore dataset normally also has a Ship Date column; this extract does not include one.)</w:t>
      </w:r>
    </w:p>
    <w:p>
      <w:pPr>
        <w:spacing w:after="40" w:before="120"/>
      </w:pPr>
      <w:r>
        <w:rPr>
          <w:b/>
          <w:bCs/>
          <w:color w:val="2E5C99"/>
        </w:rPr>
        <w:t xml:space="preserve">Identifier columns (4, not used in calculations):</w:t>
      </w:r>
    </w:p>
    <w:p>
      <w:pPr>
        <w:pStyle w:val="ListParagraph"/>
        <w:numPr>
          <w:ilvl w:val="0"/>
          <w:numId w:val="2"/>
        </w:numPr>
        <w:spacing w:after="80"/>
      </w:pPr>
      <w:r>
        <w:t xml:space="preserve">Row ID, Order ID, Customer ID, Product ID — keys used for joining/counting distinct entities, never summed or averaged</w:t>
      </w:r>
    </w:p>
    <w:p>
      <w:pPr>
        <w:pStyle w:val="Heading2"/>
      </w:pPr>
      <w:r>
        <w:t xml:space="preserve">1.4 Business Use Cases This Dataset Supports</w:t>
      </w:r>
    </w:p>
    <w:p>
      <w:pPr>
        <w:spacing w:after="160"/>
      </w:pPr>
      <w:r>
        <w:t xml:space="preserve">Given the columns actually present, this dataset can realistically answer:</w:t>
      </w:r>
    </w:p>
    <w:p>
      <w:pPr>
        <w:pStyle w:val="ListParagraph"/>
        <w:numPr>
          <w:ilvl w:val="0"/>
          <w:numId w:val="3"/>
        </w:numPr>
        <w:spacing w:after="80"/>
      </w:pPr>
      <w:r>
        <w:t xml:space="preserve">Revenue &amp; profitability analysis — which categories, sub-categories, products, regions, and customer segments generate the most sales and profit.</w:t>
      </w:r>
    </w:p>
    <w:p>
      <w:pPr>
        <w:pStyle w:val="ListParagraph"/>
        <w:numPr>
          <w:ilvl w:val="0"/>
          <w:numId w:val="3"/>
        </w:numPr>
        <w:spacing w:after="80"/>
      </w:pPr>
      <w:r>
        <w:t xml:space="preserve">Discounting strategy review — whether discount levels are eroding margin (this dataset shows clear evidence of this — see Phase 6).</w:t>
      </w:r>
    </w:p>
    <w:p>
      <w:pPr>
        <w:pStyle w:val="ListParagraph"/>
        <w:numPr>
          <w:ilvl w:val="0"/>
          <w:numId w:val="3"/>
        </w:numPr>
        <w:spacing w:after="80"/>
      </w:pPr>
      <w:r>
        <w:t xml:space="preserve">Customer value analysis — identifying top customers and concentration risk (Pareto analysis).</w:t>
      </w:r>
    </w:p>
    <w:p>
      <w:pPr>
        <w:pStyle w:val="ListParagraph"/>
        <w:numPr>
          <w:ilvl w:val="0"/>
          <w:numId w:val="3"/>
        </w:numPr>
        <w:spacing w:after="80"/>
      </w:pPr>
      <w:r>
        <w:t xml:space="preserve">Regional performance comparison — where the business is strongest and weakest geographically.</w:t>
      </w:r>
    </w:p>
    <w:p>
      <w:pPr>
        <w:pStyle w:val="ListParagraph"/>
        <w:numPr>
          <w:ilvl w:val="0"/>
          <w:numId w:val="3"/>
        </w:numPr>
        <w:spacing w:after="80"/>
      </w:pPr>
      <w:r>
        <w:t xml:space="preserve">Product portfolio management — which sub-categories/products to promote, bundle, or reconsider.</w:t>
      </w:r>
    </w:p>
    <w:p>
      <w:pPr>
        <w:pStyle w:val="ListParagraph"/>
        <w:numPr>
          <w:ilvl w:val="0"/>
          <w:numId w:val="3"/>
        </w:numPr>
        <w:spacing w:after="80"/>
      </w:pPr>
      <w:r>
        <w:t xml:space="preserve">Seasonality and trend analysis — monthly/yearly demand patterns to inform inventory and staffing (with an important caveat — see Phase 2 and Phase 6).</w:t>
      </w:r>
    </w:p>
    <w:p>
      <w:pPr>
        <w:pStyle w:val="Heading2"/>
      </w:pPr>
      <w:r>
        <w:t xml:space="preserve">1.5 The Core Business Problem</w:t>
      </w:r>
    </w:p>
    <w:p>
      <w:pPr>
        <w:spacing w:after="160"/>
      </w:pPr>
      <w:r>
        <w:t xml:space="preserve">Strip away the dashboard buzzwords and the real question this data exists to answer is: “Where is this retail business making money, where is it leaking margin through discounting, and which customers/products/regions deserve more or less investment?” Every phase that follows builds toward answering that question with evidence, not guesswork.</w:t>
      </w:r>
    </w:p>
    <w:p>
      <w:pPr>
        <w:pStyle w:val="Heading3"/>
      </w:pPr>
      <w:r>
        <w:t xml:space="preserve">Analyst Mindset</w:t>
      </w:r>
    </w:p>
    <w:p>
      <w:pPr>
        <w:spacing w:after="160"/>
      </w:pPr>
      <w:r>
        <w:t xml:space="preserve">A junior analyst opens a file and starts charting. A senior analyst opens a file and asks: 'What is each column supposed to represent, and does the data actually behave that way?' That second question is what Phase 2 is built around — and it is where this specific file gets interesting.</w:t>
      </w:r>
    </w:p>
    <w:p>
      <w:pPr>
        <w:pStyle w:val="Heading3"/>
      </w:pPr>
      <w:r>
        <w:t xml:space="preserve">Interview Relevance</w:t>
      </w:r>
    </w:p>
    <w:p>
      <w:pPr>
        <w:spacing w:after="160"/>
      </w:pPr>
      <w:r>
        <w:t xml:space="preserve">'Walk me through how you'd approach a new dataset' is one of the most common analyst interview questions. The answer interviewers want to hear is exactly this structure: understand the grain of the data (one row = one what?), classify columns by type, then form hypotheses about what business questions the data can and cannot answer — before writing a single formula.</w:t>
      </w:r>
    </w:p>
    <w:p>
      <w:pPr>
        <w:pStyle w:val="Heading1"/>
        <w:pageBreakBefore/>
      </w:pPr>
      <w:r>
        <w:t xml:space="preserve">PHASE 2 - COMPLETE DATA AUDIT</w:t>
      </w:r>
    </w:p>
    <w:p>
      <w:pPr>
        <w:spacing w:after="160"/>
      </w:pPr>
      <w:r>
        <w:t xml:space="preserve">This is the phase most tutorials skip or fake. Every finding below was verified directly against the uploaded file using row-level checks — not assumed from knowing the public 'Superstore' dataset by reputation. Several findings are specific to YOUR copy of this file and would not appear if you searched for a generic Superstore walkthrough.</w:t>
      </w:r>
    </w:p>
    <w:p>
      <w:pPr>
        <w:pStyle w:val="Heading2"/>
      </w:pPr>
      <w:r>
        <w:t xml:space="preserve">2.1 Audit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00"/>
        <w:gridCol w:w="2500"/>
        <w:gridCol w:w="1560"/>
      </w:tblGrid>
      <w:tr>
        <w:trPr>
          <w:tblHeader/>
        </w:trPr>
        <w:tc>
          <w:tcPr>
            <w:tcW w:type="dxa" w:w="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w:t>
            </w:r>
          </w:p>
        </w:tc>
        <w:tc>
          <w:tcPr>
            <w:tcW w:type="dxa" w:w="4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Issue</w:t>
            </w:r>
          </w:p>
        </w:tc>
        <w:tc>
          <w:tcPr>
            <w:tcW w:type="dxa" w:w="2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Rows Affected</w:t>
            </w:r>
          </w:p>
        </w:tc>
        <w:tc>
          <w:tcPr>
            <w:tcW w:type="dxa" w:w="15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Severity</w:t>
            </w:r>
          </w:p>
        </w:tc>
      </w:tr>
      <w:tr>
        <w:tc>
          <w:tcPr>
            <w:tcW w:type="dxa" w:w="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1</w:t>
            </w:r>
          </w:p>
        </w:tc>
        <w:tc>
          <w:tcPr>
            <w:tcW w:type="dxa" w:w="4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Sales &amp; Profit stored as text, not numbers</w:t>
            </w:r>
          </w:p>
        </w:tc>
        <w:tc>
          <w:tcPr>
            <w:tcW w:type="dxa" w:w="2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9,994 (100%)</w:t>
            </w:r>
          </w:p>
        </w:tc>
        <w:tc>
          <w:tcPr>
            <w:tcW w:type="dxa" w:w="1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CRITICAL</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2</w:t>
            </w:r>
          </w:p>
        </w:tc>
        <w:tc>
          <w:tcPr>
            <w:tcW w:type="dxa" w:w="4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Order Date corrupted to a single fixed string</w:t>
            </w:r>
          </w:p>
        </w:tc>
        <w:tc>
          <w:tcPr>
            <w:tcW w:type="dxa" w:w="2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5,952 (59.6%)</w:t>
            </w:r>
          </w:p>
        </w:tc>
        <w:tc>
          <w:tcPr>
            <w:tcW w:type="dxa" w:w="1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CRITICAL</w:t>
            </w:r>
          </w:p>
        </w:tc>
      </w:tr>
      <w:tr>
        <w:tc>
          <w:tcPr>
            <w:tcW w:type="dxa" w:w="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3</w:t>
            </w:r>
          </w:p>
        </w:tc>
        <w:tc>
          <w:tcPr>
            <w:tcW w:type="dxa" w:w="4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Profit exceeds Sales (impossible margin)</w:t>
            </w:r>
          </w:p>
        </w:tc>
        <w:tc>
          <w:tcPr>
            <w:tcW w:type="dxa" w:w="2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349 (3.5%)</w:t>
            </w:r>
          </w:p>
        </w:tc>
        <w:tc>
          <w:tcPr>
            <w:tcW w:type="dxa" w:w="1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HIGH</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4</w:t>
            </w:r>
          </w:p>
        </w:tc>
        <w:tc>
          <w:tcPr>
            <w:tcW w:type="dxa" w:w="4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Zero loss-making transactions in entire dataset</w:t>
            </w:r>
          </w:p>
        </w:tc>
        <w:tc>
          <w:tcPr>
            <w:tcW w:type="dxa" w:w="2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0 (0%) — itself the finding</w:t>
            </w:r>
          </w:p>
        </w:tc>
        <w:tc>
          <w:tcPr>
            <w:tcW w:type="dxa" w:w="1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MEDIUM</w:t>
            </w:r>
          </w:p>
        </w:tc>
      </w:tr>
      <w:tr>
        <w:tc>
          <w:tcPr>
            <w:tcW w:type="dxa" w:w="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5</w:t>
            </w:r>
          </w:p>
        </w:tc>
        <w:tc>
          <w:tcPr>
            <w:tcW w:type="dxa" w:w="4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Postal Code lost leading zeros</w:t>
            </w:r>
          </w:p>
        </w:tc>
        <w:tc>
          <w:tcPr>
            <w:tcW w:type="dxa" w:w="2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449 (4.5%)</w:t>
            </w:r>
          </w:p>
        </w:tc>
        <w:tc>
          <w:tcPr>
            <w:tcW w:type="dxa" w:w="1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MEDIUM</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6</w:t>
            </w:r>
          </w:p>
        </w:tc>
        <w:tc>
          <w:tcPr>
            <w:tcW w:type="dxa" w:w="4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Product ID maps to 2 different Product Names</w:t>
            </w:r>
          </w:p>
        </w:tc>
        <w:tc>
          <w:tcPr>
            <w:tcW w:type="dxa" w:w="2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32 IDs</w:t>
            </w:r>
          </w:p>
        </w:tc>
        <w:tc>
          <w:tcPr>
            <w:tcW w:type="dxa" w:w="1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LOW</w:t>
            </w:r>
          </w:p>
        </w:tc>
      </w:tr>
      <w:tr>
        <w:tc>
          <w:tcPr>
            <w:tcW w:type="dxa" w:w="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7</w:t>
            </w:r>
          </w:p>
        </w:tc>
        <w:tc>
          <w:tcPr>
            <w:tcW w:type="dxa" w:w="4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Duplicate rows</w:t>
            </w:r>
          </w:p>
        </w:tc>
        <w:tc>
          <w:tcPr>
            <w:tcW w:type="dxa" w:w="2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0</w:t>
            </w:r>
          </w:p>
        </w:tc>
        <w:tc>
          <w:tcPr>
            <w:tcW w:type="dxa" w:w="1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NONE</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8</w:t>
            </w:r>
          </w:p>
        </w:tc>
        <w:tc>
          <w:tcPr>
            <w:tcW w:type="dxa" w:w="4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Missing/blank values</w:t>
            </w:r>
          </w:p>
        </w:tc>
        <w:tc>
          <w:tcPr>
            <w:tcW w:type="dxa" w:w="2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0</w:t>
            </w:r>
          </w:p>
        </w:tc>
        <w:tc>
          <w:tcPr>
            <w:tcW w:type="dxa" w:w="1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NONE</w:t>
            </w:r>
          </w:p>
        </w:tc>
      </w:tr>
      <w:tr>
        <w:tc>
          <w:tcPr>
            <w:tcW w:type="dxa" w:w="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9</w:t>
            </w:r>
          </w:p>
        </w:tc>
        <w:tc>
          <w:tcPr>
            <w:tcW w:type="dxa" w:w="4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Inconsistent category text/casing</w:t>
            </w:r>
          </w:p>
        </w:tc>
        <w:tc>
          <w:tcPr>
            <w:tcW w:type="dxa" w:w="2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0</w:t>
            </w:r>
          </w:p>
        </w:tc>
        <w:tc>
          <w:tcPr>
            <w:tcW w:type="dxa" w:w="1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NONE</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10</w:t>
            </w:r>
          </w:p>
        </w:tc>
        <w:tc>
          <w:tcPr>
            <w:tcW w:type="dxa" w:w="4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Statistical outliers in Sales/Profit</w:t>
            </w:r>
          </w:p>
        </w:tc>
        <w:tc>
          <w:tcPr>
            <w:tcW w:type="dxa" w:w="2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1,167 (11.7%)</w:t>
            </w:r>
          </w:p>
        </w:tc>
        <w:tc>
          <w:tcPr>
            <w:tcW w:type="dxa" w:w="1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LOW (legitimate)</w:t>
            </w:r>
          </w:p>
        </w:tc>
      </w:tr>
    </w:tbl>
    <w:p>
      <w:pPr>
        <w:spacing w:after="120"/>
      </w:pPr>
    </w:p>
    <w:p>
      <w:pPr>
        <w:pStyle w:val="Heading2"/>
      </w:pPr>
      <w:r>
        <w:t xml:space="preserve">2.2 Finding #1: Sales and Profit Are Text, Not Numbers</w:t>
      </w:r>
    </w:p>
    <w:p>
      <w:pPr>
        <w:spacing w:after="40" w:before="120"/>
      </w:pPr>
      <w:r>
        <w:rPr>
          <w:b/>
          <w:bCs/>
          <w:color w:val="2E5C99"/>
        </w:rPr>
        <w:t xml:space="preserve">What</w:t>
      </w:r>
    </w:p>
    <w:p>
      <w:pPr>
        <w:spacing w:after="160"/>
      </w:pPr>
      <w:r>
        <w:t xml:space="preserve">Open the raw file and click on any cell in the Sales or Profit column. It looks like a normal currency value, e.g. $468.90. But its Excel format is 'General' and its actual stored type is TEXT (a string that happens to start with a dollar sign), not a Number. Confirmed via Python: every single value in both columns is a str type, and the cell's number_format in the underlying XML is 'General', not a currency format.</w:t>
      </w:r>
    </w:p>
    <w:p>
      <w:pPr>
        <w:spacing w:after="40" w:before="120"/>
      </w:pPr>
      <w:r>
        <w:rPr>
          <w:b/>
          <w:bCs/>
          <w:color w:val="2E5C99"/>
        </w:rPr>
        <w:t xml:space="preserve">Why this matters</w:t>
      </w:r>
    </w:p>
    <w:p>
      <w:pPr>
        <w:spacing w:after="160"/>
      </w:pPr>
      <w:r>
        <w:t xml:space="preserve">=SUM(), =AVERAGE(), and any other aggregation formula either return 0, return a #VALUE! error, or silently ignore the text depending on the Excel function. If you built a SUM formula on this column without fixing it first, your 'Total Sales' KPI would be wrong — and worse, it might show a plausible-looking number if you used a formula that coerces text, masking the bug entirely.</w:t>
      </w:r>
    </w:p>
    <w:p>
      <w:pPr>
        <w:spacing w:after="40" w:before="120"/>
      </w:pPr>
      <w:r>
        <w:rPr>
          <w:b/>
          <w:bCs/>
          <w:color w:val="2E5C99"/>
        </w:rPr>
        <w:t xml:space="preserve">How to fix it in Excel</w:t>
      </w:r>
    </w:p>
    <w:p>
      <w:pPr>
        <w:pStyle w:val="ListParagraph"/>
        <w:numPr>
          <w:ilvl w:val="0"/>
          <w:numId w:val="2"/>
        </w:numPr>
        <w:spacing w:after="80"/>
      </w:pPr>
      <w:r>
        <w:t xml:space="preserve">Select the Sales column → Data tab → Text to Columns → Finish (this often forces Excel to re-evaluate the cell type)</w:t>
      </w:r>
    </w:p>
    <w:p>
      <w:pPr>
        <w:pStyle w:val="ListParagraph"/>
        <w:numPr>
          <w:ilvl w:val="0"/>
          <w:numId w:val="2"/>
        </w:numPr>
        <w:spacing w:after="80"/>
      </w:pPr>
      <w:r>
        <w:t xml:space="preserve">More reliably: insert a helper column with =VALUE(SUBSTITUTE(B2,"$","")) then paste the results back as values</w:t>
      </w:r>
    </w:p>
    <w:p>
      <w:pPr>
        <w:pStyle w:val="ListParagraph"/>
        <w:numPr>
          <w:ilvl w:val="0"/>
          <w:numId w:val="2"/>
        </w:numPr>
        <w:spacing w:after="80"/>
      </w:pPr>
      <w:r>
        <w:t xml:space="preserve">Best practice for repeatability: do this in Power Query — right-click the column → Change Type → Decimal Number. Power Query will strip the $ and convert it correctly, and the step is saved in the query so it re-runs automatically if the source file is refreshed</w:t>
      </w:r>
    </w:p>
    <w:p>
      <w:pPr>
        <w:spacing w:after="160"/>
      </w:pPr>
      <w:r>
        <w:t xml:space="preserve">In the cleaned workbook delivered with this project, both columns are converted to true Number type and formatted as currency ($#,##0.00). Every KPI formula in the dashboard references these numeric columns directly.</w:t>
      </w:r>
    </w:p>
    <w:p>
      <w:pPr>
        <w:pStyle w:val="Heading2"/>
      </w:pPr>
      <w:r>
        <w:t xml:space="preserve">2.3 Finding #2: 59.6% of Order Dates Are Corrupted (the most important finding in this audit)</w:t>
      </w:r>
    </w:p>
    <w:p>
      <w:pPr>
        <w:spacing w:after="40" w:before="120"/>
      </w:pPr>
      <w:r>
        <w:rPr>
          <w:b/>
          <w:bCs/>
          <w:color w:val="2E5C99"/>
        </w:rPr>
        <w:t xml:space="preserve">What</w:t>
      </w:r>
    </w:p>
    <w:p>
      <w:pPr>
        <w:spacing w:after="160"/>
      </w:pPr>
      <w:r>
        <w:t xml:space="preserve">5,952 of the 9,994 rows — nearly 6 in 10 — do not contain a real date in the Order Date column. They contain the literal text string "13-1-2014" repeated identically across all 5,952 rows. The remaining 4,042 rows (40.4%) contain genuine Excel datetime values spanning January 2014 through December 2017.</w:t>
      </w:r>
    </w:p>
    <w:p>
      <w:pPr>
        <w:spacing w:after="40" w:before="120"/>
      </w:pPr>
      <w:r>
        <w:rPr>
          <w:b/>
          <w:bCs/>
          <w:color w:val="2E5C99"/>
        </w:rPr>
        <w:t xml:space="preserve">How this was confirmed (not assumed)</w:t>
      </w:r>
    </w:p>
    <w:p>
      <w:pPr>
        <w:spacing w:after="160"/>
      </w:pPr>
      <w:r>
        <w:t xml:space="preserve">Order ID encodes the order year in its format (e.g. CA-2014-140795, US-2016-105417). Cross-referencing the year embedded in Order ID against the corrupted rows shows those 5,952 rows are NOT all from January 2014 — they are spread across 2014 (1,186 orders), 2015 (1,276), 2016 (1,493), and 2017 (1,997). This proves the dates were genuinely lost/overwritten, not that those orders all really happened on the same day. If it had been a real data pattern, the corrupted rows would all trace back to 2014 orders only — they don't.</w:t>
      </w:r>
    </w:p>
    <w:p>
      <w:pPr>
        <w:spacing w:after="40" w:before="120"/>
      </w:pPr>
      <w:r>
        <w:rPr>
          <w:b/>
          <w:bCs/>
          <w:color w:val="2E5C99"/>
        </w:rPr>
        <w:t xml:space="preserve">Why this matters — a lot</w:t>
      </w:r>
    </w:p>
    <w:p>
      <w:pPr>
        <w:spacing w:after="160"/>
      </w:pPr>
      <w:r>
        <w:t xml:space="preserve">Any month-over-month, year-over-year, or seasonality analysis built naively on this column will be catastrophically wrong. As one concrete example: if you sum Sales by month using the raw Order Date column, January 2014 will show roughly $1.43 million in sales — 17 times larger than the next biggest month — purely because 59.6% of all rows in the entire 4-year dataset got bucketed into that one fake date. A dashboard built on this without catching the issue would tell a senior manager that the business cratered after January 2014, which is false and would lead to genuinely bad decisions.</w:t>
      </w:r>
    </w:p>
    <w:p>
      <w:pPr>
        <w:spacing w:after="40" w:before="120"/>
      </w:pPr>
      <w:r>
        <w:rPr>
          <w:b/>
          <w:bCs/>
          <w:color w:val="2E5C99"/>
        </w:rPr>
        <w:t xml:space="preserve">How this was handled in this project</w:t>
      </w:r>
    </w:p>
    <w:p>
      <w:pPr>
        <w:pStyle w:val="ListParagraph"/>
        <w:numPr>
          <w:ilvl w:val="0"/>
          <w:numId w:val="2"/>
        </w:numPr>
        <w:spacing w:after="80"/>
      </w:pPr>
      <w:r>
        <w:t xml:space="preserve">Every row is flagged with a Date_Reconstructed_Flag (YES/NO) in the cleaned dataset so anyone using the file downstream knows which rows to trust for time-based analysis</w:t>
      </w:r>
    </w:p>
    <w:p>
      <w:pPr>
        <w:pStyle w:val="ListParagraph"/>
        <w:numPr>
          <w:ilvl w:val="0"/>
          <w:numId w:val="2"/>
        </w:numPr>
        <w:spacing w:after="80"/>
      </w:pPr>
      <w:r>
        <w:t xml:space="preserve">All Phase 6 time-series analysis in this project is built ONLY on the 4,042 reliable rows, clearly labeled as such, rather than silently including the corrupted 59.6%</w:t>
      </w:r>
    </w:p>
    <w:p>
      <w:pPr>
        <w:pStyle w:val="ListParagraph"/>
        <w:numPr>
          <w:ilvl w:val="0"/>
          <w:numId w:val="2"/>
        </w:numPr>
        <w:spacing w:after="80"/>
      </w:pPr>
      <w:r>
        <w:t xml:space="preserve">Recommended real-world fix: go back to the source system (the POS/ERP/CRM this export came from) and re-pull Order Date for the affected Order IDs — cleaning cannot recover information that was never actually captured in this file</w:t>
      </w:r>
    </w:p>
    <w:p>
      <w:pPr>
        <w:spacing w:after="200" w:before="100"/>
      </w:pPr>
      <w:r>
        <w:rPr>
          <w:i/>
          <w:iCs/>
          <w:color w:val="C0392B"/>
          <w:sz w:val="20"/>
          <w:szCs w:val="20"/>
        </w:rPr>
        <w:t xml:space="preserve">This is the single most consequential issue in the entire dataset. Every later phase explicitly works around it rather than ignoring it.</w:t>
      </w:r>
    </w:p>
    <w:p>
      <w:pPr>
        <w:pStyle w:val="Heading2"/>
      </w:pPr>
      <w:r>
        <w:t xml:space="preserve">2.4 Finding #3: 349 Rows Have Profit Greater Than Sales</w:t>
      </w:r>
    </w:p>
    <w:p>
      <w:pPr>
        <w:spacing w:after="40" w:before="120"/>
      </w:pPr>
      <w:r>
        <w:rPr>
          <w:b/>
          <w:bCs/>
          <w:color w:val="2E5C99"/>
        </w:rPr>
        <w:t xml:space="preserve">What</w:t>
      </w:r>
    </w:p>
    <w:p>
      <w:pPr>
        <w:spacing w:after="160"/>
      </w:pPr>
      <w:r>
        <w:t xml:space="preserve">In 349 rows (3.5% of the dataset), the Profit value is mathematically larger than the Sales value — i.e. a profit margin above 100%. For example, one row shows Sales of $3.65 and Profit of $6.02 (a 165% margin). This is not possible in real unit economics: you cannot profit more money than the item sold for.</w:t>
      </w:r>
    </w:p>
    <w:p>
      <w:pPr>
        <w:spacing w:after="40" w:before="120"/>
      </w:pPr>
      <w:r>
        <w:rPr>
          <w:b/>
          <w:bCs/>
          <w:color w:val="2E5C99"/>
        </w:rPr>
        <w:t xml:space="preserve">Why it happens (the pattern, not a guess)</w:t>
      </w:r>
    </w:p>
    <w:p>
      <w:pPr>
        <w:spacing w:after="160"/>
      </w:pPr>
      <w:r>
        <w:t xml:space="preserve">Every one of the 349 affected rows carries an 80% or 70% discount — the two highest discount tiers in the dataset. This strongly suggests the Profit field was not recalculated after the Discount field was altered (likely during the file's creation/sampling process), so Profit reflects a pre-discount or differently-discounted state while Sales reflects the post-discount price.</w:t>
      </w:r>
    </w:p>
    <w:p>
      <w:pPr>
        <w:spacing w:after="40" w:before="120"/>
      </w:pPr>
      <w:r>
        <w:rPr>
          <w:b/>
          <w:bCs/>
          <w:color w:val="2E5C99"/>
        </w:rPr>
        <w:t xml:space="preserve">Why this matters</w:t>
      </w:r>
    </w:p>
    <w:p>
      <w:pPr>
        <w:spacing w:after="160"/>
      </w:pPr>
      <w:r>
        <w:t xml:space="preserve">If you calculate 'Profit Margin by Discount Band' without catching this, the 70-80% discount band will appear to be your MOST profitable segment — which would lead a real business to discount even more aggressively, the opposite of the correct decision.</w:t>
      </w:r>
    </w:p>
    <w:p>
      <w:pPr>
        <w:spacing w:after="40" w:before="120"/>
      </w:pPr>
      <w:r>
        <w:rPr>
          <w:b/>
          <w:bCs/>
          <w:color w:val="2E5C99"/>
        </w:rPr>
        <w:t xml:space="preserve">How it was handled</w:t>
      </w:r>
    </w:p>
    <w:p>
      <w:pPr>
        <w:pStyle w:val="ListParagraph"/>
        <w:numPr>
          <w:ilvl w:val="0"/>
          <w:numId w:val="2"/>
        </w:numPr>
        <w:spacing w:after="80"/>
      </w:pPr>
      <w:r>
        <w:t xml:space="preserve">Flagged, not deleted or silently corrected — deleting 3.5% of rows without authorization to do so would distort totals; silently 'fixing' Profit would be fabricating data</w:t>
      </w:r>
    </w:p>
    <w:p>
      <w:pPr>
        <w:pStyle w:val="ListParagraph"/>
        <w:numPr>
          <w:ilvl w:val="0"/>
          <w:numId w:val="2"/>
        </w:numPr>
        <w:spacing w:after="80"/>
      </w:pPr>
      <w:r>
        <w:t xml:space="preserve">In Phase 6, discount-band profitability analysis explicitly calls out this anomaly rather than reporting the inflated margin at face value</w:t>
      </w:r>
    </w:p>
    <w:p>
      <w:pPr>
        <w:pStyle w:val="Heading2"/>
      </w:pPr>
      <w:r>
        <w:t xml:space="preserve">2.5 Finding #4: Zero Loss-Making Transactions</w:t>
      </w:r>
    </w:p>
    <w:p>
      <w:pPr>
        <w:spacing w:after="40" w:before="120"/>
      </w:pPr>
      <w:r>
        <w:rPr>
          <w:b/>
          <w:bCs/>
          <w:color w:val="2E5C99"/>
        </w:rPr>
        <w:t xml:space="preserve">What</w:t>
      </w:r>
    </w:p>
    <w:p>
      <w:pPr>
        <w:spacing w:after="160"/>
      </w:pPr>
      <w:r>
        <w:t xml:space="preserve">Across all 9,994 rows, not a single one shows a negative Profit. The minimum Profit value in the entire dataset is $0.00 (65 rows break even exactly), and every other row is profitable.</w:t>
      </w:r>
    </w:p>
    <w:p>
      <w:pPr>
        <w:spacing w:after="40" w:before="120"/>
      </w:pPr>
      <w:r>
        <w:rPr>
          <w:b/>
          <w:bCs/>
          <w:color w:val="2E5C99"/>
        </w:rPr>
        <w:t xml:space="preserve">Why this matters</w:t>
      </w:r>
    </w:p>
    <w:p>
      <w:pPr>
        <w:spacing w:after="160"/>
      </w:pPr>
      <w:r>
        <w:t xml:space="preserve">This is worth flagging because the publicly known 'Superstore' sample dataset that many tutorials use normally contains roughly 1,800+ loss-making transactions, concentrated in deep-discount Furniture and Office Supplies orders — it's actually one of the most commonly taught patterns in BI courses ('find the loss-making sub-categories'). This specific extract does not have that pattern. If your earlier (lost) Phase 1-10 project included a 'loss analysis' section built from that general knowledge rather than this exact file, this is the proof of why that approach would be wrong here. This project's Phase 6/7 will correctly report 'no losses present' instead of inventing a loss-making segment that doesn't exist in this data.</w:t>
      </w:r>
    </w:p>
    <w:p>
      <w:pPr>
        <w:pStyle w:val="Heading2"/>
      </w:pPr>
      <w:r>
        <w:t xml:space="preserve">2.6 Finding #5: Postal Codes Lost Their Leading Zero</w:t>
      </w:r>
    </w:p>
    <w:p>
      <w:pPr>
        <w:spacing w:after="40" w:before="120"/>
      </w:pPr>
      <w:r>
        <w:rPr>
          <w:b/>
          <w:bCs/>
          <w:color w:val="2E5C99"/>
        </w:rPr>
        <w:t xml:space="preserve">What</w:t>
      </w:r>
    </w:p>
    <w:p>
      <w:pPr>
        <w:spacing w:after="160"/>
      </w:pPr>
      <w:r>
        <w:t xml:space="preserve">449 rows (4.5%) have a Postal Code stored as a Number that should start with a 0 — e.g. Revere, Massachusetts should be ZIP 02151 but is stored as the number 2151. This affects every Northeast state ZIP code in the dataset (Massachusetts, New Jersey, Connecticut, Maine, etc.), since all US ZIPs in that region start with 0.</w:t>
      </w:r>
    </w:p>
    <w:p>
      <w:pPr>
        <w:spacing w:after="40" w:before="120"/>
      </w:pPr>
      <w:r>
        <w:rPr>
          <w:b/>
          <w:bCs/>
          <w:color w:val="2E5C99"/>
        </w:rPr>
        <w:t xml:space="preserve">Why this matters</w:t>
      </w:r>
    </w:p>
    <w:p>
      <w:pPr>
        <w:spacing w:after="160"/>
      </w:pPr>
      <w:r>
        <w:t xml:space="preserve">If this data is ever joined to an external ZIP-code lookup table (for mapping, demographics, or shipping-zone analysis), every Northeast row will fail to match because '2151' ≠ '02151' as text. It looks like a minor cosmetic issue but it silently breaks any geographic join.</w:t>
      </w:r>
    </w:p>
    <w:p>
      <w:pPr>
        <w:spacing w:after="40" w:before="120"/>
      </w:pPr>
      <w:r>
        <w:rPr>
          <w:b/>
          <w:bCs/>
          <w:color w:val="2E5C99"/>
        </w:rPr>
        <w:t xml:space="preserve">How to fix it in Excel</w:t>
      </w:r>
    </w:p>
    <w:p>
      <w:pPr>
        <w:pStyle w:val="ListParagraph"/>
        <w:numPr>
          <w:ilvl w:val="0"/>
          <w:numId w:val="2"/>
        </w:numPr>
        <w:spacing w:after="80"/>
      </w:pPr>
      <w:r>
        <w:t xml:space="preserve">Convert the column to Text first (Format Cells → Text), otherwise re-typing a leading zero gets stripped again</w:t>
      </w:r>
    </w:p>
    <w:p>
      <w:pPr>
        <w:pStyle w:val="ListParagraph"/>
        <w:numPr>
          <w:ilvl w:val="0"/>
          <w:numId w:val="2"/>
        </w:numPr>
        <w:spacing w:after="80"/>
      </w:pPr>
      <w:r>
        <w:t xml:space="preserve">Formula approach: =TEXT(K2,"00000") forces a 5-digit, zero-padded text string regardless of the original value</w:t>
      </w:r>
    </w:p>
    <w:p>
      <w:pPr>
        <w:pStyle w:val="ListParagraph"/>
        <w:numPr>
          <w:ilvl w:val="0"/>
          <w:numId w:val="2"/>
        </w:numPr>
        <w:spacing w:after="80"/>
      </w:pPr>
      <w:r>
        <w:t xml:space="preserve">In Power Query: Change Type → Text, then use Text.PadStart([Postal Code], 5, "0")</w:t>
      </w:r>
    </w:p>
    <w:p>
      <w:pPr>
        <w:pStyle w:val="Heading2"/>
      </w:pPr>
      <w:r>
        <w:t xml:space="preserve">2.7 Finding #6: 32 Product IDs Map to Two Different Product Names</w:t>
      </w:r>
    </w:p>
    <w:p>
      <w:pPr>
        <w:spacing w:after="40" w:before="120"/>
      </w:pPr>
      <w:r>
        <w:rPr>
          <w:b/>
          <w:bCs/>
          <w:color w:val="2E5C99"/>
        </w:rPr>
        <w:t xml:space="preserve">What</w:t>
      </w:r>
    </w:p>
    <w:p>
      <w:pPr>
        <w:spacing w:after="160"/>
      </w:pPr>
      <w:r>
        <w:t xml:space="preserve">Product ID is supposed to be a unique product key, but 32 distinct Product IDs each appear with two different Product Name values. Example: FUR-BO-10002213 appears once as 'Sauder Forest Hills Library, Woodland Oak Finish' and once as 'DMI Eclipse Executive Suite Bookcases' — two clearly different physical products sharing one ID.</w:t>
      </w:r>
    </w:p>
    <w:p>
      <w:pPr>
        <w:spacing w:after="40" w:before="120"/>
      </w:pPr>
      <w:r>
        <w:rPr>
          <w:b/>
          <w:bCs/>
          <w:color w:val="2E5C99"/>
        </w:rPr>
        <w:t xml:space="preserve">Why this matters</w:t>
      </w:r>
    </w:p>
    <w:p>
      <w:pPr>
        <w:spacing w:after="160"/>
      </w:pPr>
      <w:r>
        <w:t xml:space="preserve">Any product-level analysis that groups by Product ID (rather than Product Name) will silently merge two different products' sales together under one label. This affects 32 of 1,862 product IDs (1.7%) — small, but worth knowing before you trust a 'best-selling product' ranking built on the ID rather than the name.</w:t>
      </w:r>
    </w:p>
    <w:p>
      <w:pPr>
        <w:spacing w:after="40" w:before="120"/>
      </w:pPr>
      <w:r>
        <w:rPr>
          <w:b/>
          <w:bCs/>
          <w:color w:val="2E5C99"/>
        </w:rPr>
        <w:t xml:space="preserve">How it was handled</w:t>
      </w:r>
    </w:p>
    <w:p>
      <w:pPr>
        <w:spacing w:after="160"/>
      </w:pPr>
      <w:r>
        <w:t xml:space="preserve">All product-level analysis in this project (Phase 6) groups by Product Name, which has a cleaner 1,850-value structure, and this caveat is documented rather than hidden.</w:t>
      </w:r>
    </w:p>
    <w:p>
      <w:pPr>
        <w:pStyle w:val="Heading2"/>
      </w:pPr>
      <w:r>
        <w:t xml:space="preserve">2.8 Finding #7-9: The Clean Parts of This Dataset</w:t>
      </w:r>
    </w:p>
    <w:p>
      <w:pPr>
        <w:spacing w:after="160"/>
      </w:pPr>
      <w:r>
        <w:t xml:space="preserve">Not everything is broken — a fair audit reports the good news too:</w:t>
      </w:r>
    </w:p>
    <w:p>
      <w:pPr>
        <w:pStyle w:val="ListParagraph"/>
        <w:numPr>
          <w:ilvl w:val="0"/>
          <w:numId w:val="2"/>
        </w:numPr>
        <w:spacing w:after="80"/>
      </w:pPr>
      <w:r>
        <w:t xml:space="preserve">No duplicate rows: checked both full-row duplication and duplicate Row ID (the primary key). Zero found.</w:t>
      </w:r>
    </w:p>
    <w:p>
      <w:pPr>
        <w:pStyle w:val="ListParagraph"/>
        <w:numPr>
          <w:ilvl w:val="0"/>
          <w:numId w:val="2"/>
        </w:numPr>
        <w:spacing w:after="80"/>
      </w:pPr>
      <w:r>
        <w:t xml:space="preserve">No missing values: every one of the 20 columns across all 9,994 rows is populated. No blanks, no NULLs.</w:t>
      </w:r>
    </w:p>
    <w:p>
      <w:pPr>
        <w:pStyle w:val="ListParagraph"/>
        <w:numPr>
          <w:ilvl w:val="0"/>
          <w:numId w:val="2"/>
        </w:numPr>
        <w:spacing w:after="80"/>
      </w:pPr>
      <w:r>
        <w:t xml:space="preserve">No categorical inconsistency: Ship Mode, Segment, Region, Category, Sub-Category, State, and City were all checked for casing issues (e.g. 'west' vs 'West'), trailing whitespace, and spelling variants. None found — these columns are clean and ready to use as-is.</w:t>
      </w:r>
    </w:p>
    <w:p>
      <w:pPr>
        <w:pStyle w:val="Heading2"/>
      </w:pPr>
      <w:r>
        <w:t xml:space="preserve">2.9 Finding #10: Statistical Outliers in Sales and Profit (Legitimate, Not Errors)</w:t>
      </w:r>
    </w:p>
    <w:p>
      <w:pPr>
        <w:spacing w:after="40" w:before="120"/>
      </w:pPr>
      <w:r>
        <w:rPr>
          <w:b/>
          <w:bCs/>
          <w:color w:val="2E5C99"/>
        </w:rPr>
        <w:t xml:space="preserve">What</w:t>
      </w:r>
    </w:p>
    <w:p>
      <w:pPr>
        <w:spacing w:after="160"/>
      </w:pPr>
      <w:r>
        <w:t xml:space="preserve">Using the standard IQR method (values beyond 1.5x the interquartile range), 11.7% of Sales values and 12.0% of Profit values are statistical outliers — driven by orders like a $22,638 Cisco TelePresence System sale or a $61,599 Canon copier sale.</w:t>
      </w:r>
    </w:p>
    <w:p>
      <w:pPr>
        <w:spacing w:after="40" w:before="120"/>
      </w:pPr>
      <w:r>
        <w:rPr>
          <w:b/>
          <w:bCs/>
          <w:color w:val="2E5C99"/>
        </w:rPr>
        <w:t xml:space="preserve">Why these are NOT data errors</w:t>
      </w:r>
    </w:p>
    <w:p>
      <w:pPr>
        <w:spacing w:after="160"/>
      </w:pPr>
      <w:r>
        <w:t xml:space="preserve">Unlike Findings #1-6, this is not a data quality problem to fix — it is a real characteristic of B2B/enterprise retail, where a small number of large equipment orders (copiers, printers, conferencing systems) coexist with thousands of small everyday orders (pens, binders, paper). Removing these rows would delete real revenue and bias every KPI downward.</w:t>
      </w:r>
    </w:p>
    <w:p>
      <w:pPr>
        <w:spacing w:after="40" w:before="120"/>
      </w:pPr>
      <w:r>
        <w:rPr>
          <w:b/>
          <w:bCs/>
          <w:color w:val="2E5C99"/>
        </w:rPr>
        <w:t xml:space="preserve">How it was handled</w:t>
      </w:r>
    </w:p>
    <w:p>
      <w:pPr>
        <w:spacing w:after="160"/>
      </w:pPr>
      <w:r>
        <w:t xml:space="preserve">Retained in full. Flagged in the EDA phase so that whoever reads 'Average Order Value' understands it is pulled upward by a real long tail of large orders, and a median-based view is offered alongside the mean where useful.</w:t>
      </w:r>
    </w:p>
    <w:p>
      <w:pPr>
        <w:pStyle w:val="Heading3"/>
      </w:pPr>
      <w:r>
        <w:t xml:space="preserve">Common Mistakes at This Stage</w:t>
      </w:r>
    </w:p>
    <w:p>
      <w:pPr>
        <w:pStyle w:val="ListParagraph"/>
        <w:numPr>
          <w:ilvl w:val="0"/>
          <w:numId w:val="2"/>
        </w:numPr>
        <w:spacing w:after="80"/>
      </w:pPr>
      <w:r>
        <w:t xml:space="preserve">Trusting a column's Excel formatting (looks like currency) instead of checking its actual stored data type</w:t>
      </w:r>
    </w:p>
    <w:p>
      <w:pPr>
        <w:pStyle w:val="ListParagraph"/>
        <w:numPr>
          <w:ilvl w:val="0"/>
          <w:numId w:val="2"/>
        </w:numPr>
        <w:spacing w:after="80"/>
      </w:pPr>
      <w:r>
        <w:t xml:space="preserve">Assuming a public dataset's well-known characteristics (like 'Superstore has loss-making orders') apply to your specific file without checking</w:t>
      </w:r>
    </w:p>
    <w:p>
      <w:pPr>
        <w:pStyle w:val="ListParagraph"/>
        <w:numPr>
          <w:ilvl w:val="0"/>
          <w:numId w:val="2"/>
        </w:numPr>
        <w:spacing w:after="80"/>
      </w:pPr>
      <w:r>
        <w:t xml:space="preserve">Deleting outlier rows reflexively instead of asking whether they are legitimate business activity</w:t>
      </w:r>
    </w:p>
    <w:p>
      <w:pPr>
        <w:pStyle w:val="ListParagraph"/>
        <w:numPr>
          <w:ilvl w:val="0"/>
          <w:numId w:val="2"/>
        </w:numPr>
        <w:spacing w:after="80"/>
      </w:pPr>
      <w:r>
        <w:t xml:space="preserve">Fixing a data quality issue silently without flagging it, so downstream users can't tell which numbers to trust</w:t>
      </w:r>
    </w:p>
    <w:p>
      <w:pPr>
        <w:pStyle w:val="Heading3"/>
      </w:pPr>
      <w:r>
        <w:t xml:space="preserve">Interview Relevance</w:t>
      </w:r>
    </w:p>
    <w:p>
      <w:pPr>
        <w:spacing w:after="160"/>
      </w:pPr>
      <w:r>
        <w:t xml:space="preserve">'Tell me about a time you found a data quality issue' is asked in nearly every analytics interview. The strongest answers describe exactly this kind of detective work: a specific, surprising finding (months mapped to one fake date), how it was proven rather than assumed (cross-referencing Order ID year prefixes), and the concrete decision made as a result (excluding those rows from time-series analysis rather than either ignoring the issue or deleting 60% of the data).</w:t>
      </w:r>
    </w:p>
    <w:p>
      <w:pPr>
        <w:pStyle w:val="Heading3"/>
      </w:pPr>
      <w:r>
        <w:t xml:space="preserve">Analyst Mindset</w:t>
      </w:r>
    </w:p>
    <w:p>
      <w:pPr>
        <w:spacing w:after="160"/>
      </w:pPr>
      <w:r>
        <w:t xml:space="preserve">An audit is not a checklist you rush through to get to the 'real' analysis. The audit IS real analysis — in this case, the single biggest insight in the whole project (that 60% of dates are unusable) was found here, in Phase 2, before a single chart was built.</w:t>
      </w:r>
    </w:p>
    <w:p>
      <w:pPr>
        <w:pStyle w:val="Heading1"/>
        <w:pageBreakBefore/>
      </w:pPr>
      <w:r>
        <w:t xml:space="preserve">PHASE 3 - COMPLETE DATA CLEANING</w:t>
      </w:r>
    </w:p>
    <w:p>
      <w:pPr>
        <w:spacing w:after="160"/>
      </w:pPr>
      <w:r>
        <w:t xml:space="preserve">Every fix below was actually applied to produce the 3_Clean_Data sheet in the delivered workbook. Each follows What -&gt; Why -&gt; How.</w:t>
      </w:r>
    </w:p>
    <w:p>
      <w:pPr>
        <w:pStyle w:val="Heading2"/>
      </w:pPr>
      <w:r>
        <w:t xml:space="preserve">3.1 Fix Sales and Profit (text -&gt; number)</w:t>
      </w:r>
    </w:p>
    <w:p>
      <w:pPr>
        <w:spacing w:after="40" w:before="120"/>
      </w:pPr>
      <w:r>
        <w:rPr>
          <w:b/>
          <w:bCs/>
          <w:color w:val="2E5C99"/>
        </w:rPr>
        <w:t xml:space="preserve">What</w:t>
      </w:r>
    </w:p>
    <w:p>
      <w:pPr>
        <w:spacing w:after="160"/>
      </w:pPr>
      <w:r>
        <w:t xml:space="preserve">Strip the "$" and "," characters and convert to a true numeric type.</w:t>
      </w:r>
    </w:p>
    <w:p>
      <w:pPr>
        <w:spacing w:after="40" w:before="120"/>
      </w:pPr>
      <w:r>
        <w:rPr>
          <w:b/>
          <w:bCs/>
          <w:color w:val="2E5C99"/>
        </w:rPr>
        <w:t xml:space="preserve">Why</w:t>
      </w:r>
    </w:p>
    <w:p>
      <w:pPr>
        <w:spacing w:after="160"/>
      </w:pPr>
      <w:r>
        <w:t xml:space="preserve">Without this, SUM/AVERAGE/any KPI formula is unreliable or wrong.</w:t>
      </w:r>
    </w:p>
    <w:p>
      <w:pPr>
        <w:spacing w:after="40" w:before="120"/>
      </w:pPr>
      <w:r>
        <w:rPr>
          <w:b/>
          <w:bCs/>
          <w:color w:val="2E5C99"/>
        </w:rPr>
        <w:t xml:space="preserve">How</w:t>
      </w:r>
    </w:p>
    <w:p>
      <w:pPr>
        <w:pStyle w:val="ListParagraph"/>
        <w:numPr>
          <w:ilvl w:val="0"/>
          <w:numId w:val="2"/>
        </w:numPr>
        <w:spacing w:after="80"/>
      </w:pPr>
      <w:r>
        <w:t xml:space="preserve">Excel formula: =VALUE(SUBSTITUTE(B2,"$",""))</w:t>
      </w:r>
    </w:p>
    <w:p>
      <w:pPr>
        <w:pStyle w:val="ListParagraph"/>
        <w:numPr>
          <w:ilvl w:val="0"/>
          <w:numId w:val="2"/>
        </w:numPr>
        <w:spacing w:after="80"/>
      </w:pPr>
      <w:r>
        <w:t xml:space="preserve">Power Query: Change Type -&gt; Decimal Number (auto-strips currency symbols)</w:t>
      </w:r>
    </w:p>
    <w:p>
      <w:pPr>
        <w:pStyle w:val="ListParagraph"/>
        <w:numPr>
          <w:ilvl w:val="0"/>
          <w:numId w:val="2"/>
        </w:numPr>
        <w:spacing w:after="80"/>
      </w:pPr>
      <w:r>
        <w:t xml:space="preserve">Applied in this project; verified output is a true Number column formatted as $#,##0.00</w:t>
      </w:r>
    </w:p>
    <w:p>
      <w:pPr>
        <w:pStyle w:val="Heading2"/>
      </w:pPr>
      <w:r>
        <w:t xml:space="preserve">3.2 Fix Order Date (recover real dates, flag the unrecoverable 59.6%)</w:t>
      </w:r>
    </w:p>
    <w:p>
      <w:pPr>
        <w:spacing w:after="40" w:before="120"/>
      </w:pPr>
      <w:r>
        <w:rPr>
          <w:b/>
          <w:bCs/>
          <w:color w:val="2E5C99"/>
        </w:rPr>
        <w:t xml:space="preserve">What</w:t>
      </w:r>
    </w:p>
    <w:p>
      <w:pPr>
        <w:spacing w:after="160"/>
      </w:pPr>
      <w:r>
        <w:t xml:space="preserve">Convert genuine date-looking text to real Excel dates; flag the 5,952 corrupted rows rather than inventing dates for them.</w:t>
      </w:r>
    </w:p>
    <w:p>
      <w:pPr>
        <w:spacing w:after="40" w:before="120"/>
      </w:pPr>
      <w:r>
        <w:rPr>
          <w:b/>
          <w:bCs/>
          <w:color w:val="2E5C99"/>
        </w:rPr>
        <w:t xml:space="preserve">Why</w:t>
      </w:r>
    </w:p>
    <w:p>
      <w:pPr>
        <w:spacing w:after="160"/>
      </w:pPr>
      <w:r>
        <w:t xml:space="preserve">Time-series analysis must clearly separate trustworthy dates from corrupted ones (see Phase 2 Finding #2).</w:t>
      </w:r>
    </w:p>
    <w:p>
      <w:pPr>
        <w:spacing w:after="40" w:before="120"/>
      </w:pPr>
      <w:r>
        <w:rPr>
          <w:b/>
          <w:bCs/>
          <w:color w:val="2E5C99"/>
        </w:rPr>
        <w:t xml:space="preserve">How</w:t>
      </w:r>
    </w:p>
    <w:p>
      <w:pPr>
        <w:pStyle w:val="ListParagraph"/>
        <w:numPr>
          <w:ilvl w:val="0"/>
          <w:numId w:val="2"/>
        </w:numPr>
        <w:spacing w:after="80"/>
      </w:pPr>
      <w:r>
        <w:t xml:space="preserve">Add helper column Date_Reconstructed_Flag: =IF(ISNUMBER(C2),"NO","YES")</w:t>
      </w:r>
    </w:p>
    <w:p>
      <w:pPr>
        <w:pStyle w:val="ListParagraph"/>
        <w:numPr>
          <w:ilvl w:val="0"/>
          <w:numId w:val="2"/>
        </w:numPr>
        <w:spacing w:after="80"/>
      </w:pPr>
      <w:r>
        <w:t xml:space="preserve">For genuinely text-formatted real dates, use =DATEVALUE(C2) to convert</w:t>
      </w:r>
    </w:p>
    <w:p>
      <w:pPr>
        <w:pStyle w:val="ListParagraph"/>
        <w:numPr>
          <w:ilvl w:val="0"/>
          <w:numId w:val="2"/>
        </w:numPr>
        <w:spacing w:after="80"/>
      </w:pPr>
      <w:r>
        <w:t xml:space="preserve">Corrupted rows are NOT deleted (would lose real Sales/Profit data) — they are flagged and excluded only from date-dependent charts</w:t>
      </w:r>
    </w:p>
    <w:p>
      <w:pPr>
        <w:pStyle w:val="Heading2"/>
      </w:pPr>
      <w:r>
        <w:t xml:space="preserve">3.3 Fix Postal Code (restore leading zeros)</w:t>
      </w:r>
    </w:p>
    <w:p>
      <w:pPr>
        <w:spacing w:after="40" w:before="120"/>
      </w:pPr>
      <w:r>
        <w:rPr>
          <w:b/>
          <w:bCs/>
          <w:color w:val="2E5C99"/>
        </w:rPr>
        <w:t xml:space="preserve">How</w:t>
      </w:r>
    </w:p>
    <w:p>
      <w:pPr>
        <w:spacing w:after="160"/>
      </w:pPr>
      <w:r>
        <w:t xml:space="preserve">Convert column to Text, then =TEXT(K2,"00000") to force 5 digits.</w:t>
      </w:r>
    </w:p>
    <w:p>
      <w:pPr>
        <w:pStyle w:val="Heading2"/>
      </w:pPr>
      <w:r>
        <w:t xml:space="preserve">3.4 Document Profit &gt; Sales anomaly</w:t>
      </w:r>
    </w:p>
    <w:p>
      <w:pPr>
        <w:spacing w:after="40" w:before="120"/>
      </w:pPr>
      <w:r>
        <w:rPr>
          <w:b/>
          <w:bCs/>
          <w:color w:val="2E5C99"/>
        </w:rPr>
        <w:t xml:space="preserve">How</w:t>
      </w:r>
    </w:p>
    <w:p>
      <w:pPr>
        <w:spacing w:after="160"/>
      </w:pPr>
      <w:r>
        <w:t xml:space="preserve">Add helper column Margin_Flag: =IF(T2&gt;Q2,"CHECK","OK") so the 349 rows are visible and filterable, not silently altered.</w:t>
      </w:r>
    </w:p>
    <w:p>
      <w:pPr>
        <w:pStyle w:val="Heading2"/>
      </w:pPr>
      <w:r>
        <w:t xml:space="preserve">3.5 Remove true duplicates / blanks</w:t>
      </w:r>
    </w:p>
    <w:p>
      <w:pPr>
        <w:spacing w:after="160"/>
      </w:pPr>
      <w:r>
        <w:t xml:space="preserve">None existed (confirmed in Phase 2), so no rows were removed — cleaning isn't about always deleting something; it's about verifying first.</w:t>
      </w:r>
    </w:p>
    <w:p>
      <w:pPr>
        <w:pStyle w:val="Heading3"/>
      </w:pPr>
      <w:r>
        <w:t xml:space="preserve">Common Mistakes</w:t>
      </w:r>
    </w:p>
    <w:p>
      <w:pPr>
        <w:pStyle w:val="ListParagraph"/>
        <w:numPr>
          <w:ilvl w:val="0"/>
          <w:numId w:val="2"/>
        </w:numPr>
        <w:spacing w:after="80"/>
      </w:pPr>
      <w:r>
        <w:t xml:space="preserve">Deleting rows with anomalies instead of flagging them</w:t>
      </w:r>
    </w:p>
    <w:p>
      <w:pPr>
        <w:pStyle w:val="ListParagraph"/>
        <w:numPr>
          <w:ilvl w:val="0"/>
          <w:numId w:val="2"/>
        </w:numPr>
        <w:spacing w:after="80"/>
      </w:pPr>
      <w:r>
        <w:t xml:space="preserve">Hardcoding a fix (typing in a 'corrected' date) instead of using a formula that's auditable</w:t>
      </w:r>
    </w:p>
    <w:p>
      <w:pPr>
        <w:pStyle w:val="ListParagraph"/>
        <w:numPr>
          <w:ilvl w:val="0"/>
          <w:numId w:val="2"/>
        </w:numPr>
        <w:spacing w:after="80"/>
      </w:pPr>
      <w:r>
        <w:t xml:space="preserve">Cleaning in the original raw sheet instead of preserving a Raw_Data tab for traceability</w:t>
      </w:r>
    </w:p>
    <w:p>
      <w:pPr>
        <w:pStyle w:val="Heading3"/>
      </w:pPr>
      <w:r>
        <w:t xml:space="preserve">Analyst Mindset</w:t>
      </w:r>
    </w:p>
    <w:p>
      <w:pPr>
        <w:spacing w:after="160"/>
      </w:pPr>
      <w:r>
        <w:t xml:space="preserve">Clean data should always be reproducible from raw data via visible steps — never a one-time manual overwrite that can't be re-run if the source refreshes.</w:t>
      </w:r>
    </w:p>
    <w:p>
      <w:pPr>
        <w:pStyle w:val="Heading1"/>
        <w:pageBreakBefore/>
      </w:pPr>
      <w:r>
        <w:t xml:space="preserve">PHASE 4 - DATA FORMATTING</w:t>
      </w:r>
    </w:p>
    <w:p>
      <w:pPr>
        <w:spacing w:after="160"/>
      </w:pPr>
      <w:r>
        <w:t xml:space="preserve">Formatting is not decoration — in business reporting it's a trust signal. A sloppy-looking sheet makes people doubt correct numbers; a clean one makes people trust even surprising findings.</w:t>
      </w:r>
    </w:p>
    <w:p>
      <w:pPr>
        <w:pStyle w:val="Heading2"/>
      </w:pPr>
      <w:r>
        <w:t xml:space="preserve">4.1 Date Formatting</w:t>
      </w:r>
    </w:p>
    <w:p>
      <w:pPr>
        <w:spacing w:after="160"/>
      </w:pPr>
      <w:r>
        <w:t xml:space="preserve">Order Date -&gt; mm/dd/yyyy (US convention, matches this dataset's US-only Country field). Applied via Format Cells &gt; Date, not as text, so dates remain sortable/filterable.</w:t>
      </w:r>
    </w:p>
    <w:p>
      <w:pPr>
        <w:pStyle w:val="Heading2"/>
      </w:pPr>
      <w:r>
        <w:t xml:space="preserve">4.2 Currency Formatting</w:t>
      </w:r>
    </w:p>
    <w:p>
      <w:pPr>
        <w:spacing w:after="160"/>
      </w:pPr>
      <w:r>
        <w:t xml:space="preserve">Sales and Profit -&gt; $#,##0.00 (two decimals, comma thousands separator). KPI cards on the dashboard use $#,##0 (no decimals) since rounded totals are easier to scan at a glance — detail tables keep the cents.</w:t>
      </w:r>
    </w:p>
    <w:p>
      <w:pPr>
        <w:pStyle w:val="Heading2"/>
      </w:pPr>
      <w:r>
        <w:t xml:space="preserve">4.3 Percentage Formatting</w:t>
      </w:r>
    </w:p>
    <w:p>
      <w:pPr>
        <w:spacing w:after="160"/>
      </w:pPr>
      <w:r>
        <w:t xml:space="preserve">Discount and Profit Margin -&gt; 0.0% format. Stored as decimals (0.15) but displayed as percentages (15.0%) — never store '15' as text meaning 15%, since that breaks every downstream calculation.</w:t>
      </w:r>
    </w:p>
    <w:p>
      <w:pPr>
        <w:pStyle w:val="Heading2"/>
      </w:pPr>
      <w:r>
        <w:t xml:space="preserve">4.4 Table Formatting</w:t>
      </w:r>
    </w:p>
    <w:p>
      <w:pPr>
        <w:spacing w:after="160"/>
      </w:pPr>
      <w:r>
        <w:t xml:space="preserve">The 3_Clean_Data sheet uses a real Excel Table (Insert &gt; Table, named CleanData) rather than a plain range. This gives auto-expanding ranges, structured references, banded rows, and a built-in filter row — all used in the delivered workbook.</w:t>
      </w:r>
    </w:p>
    <w:p>
      <w:pPr>
        <w:pStyle w:val="Heading2"/>
      </w:pPr>
      <w:r>
        <w:t xml:space="preserve">4.5 Professional Color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Element</w:t>
            </w:r>
          </w:p>
        </w:tc>
        <w:tc>
          <w:tcPr>
            <w:tcW w:type="dxa" w:w="31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Color</w:t>
            </w:r>
          </w:p>
        </w:tc>
        <w:tc>
          <w:tcPr>
            <w:tcW w:type="dxa" w:w="31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Hex</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Headers / Titles</w:t>
            </w:r>
          </w:p>
        </w:tc>
        <w:tc>
          <w:tcPr>
            <w:tcW w:type="dxa" w:w="3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Navy Blue</w:t>
            </w:r>
          </w:p>
        </w:tc>
        <w:tc>
          <w:tcPr>
            <w:tcW w:type="dxa" w:w="3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#1F3864</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Section Bars</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Medium Blue</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#2E5C99</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KPI Card Background</w:t>
            </w:r>
          </w:p>
        </w:tc>
        <w:tc>
          <w:tcPr>
            <w:tcW w:type="dxa" w:w="3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Light Blue</w:t>
            </w:r>
          </w:p>
        </w:tc>
        <w:tc>
          <w:tcPr>
            <w:tcW w:type="dxa" w:w="3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#D9E2F3</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Alternating Rows</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Light Grey</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#F2F2F2</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Warning / Risk Flags</w:t>
            </w:r>
          </w:p>
        </w:tc>
        <w:tc>
          <w:tcPr>
            <w:tcW w:type="dxa" w:w="3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Red</w:t>
            </w:r>
          </w:p>
        </w:tc>
        <w:tc>
          <w:tcPr>
            <w:tcW w:type="dxa" w:w="3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#C0392B</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Positive / Growth</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Green</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#1E8449</w:t>
            </w:r>
          </w:p>
        </w:tc>
      </w:tr>
    </w:tbl>
    <w:p>
      <w:pPr>
        <w:spacing w:after="160"/>
      </w:pPr>
      <w:r>
        <w:t xml:space="preserve">This is a deliberately restrained palette — 2-3 core colors plus one warning and one positive accent. Professional dashboards avoid rainbow charts; color should only be used where it carries meaning.</w:t>
      </w:r>
    </w:p>
    <w:p>
      <w:pPr>
        <w:pStyle w:val="Heading2"/>
      </w:pPr>
      <w:r>
        <w:t xml:space="preserve">4.6 Alignment &amp; Borders</w:t>
      </w:r>
    </w:p>
    <w:p>
      <w:pPr>
        <w:pStyle w:val="ListParagraph"/>
        <w:numPr>
          <w:ilvl w:val="0"/>
          <w:numId w:val="2"/>
        </w:numPr>
        <w:spacing w:after="80"/>
      </w:pPr>
      <w:r>
        <w:t xml:space="preserve">Numbers right-aligned (digits stack for easy magnitude comparison); text left-aligned; headers centered</w:t>
      </w:r>
    </w:p>
    <w:p>
      <w:pPr>
        <w:pStyle w:val="ListParagraph"/>
        <w:numPr>
          <w:ilvl w:val="0"/>
          <w:numId w:val="2"/>
        </w:numPr>
        <w:spacing w:after="80"/>
      </w:pPr>
      <w:r>
        <w:t xml:space="preserve">Thin grey borders (#BFBFBF) on data tables — visible enough to separate cells, light enough not to dominate the eye</w:t>
      </w:r>
    </w:p>
    <w:p>
      <w:pPr>
        <w:pStyle w:val="Heading2"/>
      </w:pPr>
      <w:r>
        <w:t xml:space="preserve">4.7 Conditional Formatting Applied</w:t>
      </w:r>
    </w:p>
    <w:p>
      <w:pPr>
        <w:pStyle w:val="ListParagraph"/>
        <w:numPr>
          <w:ilvl w:val="0"/>
          <w:numId w:val="2"/>
        </w:numPr>
        <w:spacing w:after="80"/>
      </w:pPr>
      <w:r>
        <w:t xml:space="preserve">Date_Reconstructed_Flag = "YES" → light orange fill, so any chart-builder instantly sees which rows to exclude from time analysis</w:t>
      </w:r>
    </w:p>
    <w:p>
      <w:pPr>
        <w:pStyle w:val="ListParagraph"/>
        <w:numPr>
          <w:ilvl w:val="0"/>
          <w:numId w:val="2"/>
        </w:numPr>
        <w:spacing w:after="80"/>
      </w:pPr>
      <w:r>
        <w:t xml:space="preserve">Profit Margin &gt; 100% → bold red font, flagging the 349 anomalous rows from Phase 2 directly in the data</w:t>
      </w:r>
    </w:p>
    <w:p>
      <w:pPr>
        <w:pStyle w:val="ListParagraph"/>
        <w:numPr>
          <w:ilvl w:val="0"/>
          <w:numId w:val="2"/>
        </w:numPr>
        <w:spacing w:after="80"/>
      </w:pPr>
      <w:r>
        <w:t xml:space="preserve">(Recommended) 3-color scale on Sales by Sub-Category — green=high, yellow=mid, red=low — for instant visual ranking</w:t>
      </w:r>
    </w:p>
    <w:p>
      <w:pPr>
        <w:pStyle w:val="Heading3"/>
      </w:pPr>
      <w:r>
        <w:t xml:space="preserve">Why These Choices Are Used in Business Reporting</w:t>
      </w:r>
    </w:p>
    <w:p>
      <w:pPr>
        <w:spacing w:after="160"/>
      </w:pPr>
      <w:r>
        <w:t xml:space="preserve">Executives skim. A consistent color/format language lets a VP glance at a sheet for 5 seconds and know where to look (red = risk, green = strong, bold = anomaly) without reading every cell.</w:t>
      </w:r>
    </w:p>
    <w:p>
      <w:pPr>
        <w:pStyle w:val="Heading3"/>
      </w:pPr>
      <w:r>
        <w:t xml:space="preserve">Common Mistakes</w:t>
      </w:r>
    </w:p>
    <w:p>
      <w:pPr>
        <w:pStyle w:val="ListParagraph"/>
        <w:numPr>
          <w:ilvl w:val="0"/>
          <w:numId w:val="2"/>
        </w:numPr>
        <w:spacing w:after="80"/>
      </w:pPr>
      <w:r>
        <w:t xml:space="preserve">Using more than 4-5 colors in one sheet (reduces signal value of color)</w:t>
      </w:r>
    </w:p>
    <w:p>
      <w:pPr>
        <w:pStyle w:val="ListParagraph"/>
        <w:numPr>
          <w:ilvl w:val="0"/>
          <w:numId w:val="2"/>
        </w:numPr>
        <w:spacing w:after="80"/>
      </w:pPr>
      <w:r>
        <w:t xml:space="preserve">Storing percentages as whole-number text instead of decimals formatted as percentages</w:t>
      </w:r>
    </w:p>
    <w:p>
      <w:pPr>
        <w:pStyle w:val="ListParagraph"/>
        <w:numPr>
          <w:ilvl w:val="0"/>
          <w:numId w:val="2"/>
        </w:numPr>
        <w:spacing w:after="80"/>
      </w:pPr>
      <w:r>
        <w:t xml:space="preserve">Applying conditional formatting to raw/unvalidated data instead of cleaned data</w:t>
      </w:r>
    </w:p>
    <w:p>
      <w:pPr>
        <w:pStyle w:val="Heading1"/>
        <w:pageBreakBefore/>
      </w:pPr>
      <w:r>
        <w:t xml:space="preserve">PHASE 5 - KPI ANALYSIS</w:t>
      </w:r>
    </w:p>
    <w:p>
      <w:pPr>
        <w:spacing w:after="160"/>
      </w:pPr>
      <w:r>
        <w:t xml:space="preserve">Every figure below is the live, recalculated formula output from the 4_KPI_Dashboard sheet — verified to zero formula errors across 10,042 formulas in the delivered workbook.</w:t>
      </w:r>
    </w:p>
    <w:p>
      <w:pPr>
        <w:pStyle w:val="Heading2"/>
      </w:pPr>
      <w:r>
        <w:t xml:space="preserve">5.1 Core KPI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KPI</w:t>
            </w:r>
          </w:p>
        </w:tc>
        <w:tc>
          <w:tcPr>
            <w:tcW w:type="dxa" w:w="2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Value</w:t>
            </w:r>
          </w:p>
        </w:tc>
        <w:tc>
          <w:tcPr>
            <w:tcW w:type="dxa" w:w="39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Formula Logic</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Total Sales</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$2,297,201.07</w:t>
            </w:r>
          </w:p>
        </w:tc>
        <w:tc>
          <w:tcPr>
            <w:tcW w:type="dxa" w:w="3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SUM of all Sales</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Total Profit</w:t>
            </w:r>
          </w:p>
        </w:tc>
        <w:tc>
          <w:tcPr>
            <w:tcW w:type="dxa" w:w="2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$598,661.51</w:t>
            </w:r>
          </w:p>
        </w:tc>
        <w:tc>
          <w:tcPr>
            <w:tcW w:type="dxa" w:w="3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SUM of all Profit</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Total Orders</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5,009</w:t>
            </w:r>
          </w:p>
        </w:tc>
        <w:tc>
          <w:tcPr>
            <w:tcW w:type="dxa" w:w="3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Distinct count of Order ID</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Total Units Sold</w:t>
            </w:r>
          </w:p>
        </w:tc>
        <w:tc>
          <w:tcPr>
            <w:tcW w:type="dxa" w:w="2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37,873</w:t>
            </w:r>
          </w:p>
        </w:tc>
        <w:tc>
          <w:tcPr>
            <w:tcW w:type="dxa" w:w="3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SUM of Quantity</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Average Order Value (AOV)</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$458.61</w:t>
            </w:r>
          </w:p>
        </w:tc>
        <w:tc>
          <w:tcPr>
            <w:tcW w:type="dxa" w:w="3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Total Sales / Total Orders</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Overall Profit Margin</w:t>
            </w:r>
          </w:p>
        </w:tc>
        <w:tc>
          <w:tcPr>
            <w:tcW w:type="dxa" w:w="2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26.1%</w:t>
            </w:r>
          </w:p>
        </w:tc>
        <w:tc>
          <w:tcPr>
            <w:tcW w:type="dxa" w:w="3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Total Profit / Total Sales</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Average Discount</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15.6%</w:t>
            </w:r>
          </w:p>
        </w:tc>
        <w:tc>
          <w:tcPr>
            <w:tcW w:type="dxa" w:w="3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AVERAGE of Discount across all rows</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Unique Customers</w:t>
            </w:r>
          </w:p>
        </w:tc>
        <w:tc>
          <w:tcPr>
            <w:tcW w:type="dxa" w:w="2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793</w:t>
            </w:r>
          </w:p>
        </w:tc>
        <w:tc>
          <w:tcPr>
            <w:tcW w:type="dxa" w:w="3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Distinct count of Customer Name</w:t>
            </w:r>
          </w:p>
        </w:tc>
      </w:tr>
    </w:tbl>
    <w:p>
      <w:pPr>
        <w:pStyle w:val="Heading2"/>
      </w:pPr>
      <w:r>
        <w:t xml:space="preserve">5.2 What Each KPI Means and Why It Matters</w:t>
      </w:r>
    </w:p>
    <w:p>
      <w:pPr>
        <w:spacing w:after="40" w:before="120"/>
      </w:pPr>
      <w:r>
        <w:rPr>
          <w:b/>
          <w:bCs/>
          <w:color w:val="2E5C99"/>
        </w:rPr>
        <w:t xml:space="preserve">Total Sales — $2,297,201.07</w:t>
      </w:r>
    </w:p>
    <w:p>
      <w:pPr>
        <w:spacing w:after="160"/>
      </w:pPr>
      <w:r>
        <w:t xml:space="preserve">What: gross revenue across all 9,994 line items. Why businesses track it: it's the top-line scale of the business — every other metric is judged relative to this. Interpretation: across 4 years this averages to roughly $574K/year, a small-to-mid retail operation.</w:t>
      </w:r>
    </w:p>
    <w:p>
      <w:pPr>
        <w:spacing w:after="40" w:before="120"/>
      </w:pPr>
      <w:r>
        <w:rPr>
          <w:b/>
          <w:bCs/>
          <w:color w:val="2E5C99"/>
        </w:rPr>
        <w:t xml:space="preserve">Total Profit — $598,661.51</w:t>
      </w:r>
    </w:p>
    <w:p>
      <w:pPr>
        <w:spacing w:after="160"/>
      </w:pPr>
      <w:r>
        <w:t xml:space="preserve">What: total earnings after cost of goods, before overhead. Why it matters: Sales alone can be vanity — a business can grow revenue while losing money on every sale. Interpretation: this business is solidly profitable in aggregate, and (per Phase 2) has zero loss-making line items, an unusually clean profitability profile.</w:t>
      </w:r>
    </w:p>
    <w:p>
      <w:pPr>
        <w:spacing w:after="40" w:before="120"/>
      </w:pPr>
      <w:r>
        <w:rPr>
          <w:b/>
          <w:bCs/>
          <w:color w:val="2E5C99"/>
        </w:rPr>
        <w:t xml:space="preserve">Total Orders — 5,009</w:t>
      </w:r>
    </w:p>
    <w:p>
      <w:pPr>
        <w:spacing w:after="160"/>
      </w:pPr>
      <w:r>
        <w:t xml:space="preserve">What: distinct customer transactions (not line items — 9,994 line items collapse into 5,009 orders, ~2 items/order on average). Why it matters: order count combined with AOV tells you whether revenue grew from MORE customers buying, or EXISTING customers buying MORE per visit.</w:t>
      </w:r>
    </w:p>
    <w:p>
      <w:pPr>
        <w:spacing w:after="40" w:before="120"/>
      </w:pPr>
      <w:r>
        <w:rPr>
          <w:b/>
          <w:bCs/>
          <w:color w:val="2E5C99"/>
        </w:rPr>
        <w:t xml:space="preserve">Average Order Value — $458.61</w:t>
      </w:r>
    </w:p>
    <w:p>
      <w:pPr>
        <w:spacing w:after="160"/>
      </w:pPr>
      <w:r>
        <w:t xml:space="preserve">What: Total Sales / Total Orders. Why it matters: a key lever for revenue growth — raising AOV (via upsell/bundling) is often cheaper than acquiring new customers. Interpretation: note this mean is pulled upward by the large-equipment outliers identified in Phase 2 (some single orders exceed $20,000) — the typical/median order is meaningfully smaller than $458.61.</w:t>
      </w:r>
    </w:p>
    <w:p>
      <w:pPr>
        <w:spacing w:after="40" w:before="120"/>
      </w:pPr>
      <w:r>
        <w:rPr>
          <w:b/>
          <w:bCs/>
          <w:color w:val="2E5C99"/>
        </w:rPr>
        <w:t xml:space="preserve">Overall Profit Margin — 26.1%</w:t>
      </w:r>
    </w:p>
    <w:p>
      <w:pPr>
        <w:spacing w:after="160"/>
      </w:pPr>
      <w:r>
        <w:t xml:space="preserve">What: Profit / Sales, expressed as a percentage. Why it matters: this is the single most important profitability KPI — it shows how much of every revenue dollar is actually kept. Interpretation: 26.1% is a healthy margin for a retail/distribution business; Phase 6 breaks this down by category, where it ranges from 18.9% (Furniture) to 32.8% (Office Supplies).</w:t>
      </w:r>
    </w:p>
    <w:p>
      <w:pPr>
        <w:spacing w:after="40" w:before="120"/>
      </w:pPr>
      <w:r>
        <w:rPr>
          <w:b/>
          <w:bCs/>
          <w:color w:val="2E5C99"/>
        </w:rPr>
        <w:t xml:space="preserve">Average Discount — 15.6%</w:t>
      </w:r>
    </w:p>
    <w:p>
      <w:pPr>
        <w:spacing w:after="160"/>
      </w:pPr>
      <w:r>
        <w:t xml:space="preserve">What: the mean discount rate applied across all line items. Why it matters: discounting directly trades margin for volume — tracking it alongside margin (above) lets you see whether discounting is being used strategically or eroding profit. Interpretation: combined with Phase 2's Finding #3 (349 rows at 70-80% discount with impossible margins), this average masks a long tail of very heavy discounting on a small subset of orders that deserves direct management attention.</w:t>
      </w:r>
    </w:p>
    <w:p>
      <w:pPr>
        <w:spacing w:after="40" w:before="120"/>
      </w:pPr>
      <w:r>
        <w:rPr>
          <w:b/>
          <w:bCs/>
          <w:color w:val="2E5C99"/>
        </w:rPr>
        <w:t xml:space="preserve">Unique Customers — 793</w:t>
      </w:r>
    </w:p>
    <w:p>
      <w:pPr>
        <w:spacing w:after="160"/>
      </w:pPr>
      <w:r>
        <w:t xml:space="preserve">What: distinct named customers across the 4-year window. Why it matters: combined with Total Orders (5,009), this means the average customer placed about 6.3 orders over 4 years — useful context for customer lifetime value and retention discussions. Interpretation: high repeat-order density per customer suggests a loyal/returning customer base rather than one-time buyers.</w:t>
      </w:r>
    </w:p>
    <w:p>
      <w:pPr>
        <w:pStyle w:val="Heading3"/>
      </w:pPr>
      <w:r>
        <w:t xml:space="preserve">Common Mistakes</w:t>
      </w:r>
    </w:p>
    <w:p>
      <w:pPr>
        <w:pStyle w:val="ListParagraph"/>
        <w:numPr>
          <w:ilvl w:val="0"/>
          <w:numId w:val="2"/>
        </w:numPr>
        <w:spacing w:after="80"/>
      </w:pPr>
      <w:r>
        <w:t xml:space="preserve">Calculating AOV as the average of the Sales column directly (which averages LINE ITEMS, not ORDERS — a materially different and smaller number since most orders have 2+ line items)</w:t>
      </w:r>
    </w:p>
    <w:p>
      <w:pPr>
        <w:pStyle w:val="ListParagraph"/>
        <w:numPr>
          <w:ilvl w:val="0"/>
          <w:numId w:val="2"/>
        </w:numPr>
        <w:spacing w:after="80"/>
      </w:pPr>
      <w:r>
        <w:t xml:space="preserve">Reporting Total Sales/Profit before fixing the text-vs-number issue from Phase 2 (silently produces $0 or wrong totals)</w:t>
      </w:r>
    </w:p>
    <w:p>
      <w:pPr>
        <w:pStyle w:val="ListParagraph"/>
        <w:numPr>
          <w:ilvl w:val="0"/>
          <w:numId w:val="2"/>
        </w:numPr>
        <w:spacing w:after="80"/>
      </w:pPr>
      <w:r>
        <w:t xml:space="preserve">Treating Average Discount as evenly distributed, missing that it's a blend of mostly-low and some-very-high discount orders</w:t>
      </w:r>
    </w:p>
    <w:p>
      <w:pPr>
        <w:pStyle w:val="Heading3"/>
      </w:pPr>
      <w:r>
        <w:t xml:space="preserve">Interview Relevance</w:t>
      </w:r>
    </w:p>
    <w:p>
      <w:pPr>
        <w:spacing w:after="160"/>
      </w:pPr>
      <w:r>
        <w:t xml:space="preserve">Being asked to define AOV, margin, or distinct-count logic from scratch (and explain WHY DISTINCTCOUNT(Order ID) ≠ COUNT(rows)) is extremely common in analyst interviews and is exactly the kind of subtlety that separates someone who has used Excel/Power BI from someone who understands the underlying grain of their data.</w:t>
      </w:r>
    </w:p>
    <w:p>
      <w:pPr>
        <w:pStyle w:val="Heading1"/>
        <w:pageBreakBefore/>
      </w:pPr>
      <w:r>
        <w:t xml:space="preserve">PHASE 6 - EXPLORATORY DATA ANALYSIS</w:t>
      </w:r>
    </w:p>
    <w:p>
      <w:pPr>
        <w:spacing w:after="160"/>
      </w:pPr>
      <w:r>
        <w:t xml:space="preserve">All figures below are computed directly from the cleaned dataset and cross-checked against the live Excel formulas in the delivered workbook.</w:t>
      </w:r>
    </w:p>
    <w:p>
      <w:pPr>
        <w:pStyle w:val="Heading2"/>
      </w:pPr>
      <w:r>
        <w:t xml:space="preserve">6.1 Sales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1700"/>
        <w:gridCol w:w="16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Category</w:t>
            </w:r>
          </w:p>
        </w:tc>
        <w:tc>
          <w:tcPr>
            <w:tcW w:type="dxa" w:w="1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Sales</w:t>
            </w:r>
          </w:p>
        </w:tc>
        <w:tc>
          <w:tcPr>
            <w:tcW w:type="dxa" w:w="1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Profit</w:t>
            </w:r>
          </w:p>
        </w:tc>
        <w:tc>
          <w:tcPr>
            <w:tcW w:type="dxa" w:w="17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Margin %</w:t>
            </w:r>
          </w:p>
        </w:tc>
        <w:tc>
          <w:tcPr>
            <w:tcW w:type="dxa" w:w="16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Orders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Technology</w:t>
            </w:r>
          </w:p>
        </w:tc>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$836,154</w:t>
            </w:r>
          </w:p>
        </w:tc>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$222,616</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26.6%</w:t>
            </w:r>
          </w:p>
        </w:tc>
        <w:tc>
          <w:tcPr>
            <w:tcW w:type="dxa" w:w="1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1,544</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Furniture</w:t>
            </w:r>
          </w:p>
        </w:tc>
        <w:tc>
          <w:tcPr>
            <w:tcW w:type="dxa" w:w="1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$742,000</w:t>
            </w:r>
          </w:p>
        </w:tc>
        <w:tc>
          <w:tcPr>
            <w:tcW w:type="dxa" w:w="1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$140,324</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18.9%</w:t>
            </w:r>
          </w:p>
        </w:tc>
        <w:tc>
          <w:tcPr>
            <w:tcW w:type="dxa" w:w="1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1,764</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Office Supplies</w:t>
            </w:r>
          </w:p>
        </w:tc>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$719,047</w:t>
            </w:r>
          </w:p>
        </w:tc>
        <w:tc>
          <w:tcPr>
            <w:tcW w:type="dxa" w:w="1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$235,722</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32.8%</w:t>
            </w:r>
          </w:p>
        </w:tc>
        <w:tc>
          <w:tcPr>
            <w:tcW w:type="dxa" w:w="1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3,742</w:t>
            </w:r>
          </w:p>
        </w:tc>
      </w:tr>
    </w:tbl>
    <w:p>
      <w:pPr>
        <w:spacing w:after="160"/>
      </w:pPr>
      <w:r>
        <w:t xml:space="preserve">Highest revenue source: Technology ($836,154, 36.4% of total sales) despite having the FEWEST orders (1,544) — driven by high-ticket items (copiers, phones). Lowest revenue source among the three categories: Office Supplies ($719,047) — but it has by far the most orders (3,742), meaning many small, frequent purchases. Revenue distribution is fairly balanced across the three categories (31-36% each), so the business isn't dangerously dependent on one category.</w:t>
      </w:r>
    </w:p>
    <w:p>
      <w:pPr>
        <w:pStyle w:val="Heading2"/>
      </w:pPr>
      <w:r>
        <w:t xml:space="preserve">6.2 Profit Analysis</w:t>
      </w:r>
    </w:p>
    <w:p>
      <w:pPr>
        <w:spacing w:after="160"/>
      </w:pPr>
      <w:r>
        <w:t xml:space="preserve">Highest profit source: Office Supplies ($235,722, 39.4% of total profit) — despite having the LOWEST revenue of the three categories, it has the highest margin (32.8%). Lowest profit source: Furniture ($140,324) — it has the second-highest revenue but the lowest margin (18.9%) of any category. Loss-making areas: none at the category level, sub-category level, or even individual-row level — confirmed in Phase 2, this dataset contains zero negative-profit transactions.</w:t>
      </w:r>
    </w:p>
    <w:p>
      <w:pPr>
        <w:pStyle w:val="Heading2"/>
      </w:pPr>
      <w:r>
        <w:t xml:space="preserve">6.3 Sub-Category Deep Dive (17 sub-categories)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Sub-Category</w:t>
            </w:r>
          </w:p>
        </w:tc>
        <w:tc>
          <w:tcPr>
            <w:tcW w:type="dxa" w:w="31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Sales</w:t>
            </w:r>
          </w:p>
        </w:tc>
        <w:tc>
          <w:tcPr>
            <w:tcW w:type="dxa" w:w="31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Margin %</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Phones</w:t>
            </w:r>
          </w:p>
        </w:tc>
        <w:tc>
          <w:tcPr>
            <w:tcW w:type="dxa" w:w="3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$330,007</w:t>
            </w:r>
          </w:p>
        </w:tc>
        <w:tc>
          <w:tcPr>
            <w:tcW w:type="dxa" w:w="3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18.1%</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Chairs</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$328,449</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14.1%</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Storage</w:t>
            </w:r>
          </w:p>
        </w:tc>
        <w:tc>
          <w:tcPr>
            <w:tcW w:type="dxa" w:w="3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$223,844</w:t>
            </w:r>
          </w:p>
        </w:tc>
        <w:tc>
          <w:tcPr>
            <w:tcW w:type="dxa" w:w="3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15.2%</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Binders</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$203,413</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52.7%</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Machines</w:t>
            </w:r>
          </w:p>
        </w:tc>
        <w:tc>
          <w:tcPr>
            <w:tcW w:type="dxa" w:w="3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$189,239</w:t>
            </w:r>
          </w:p>
        </w:tc>
        <w:tc>
          <w:tcPr>
            <w:tcW w:type="dxa" w:w="3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33.6%</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Tables</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$206,966</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22.8%</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Copiers</w:t>
            </w:r>
          </w:p>
        </w:tc>
        <w:tc>
          <w:tcPr>
            <w:tcW w:type="dxa" w:w="3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$149,528</w:t>
            </w:r>
          </w:p>
        </w:tc>
        <w:tc>
          <w:tcPr>
            <w:tcW w:type="dxa" w:w="3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37.2%</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Bookcases</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$114,880</w:t>
            </w:r>
          </w:p>
        </w:tc>
        <w:tc>
          <w:tcPr>
            <w:tcW w:type="dxa" w:w="312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18.1%</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Supplies</w:t>
            </w:r>
          </w:p>
        </w:tc>
        <w:tc>
          <w:tcPr>
            <w:tcW w:type="dxa" w:w="3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$46,674</w:t>
            </w:r>
          </w:p>
        </w:tc>
        <w:tc>
          <w:tcPr>
            <w:tcW w:type="dxa" w:w="3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10.4%</w:t>
            </w:r>
          </w:p>
        </w:tc>
      </w:tr>
    </w:tbl>
    <w:p>
      <w:pPr>
        <w:spacing w:after="160"/>
      </w:pPr>
      <w:r>
        <w:t xml:space="preserve">Best-performing (by margin): Binders at 52.7% margin — the single most profitable sub-category in the dataset, on solid revenue of $203,413. Worst-performing (by margin): Supplies at just 10.4% margin — the lowest of all 17 sub-categories. Most sold by volume: Binders also leads in Quantity (5,974 units), so it's both high-margin AND high-volume — genuinely the standout product line. Chairs and Storage are concerning: both carry substantial revenue ($328K and $224K) but margins under 16%, well below the 26.1% company average.</w:t>
      </w:r>
    </w:p>
    <w:p>
      <w:pPr>
        <w:pStyle w:val="Heading2"/>
      </w:pPr>
      <w:r>
        <w:t xml:space="preserve">6.4 Discount Impact on Profitability (critical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Discount Band</w:t>
            </w:r>
          </w:p>
        </w:tc>
        <w:tc>
          <w:tcPr>
            <w:tcW w:type="dxa" w:w="2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Sales</w:t>
            </w:r>
          </w:p>
        </w:tc>
        <w:tc>
          <w:tcPr>
            <w:tcW w:type="dxa" w:w="2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Margin %</w:t>
            </w:r>
          </w:p>
        </w:tc>
        <w:tc>
          <w:tcPr>
            <w:tcW w:type="dxa" w:w="21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Row Count</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0% (no discount)</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$1,087,908</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29.5%</w:t>
            </w:r>
          </w:p>
        </w:tc>
        <w:tc>
          <w:tcPr>
            <w:tcW w:type="dxa" w:w="2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4,798</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1-20%</w:t>
            </w:r>
          </w:p>
        </w:tc>
        <w:tc>
          <w:tcPr>
            <w:tcW w:type="dxa" w:w="2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$846,522</w:t>
            </w:r>
          </w:p>
        </w:tc>
        <w:tc>
          <w:tcPr>
            <w:tcW w:type="dxa" w:w="2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16.1%</w:t>
            </w:r>
          </w:p>
        </w:tc>
        <w:tc>
          <w:tcPr>
            <w:tcW w:type="dxa" w:w="21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3,803</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21-40%</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$234,138</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18.0%</w:t>
            </w:r>
          </w:p>
        </w:tc>
        <w:tc>
          <w:tcPr>
            <w:tcW w:type="dxa" w:w="2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460</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41-60%</w:t>
            </w:r>
          </w:p>
        </w:tc>
        <w:tc>
          <w:tcPr>
            <w:tcW w:type="dxa" w:w="2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$71,048</w:t>
            </w:r>
          </w:p>
        </w:tc>
        <w:tc>
          <w:tcPr>
            <w:tcW w:type="dxa" w:w="2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40.7%</w:t>
            </w:r>
          </w:p>
        </w:tc>
        <w:tc>
          <w:tcPr>
            <w:tcW w:type="dxa" w:w="21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215</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61-80%</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$57,584</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122.6%</w:t>
            </w:r>
          </w:p>
        </w:tc>
        <w:tc>
          <w:tcPr>
            <w:tcW w:type="dxa" w:w="2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718</w:t>
            </w:r>
          </w:p>
        </w:tc>
      </w:tr>
    </w:tbl>
    <w:p>
      <w:pPr>
        <w:spacing w:after="160"/>
      </w:pPr>
      <w:r>
        <w:t xml:space="preserve">This table makes Phase 2's Finding #3 visible at scale: the 61-80% discount band shows a 122.6% profit margin — mathematically impossible, and direct proof that Profit was not correctly recalculated for these 718 heavily-discounted rows. Setting that band aside as a data-quality issue, the real, trustworthy pattern is clear and important: margin drops from 29.5% at no discount to 16.1% at modest discounts (1-20%), and partially recovers at 41-60%. Discounting in the 1-40% range is actively hurting margin without a clear offsetting volume benefit.</w:t>
      </w:r>
    </w:p>
    <w:p>
      <w:pPr>
        <w:pStyle w:val="Heading2"/>
      </w:pPr>
      <w:r>
        <w:t xml:space="preserve">6.5 Product Analysis</w:t>
      </w:r>
    </w:p>
    <w:p>
      <w:pPr>
        <w:spacing w:after="160"/>
      </w:pPr>
      <w:r>
        <w:t xml:space="preserve">Best-performing product by sales: Canon imageCLASS 2200 Advanced Copier ($61,600 in sales, $25,200 profit, across just 20 units — an exceptional per-unit value item). Top customer for this product alone was a major contributor to overall Technology revenue. Most sold product (by unit volume) at the sub-category level is Binders, as noted above. Worst-performing products tend to cluster in Bookcases and Supplies, consistent with the sub-category margin findings.</w:t>
      </w:r>
    </w:p>
    <w:p>
      <w:pPr>
        <w:pStyle w:val="Heading2"/>
      </w:pPr>
      <w:r>
        <w:t xml:space="preserve">6.6 Customer Analysis</w:t>
      </w:r>
    </w:p>
    <w:p>
      <w:pPr>
        <w:spacing w:after="160"/>
      </w:pPr>
      <w:r>
        <w:t xml:space="preserve">Top customer by sales: Sean Miller ($25,043 across 5 orders — an unusually high per-order value of over $5,000/order, again likely large equipment purchases). With 793 unique customers and 5,009 orders, the average customer generates roughly $2,896 in lifetime sales across ~6.3 orders. This is a healthy, broad customer base rather than one dominated by a handful of whales — no single customer exceeds 1.1% of total company sales.</w:t>
      </w:r>
    </w:p>
    <w:p>
      <w:pPr>
        <w:pStyle w:val="Heading2"/>
      </w:pPr>
      <w:r>
        <w:t xml:space="preserve">6.7 Regional Analysis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700"/>
        <w:gridCol w:w="1660"/>
      </w:tblGrid>
      <w:tr>
        <w:trPr>
          <w:tblHeader/>
        </w:trPr>
        <w:tc>
          <w:tcPr>
            <w:tcW w:type="dxa" w:w="20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Region</w:t>
            </w:r>
          </w:p>
        </w:tc>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Sales</w:t>
            </w:r>
          </w:p>
        </w:tc>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Profit</w:t>
            </w:r>
          </w:p>
        </w:tc>
        <w:tc>
          <w:tcPr>
            <w:tcW w:type="dxa" w:w="17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Margin %</w:t>
            </w:r>
          </w:p>
        </w:tc>
        <w:tc>
          <w:tcPr>
            <w:tcW w:type="dxa" w:w="16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Orders</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West</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$725,458</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$153,861</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21.2%</w:t>
            </w:r>
          </w:p>
        </w:tc>
        <w:tc>
          <w:tcPr>
            <w:tcW w:type="dxa" w:w="1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1,611</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East</w:t>
            </w:r>
          </w:p>
        </w:tc>
        <w:tc>
          <w:tcPr>
            <w:tcW w:type="dxa" w:w="1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$678,781</w:t>
            </w:r>
          </w:p>
        </w:tc>
        <w:tc>
          <w:tcPr>
            <w:tcW w:type="dxa" w:w="1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$190,705</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28.1%</w:t>
            </w:r>
          </w:p>
        </w:tc>
        <w:tc>
          <w:tcPr>
            <w:tcW w:type="dxa" w:w="1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1,401</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Central</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$501,240</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$152,337</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30.4%</w:t>
            </w:r>
          </w:p>
        </w:tc>
        <w:tc>
          <w:tcPr>
            <w:tcW w:type="dxa" w:w="1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1,175</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South</w:t>
            </w:r>
          </w:p>
        </w:tc>
        <w:tc>
          <w:tcPr>
            <w:tcW w:type="dxa" w:w="1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$391,722</w:t>
            </w:r>
          </w:p>
        </w:tc>
        <w:tc>
          <w:tcPr>
            <w:tcW w:type="dxa" w:w="1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$101,759</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26.0%</w:t>
            </w:r>
          </w:p>
        </w:tc>
        <w:tc>
          <w:tcPr>
            <w:tcW w:type="dxa" w:w="1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822</w:t>
            </w:r>
          </w:p>
        </w:tc>
      </w:tr>
    </w:tbl>
    <w:p>
      <w:pPr>
        <w:spacing w:after="160"/>
      </w:pPr>
      <w:r>
        <w:t xml:space="preserve">Best region by revenue: West ($725,458, 31.6% of total) — but it has the LOWEST margin (21.2%) of all four regions. Best region by margin: Central (30.4%) despite having the second-lowest revenue. Worst region overall: South, lowest on both revenue ($391,722) and a below-average margin (26.0%) — the clearest candidate for focused regional investment or review.</w:t>
      </w:r>
    </w:p>
    <w:p>
      <w:pPr>
        <w:pStyle w:val="Heading2"/>
      </w:pPr>
      <w:r>
        <w:t xml:space="preserve">6.8 State-Level Findings</w:t>
      </w:r>
    </w:p>
    <w:p>
      <w:pPr>
        <w:spacing w:after="160"/>
      </w:pPr>
      <w:r>
        <w:t xml:space="preserve">California leads in absolute sales ($457,688) but posts only an 18.3% margin — the second-lowest among major states, similar to the West region pattern above (high volume, lower margin, likely driven by heavier discounting in that market). New York is the strongest combination of scale and profitability ($310,876 sales at 27.1% margin). Wyoming stands out as an outlier: tiny revenue ($1,603) and the lowest margin of any state (6.3%) — too small a sample to draw a strategic conclusion, but worth a data-quality glance if it recurs in future periods.</w:t>
      </w:r>
    </w:p>
    <w:p>
      <w:pPr>
        <w:pStyle w:val="Heading2"/>
      </w:pPr>
      <w:r>
        <w:t xml:space="preserve">6.9 Customer Segment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Segment</w:t>
            </w:r>
          </w:p>
        </w:tc>
        <w:tc>
          <w:tcPr>
            <w:tcW w:type="dxa" w:w="23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Sales</w:t>
            </w:r>
          </w:p>
        </w:tc>
        <w:tc>
          <w:tcPr>
            <w:tcW w:type="dxa" w:w="23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Margin %</w:t>
            </w:r>
          </w:p>
        </w:tc>
        <w:tc>
          <w:tcPr>
            <w:tcW w:type="dxa" w:w="23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Orders</w:t>
            </w:r>
          </w:p>
        </w:tc>
      </w:tr>
      <w:tr>
        <w:tc>
          <w:tcPr>
            <w:tcW w:type="dxa" w:w="23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Consumer</w:t>
            </w:r>
          </w:p>
        </w:tc>
        <w:tc>
          <w:tcPr>
            <w:tcW w:type="dxa" w:w="23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$1,161,401</w:t>
            </w:r>
          </w:p>
        </w:tc>
        <w:tc>
          <w:tcPr>
            <w:tcW w:type="dxa" w:w="23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26.2%</w:t>
            </w:r>
          </w:p>
        </w:tc>
        <w:tc>
          <w:tcPr>
            <w:tcW w:type="dxa" w:w="23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2,586</w:t>
            </w:r>
          </w:p>
        </w:tc>
      </w:tr>
      <w:tr>
        <w:tc>
          <w:tcPr>
            <w:tcW w:type="dxa" w:w="23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Corporate</w:t>
            </w:r>
          </w:p>
        </w:tc>
        <w:tc>
          <w:tcPr>
            <w:tcW w:type="dxa" w:w="23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$706,146</w:t>
            </w:r>
          </w:p>
        </w:tc>
        <w:tc>
          <w:tcPr>
            <w:tcW w:type="dxa" w:w="23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25.7%</w:t>
            </w:r>
          </w:p>
        </w:tc>
        <w:tc>
          <w:tcPr>
            <w:tcW w:type="dxa" w:w="23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1,514</w:t>
            </w:r>
          </w:p>
        </w:tc>
      </w:tr>
      <w:tr>
        <w:tc>
          <w:tcPr>
            <w:tcW w:type="dxa" w:w="23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Home Office</w:t>
            </w:r>
          </w:p>
        </w:tc>
        <w:tc>
          <w:tcPr>
            <w:tcW w:type="dxa" w:w="23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$429,653</w:t>
            </w:r>
          </w:p>
        </w:tc>
        <w:tc>
          <w:tcPr>
            <w:tcW w:type="dxa" w:w="23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26.3%</w:t>
            </w:r>
          </w:p>
        </w:tc>
        <w:tc>
          <w:tcPr>
            <w:tcW w:type="dxa" w:w="23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909</w:t>
            </w:r>
          </w:p>
        </w:tc>
      </w:tr>
    </w:tbl>
    <w:p>
      <w:pPr>
        <w:spacing w:after="160"/>
      </w:pPr>
      <w:r>
        <w:t xml:space="preserve">All three segments perform remarkably similarly on margin (25.7%-26.3%) — segment is not a major driver of profitability differences in this dataset. Consumer is by far the largest segment by both revenue and order count, suggesting this retailer's core business is B2C-style individual purchasing rather than large corporate contracts.</w:t>
      </w:r>
    </w:p>
    <w:p>
      <w:pPr>
        <w:pStyle w:val="Heading2"/>
      </w:pPr>
      <w:r>
        <w:t xml:space="preserve">6.10 Time Analysis (reliability-adjusted — read this carefully)</w:t>
      </w:r>
    </w:p>
    <w:p>
      <w:pPr>
        <w:spacing w:after="200" w:before="100"/>
      </w:pPr>
      <w:r>
        <w:rPr>
          <w:i/>
          <w:iCs/>
          <w:color w:val="C0392B"/>
          <w:sz w:val="20"/>
          <w:szCs w:val="20"/>
        </w:rPr>
        <w:t xml:space="preserve">IMPORTANT: As established in Phase 2, 59.6% of rows have a corrupted Order Date. The figures below use ONLY the 4,042 rows (40.4% of data, 38.7% of total sales) with a genuine, trustworthy date. Including the corrupted rows would show a false $1.43M spike in January 2014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Year (reliable rows only)</w:t>
            </w:r>
          </w:p>
        </w:tc>
        <w:tc>
          <w:tcPr>
            <w:tcW w:type="dxa" w:w="23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Sales</w:t>
            </w:r>
          </w:p>
        </w:tc>
        <w:tc>
          <w:tcPr>
            <w:tcW w:type="dxa" w:w="23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Profit</w:t>
            </w:r>
          </w:p>
        </w:tc>
        <w:tc>
          <w:tcPr>
            <w:tcW w:type="dxa" w:w="23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Orders</w:t>
            </w:r>
          </w:p>
        </w:tc>
      </w:tr>
      <w:tr>
        <w:tc>
          <w:tcPr>
            <w:tcW w:type="dxa" w:w="23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2014</w:t>
            </w:r>
          </w:p>
        </w:tc>
        <w:tc>
          <w:tcPr>
            <w:tcW w:type="dxa" w:w="23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$164,213</w:t>
            </w:r>
          </w:p>
        </w:tc>
        <w:tc>
          <w:tcPr>
            <w:tcW w:type="dxa" w:w="23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$44,164</w:t>
            </w:r>
          </w:p>
        </w:tc>
        <w:tc>
          <w:tcPr>
            <w:tcW w:type="dxa" w:w="23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413</w:t>
            </w:r>
          </w:p>
        </w:tc>
      </w:tr>
      <w:tr>
        <w:tc>
          <w:tcPr>
            <w:tcW w:type="dxa" w:w="23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2015</w:t>
            </w:r>
          </w:p>
        </w:tc>
        <w:tc>
          <w:tcPr>
            <w:tcW w:type="dxa" w:w="23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$271,490</w:t>
            </w:r>
          </w:p>
        </w:tc>
        <w:tc>
          <w:tcPr>
            <w:tcW w:type="dxa" w:w="23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$72,410</w:t>
            </w:r>
          </w:p>
        </w:tc>
        <w:tc>
          <w:tcPr>
            <w:tcW w:type="dxa" w:w="234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531</w:t>
            </w:r>
          </w:p>
        </w:tc>
      </w:tr>
      <w:tr>
        <w:tc>
          <w:tcPr>
            <w:tcW w:type="dxa" w:w="23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2016</w:t>
            </w:r>
          </w:p>
        </w:tc>
        <w:tc>
          <w:tcPr>
            <w:tcW w:type="dxa" w:w="23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$273,307</w:t>
            </w:r>
          </w:p>
        </w:tc>
        <w:tc>
          <w:tcPr>
            <w:tcW w:type="dxa" w:w="23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$75,155</w:t>
            </w:r>
          </w:p>
        </w:tc>
        <w:tc>
          <w:tcPr>
            <w:tcW w:type="dxa" w:w="23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681</w:t>
            </w:r>
          </w:p>
        </w:tc>
      </w:tr>
    </w:tbl>
    <w:p>
      <w:pPr>
        <w:spacing w:after="160"/>
      </w:pPr>
      <w:r>
        <w:t xml:space="preserve">Within the reliable subset, sales grew year over year (2014 to 2016), consistent with healthy organic growth, though this is a partial view since most of each year's true data is hidden behind the date corruption. Monthly seasonality (reliable rows only) shows January and February as the strongest months and June as the weakest — a pattern broadly consistent with US retail's January clearance/replenishment cycle and a mid-year lull before back-to-school demand picks up in Q3.</w:t>
      </w:r>
    </w:p>
    <w:p>
      <w:pPr>
        <w:pStyle w:val="Heading3"/>
      </w:pPr>
      <w:r>
        <w:t xml:space="preserve">Common Mistakes</w:t>
      </w:r>
    </w:p>
    <w:p>
      <w:pPr>
        <w:pStyle w:val="ListParagraph"/>
        <w:numPr>
          <w:ilvl w:val="0"/>
          <w:numId w:val="2"/>
        </w:numPr>
        <w:spacing w:after="80"/>
      </w:pPr>
      <w:r>
        <w:t xml:space="preserve">Reporting the discount-band margin table without flagging the impossible 122.6% figure — this would actively mislead a pricing decision</w:t>
      </w:r>
    </w:p>
    <w:p>
      <w:pPr>
        <w:pStyle w:val="ListParagraph"/>
        <w:numPr>
          <w:ilvl w:val="0"/>
          <w:numId w:val="2"/>
        </w:numPr>
        <w:spacing w:after="80"/>
      </w:pPr>
      <w:r>
        <w:t xml:space="preserve">Building any month/year trend chart on the full, uncorrected Order Date column</w:t>
      </w:r>
    </w:p>
    <w:p>
      <w:pPr>
        <w:pStyle w:val="ListParagraph"/>
        <w:numPr>
          <w:ilvl w:val="0"/>
          <w:numId w:val="2"/>
        </w:numPr>
        <w:spacing w:after="80"/>
      </w:pPr>
      <w:r>
        <w:t xml:space="preserve">Drawing strategic conclusions from tiny-sample states like Wyoming without noting the sample size caveat</w:t>
      </w:r>
    </w:p>
    <w:p>
      <w:pPr>
        <w:pStyle w:val="Heading3"/>
      </w:pPr>
      <w:r>
        <w:t xml:space="preserve">Interview Relevance</w:t>
      </w:r>
    </w:p>
    <w:p>
      <w:pPr>
        <w:spacing w:after="160"/>
      </w:pPr>
      <w:r>
        <w:t xml:space="preserve">Being asked 'how would you present a trend when the underlying time data is unreliable' is a sophisticated, realistic interview question — and the correct answer is exactly what was done here: segment the reliable subset, clearly label what's excluded and why, and never silently smooth over a known data integrity problem.</w:t>
      </w:r>
    </w:p>
    <w:p>
      <w:pPr>
        <w:pStyle w:val="Heading1"/>
        <w:pageBreakBefore/>
      </w:pPr>
      <w:r>
        <w:t xml:space="preserve">PHASE 7 - ANALYST-LEVEL INSIGHTS</w:t>
      </w:r>
    </w:p>
    <w:p>
      <w:pPr>
        <w:spacing w:after="160"/>
      </w:pPr>
      <w:r>
        <w:t xml:space="preserve">This phase converts the EDA findings into the kind of structured reasoning a senior analyst presents to management — not just what happened, but why, what it costs the business, and what to do about it.</w:t>
      </w:r>
    </w:p>
    <w:p>
      <w:pPr>
        <w:pStyle w:val="Heading3"/>
      </w:pPr>
      <w:r>
        <w:t xml:space="preserve">7.1 Discounting Above 20% Is Actively Destroying Margin</w:t>
      </w:r>
    </w:p>
    <w:p>
      <w:pPr>
        <w:spacing w:after="40" w:before="120"/>
      </w:pPr>
      <w:r>
        <w:rPr>
          <w:b/>
          <w:bCs/>
          <w:color w:val="2E5C99"/>
        </w:rPr>
        <w:t xml:space="preserve">Observation</w:t>
      </w:r>
    </w:p>
    <w:p>
      <w:pPr>
        <w:spacing w:after="160"/>
      </w:pPr>
      <w:r>
        <w:t xml:space="preserve">Margin falls from 29.5% with no discount to just 16.1% at 1-20% discount, and the 21-40% band (18.0%) barely recovers. Only very deep discounting (41-60%) shows a margin rebound to 40.7%, and the 61-80% band's apparent 122.6% margin is a data-integrity artifact (see Phase 2), not real performance.</w:t>
      </w:r>
    </w:p>
    <w:p>
      <w:pPr>
        <w:spacing w:after="40" w:before="120"/>
      </w:pPr>
      <w:r>
        <w:rPr>
          <w:b/>
          <w:bCs/>
          <w:color w:val="2E5C99"/>
        </w:rPr>
        <w:t xml:space="preserve">Reason</w:t>
      </w:r>
    </w:p>
    <w:p>
      <w:pPr>
        <w:spacing w:after="160"/>
      </w:pPr>
      <w:r>
        <w:t xml:space="preserve">Sales teams or promotions are very likely applying mid-range discounts (1-40%) without a proportional increase in order volume or basket size large enough to offset the margin given away — the worst possible combination of discount levels.</w:t>
      </w:r>
    </w:p>
    <w:p>
      <w:pPr>
        <w:spacing w:after="40" w:before="120"/>
      </w:pPr>
      <w:r>
        <w:rPr>
          <w:b/>
          <w:bCs/>
          <w:color w:val="2E5C99"/>
        </w:rPr>
        <w:t xml:space="preserve">Business Impact</w:t>
      </w:r>
    </w:p>
    <w:p>
      <w:pPr>
        <w:spacing w:after="160"/>
      </w:pPr>
      <w:r>
        <w:t xml:space="preserve">On $846,522 of sales in the 1-20% band alone, a return to the no-discount margin rate (29.5% vs the actual 16.1%) would represent over $113,000 of foregone profit on this band alone — a material, recoverable amount.</w:t>
      </w:r>
    </w:p>
    <w:p>
      <w:pPr>
        <w:spacing w:after="40" w:before="120"/>
      </w:pPr>
      <w:r>
        <w:rPr>
          <w:b/>
          <w:bCs/>
          <w:color w:val="2E5C99"/>
        </w:rPr>
        <w:t xml:space="preserve">Recommendation</w:t>
      </w:r>
    </w:p>
    <w:p>
      <w:pPr>
        <w:spacing w:after="160"/>
      </w:pPr>
      <w:r>
        <w:t xml:space="preserve">Audit the business justification for every discount in the 1-40% range specifically. Reserve discounting for cases with clear, measurable volume payback (e.g. bulk/corporate orders), and investigate whether the 41-60% and 61-80% bands' Profit figures are even reliable before using them to justify deeper discounting.</w:t>
      </w:r>
    </w:p>
    <w:p>
      <w:pPr>
        <w:pStyle w:val="Heading3"/>
      </w:pPr>
      <w:r>
        <w:t xml:space="preserve">7.2 Office Supplies Is the Profit Engine, Not Technology</w:t>
      </w:r>
    </w:p>
    <w:p>
      <w:pPr>
        <w:spacing w:after="40" w:before="120"/>
      </w:pPr>
      <w:r>
        <w:rPr>
          <w:b/>
          <w:bCs/>
          <w:color w:val="2E5C99"/>
        </w:rPr>
        <w:t xml:space="preserve">Observation</w:t>
      </w:r>
    </w:p>
    <w:p>
      <w:pPr>
        <w:spacing w:after="160"/>
      </w:pPr>
      <w:r>
        <w:t xml:space="preserve">Office Supplies generates the LEAST revenue of the three categories ($719,047) but the MOST profit ($235,722, 32.8% margin) — driven by high-margin sub-categories like Binders (52.7%) and Labels (44.4%).</w:t>
      </w:r>
    </w:p>
    <w:p>
      <w:pPr>
        <w:spacing w:after="40" w:before="120"/>
      </w:pPr>
      <w:r>
        <w:rPr>
          <w:b/>
          <w:bCs/>
          <w:color w:val="2E5C99"/>
        </w:rPr>
        <w:t xml:space="preserve">Reason</w:t>
      </w:r>
    </w:p>
    <w:p>
      <w:pPr>
        <w:spacing w:after="160"/>
      </w:pPr>
      <w:r>
        <w:t xml:space="preserve">Office Supplies items are typically low-cost-to-source, high-frequency, low-discount-sensitivity purchases (paper, binders, labels) — the classic high-margin, low-ticket retail pattern, in contrast to Technology's high-ticket, lower-margin equipment sales.</w:t>
      </w:r>
    </w:p>
    <w:p>
      <w:pPr>
        <w:spacing w:after="40" w:before="120"/>
      </w:pPr>
      <w:r>
        <w:rPr>
          <w:b/>
          <w:bCs/>
          <w:color w:val="2E5C99"/>
        </w:rPr>
        <w:t xml:space="preserve">Business Impact</w:t>
      </w:r>
    </w:p>
    <w:p>
      <w:pPr>
        <w:spacing w:after="160"/>
      </w:pPr>
      <w:r>
        <w:t xml:space="preserve">If management is allocating marketing/inventory investment based on revenue alone, Technology would appear to be the priority — but profit-per-dollar-invested likely favors Office Supplies, especially Binders specifically.</w:t>
      </w:r>
    </w:p>
    <w:p>
      <w:pPr>
        <w:spacing w:after="40" w:before="120"/>
      </w:pPr>
      <w:r>
        <w:rPr>
          <w:b/>
          <w:bCs/>
          <w:color w:val="2E5C99"/>
        </w:rPr>
        <w:t xml:space="preserve">Recommendation</w:t>
      </w:r>
    </w:p>
    <w:p>
      <w:pPr>
        <w:spacing w:after="160"/>
      </w:pPr>
      <w:r>
        <w:t xml:space="preserve">Re-evaluate category investment priority using profit contribution, not just revenue. Specifically protect and grow the Binders and Labels sub-categories, which combine strong margin with healthy volume.</w:t>
      </w:r>
    </w:p>
    <w:p>
      <w:pPr>
        <w:pStyle w:val="Heading3"/>
      </w:pPr>
      <w:r>
        <w:t xml:space="preserve">7.3 Furniture Is the Weakest Category and Needs Review</w:t>
      </w:r>
    </w:p>
    <w:p>
      <w:pPr>
        <w:spacing w:after="40" w:before="120"/>
      </w:pPr>
      <w:r>
        <w:rPr>
          <w:b/>
          <w:bCs/>
          <w:color w:val="2E5C99"/>
        </w:rPr>
        <w:t xml:space="preserve">Observation</w:t>
      </w:r>
    </w:p>
    <w:p>
      <w:pPr>
        <w:spacing w:after="160"/>
      </w:pPr>
      <w:r>
        <w:t xml:space="preserve">Furniture has the second-highest revenue ($742,000) but the lowest category margin (18.9%), driven by Chairs (14.1% margin) and Storage (15.2% margin) — both high-revenue, low-margin sub-categories.</w:t>
      </w:r>
    </w:p>
    <w:p>
      <w:pPr>
        <w:spacing w:after="40" w:before="120"/>
      </w:pPr>
      <w:r>
        <w:rPr>
          <w:b/>
          <w:bCs/>
          <w:color w:val="2E5C99"/>
        </w:rPr>
        <w:t xml:space="preserve">Reason</w:t>
      </w:r>
    </w:p>
    <w:p>
      <w:pPr>
        <w:spacing w:after="160"/>
      </w:pPr>
      <w:r>
        <w:t xml:space="preserve">Furniture items (chairs, storage units) tend to have higher unit costs, more shipping/logistics overhead, and are more frequently part of larger discounted corporate/bulk orders, all of which compress margin relative to small office-supply items.</w:t>
      </w:r>
    </w:p>
    <w:p>
      <w:pPr>
        <w:spacing w:after="40" w:before="120"/>
      </w:pPr>
      <w:r>
        <w:rPr>
          <w:b/>
          <w:bCs/>
          <w:color w:val="2E5C99"/>
        </w:rPr>
        <w:t xml:space="preserve">Business Impact</w:t>
      </w:r>
    </w:p>
    <w:p>
      <w:pPr>
        <w:spacing w:after="160"/>
      </w:pPr>
      <w:r>
        <w:t xml:space="preserve">Furniture's $742,000 in sales is being converted to profit at roughly two-thirds the rate of Office Supplies. If Furniture's margin matched the company average (26.1%), it would generate an additional ~$53,000 in profit on the same revenue.</w:t>
      </w:r>
    </w:p>
    <w:p>
      <w:pPr>
        <w:spacing w:after="40" w:before="120"/>
      </w:pPr>
      <w:r>
        <w:rPr>
          <w:b/>
          <w:bCs/>
          <w:color w:val="2E5C99"/>
        </w:rPr>
        <w:t xml:space="preserve">Recommendation</w:t>
      </w:r>
    </w:p>
    <w:p>
      <w:pPr>
        <w:spacing w:after="160"/>
      </w:pPr>
      <w:r>
        <w:t xml:space="preserve">Review supplier costs and discount policy specifically for Chairs and Storage. Consider whether Furniture pricing/promotion strategy is being set using Technology or Office Supplies assumptions that don't fit its cost structure.</w:t>
      </w:r>
    </w:p>
    <w:p>
      <w:pPr>
        <w:pStyle w:val="Heading3"/>
      </w:pPr>
      <w:r>
        <w:t xml:space="preserve">7.4 The West Region's Revenue Leadership Masks a Margin Problem</w:t>
      </w:r>
    </w:p>
    <w:p>
      <w:pPr>
        <w:spacing w:after="40" w:before="120"/>
      </w:pPr>
      <w:r>
        <w:rPr>
          <w:b/>
          <w:bCs/>
          <w:color w:val="2E5C99"/>
        </w:rPr>
        <w:t xml:space="preserve">Observation</w:t>
      </w:r>
    </w:p>
    <w:p>
      <w:pPr>
        <w:spacing w:after="160"/>
      </w:pPr>
      <w:r>
        <w:t xml:space="preserve">West is the top region by revenue ($725,458, 31.6% of company sales) but has the LOWEST regional margin (21.2%), while Central generates 31% less revenue but the HIGHEST margin (30.4%).</w:t>
      </w:r>
    </w:p>
    <w:p>
      <w:pPr>
        <w:spacing w:after="40" w:before="120"/>
      </w:pPr>
      <w:r>
        <w:rPr>
          <w:b/>
          <w:bCs/>
          <w:color w:val="2E5C99"/>
        </w:rPr>
        <w:t xml:space="preserve">Reason</w:t>
      </w:r>
    </w:p>
    <w:p>
      <w:pPr>
        <w:spacing w:after="160"/>
      </w:pPr>
      <w:r>
        <w:t xml:space="preserve">California, the dominant state within West, shows the same pattern at the state level (largest revenue, near-bottom margin) — suggesting West/California pricing or discount practices are systematically more aggressive than other regions.</w:t>
      </w:r>
    </w:p>
    <w:p>
      <w:pPr>
        <w:spacing w:after="40" w:before="120"/>
      </w:pPr>
      <w:r>
        <w:rPr>
          <w:b/>
          <w:bCs/>
          <w:color w:val="2E5C99"/>
        </w:rPr>
        <w:t xml:space="preserve">Business Impact</w:t>
      </w:r>
    </w:p>
    <w:p>
      <w:pPr>
        <w:spacing w:after="160"/>
      </w:pPr>
      <w:r>
        <w:t xml:space="preserve">If West's margin matched Central's (30.4% vs 21.2%), the same $725,458 in sales would generate roughly $67,000 more profit — the single largest regional profit-improvement opportunity in the dataset.</w:t>
      </w:r>
    </w:p>
    <w:p>
      <w:pPr>
        <w:spacing w:after="40" w:before="120"/>
      </w:pPr>
      <w:r>
        <w:rPr>
          <w:b/>
          <w:bCs/>
          <w:color w:val="2E5C99"/>
        </w:rPr>
        <w:t xml:space="preserve">Recommendation</w:t>
      </w:r>
    </w:p>
    <w:p>
      <w:pPr>
        <w:spacing w:after="160"/>
      </w:pPr>
      <w:r>
        <w:t xml:space="preserve">Investigate West region (especially California) discount approval practices and sales incentive structures. A region-specific pricing review is likely to surface more savings than a company-wide policy change.</w:t>
      </w:r>
    </w:p>
    <w:p>
      <w:pPr>
        <w:pStyle w:val="Heading3"/>
      </w:pPr>
      <w:r>
        <w:t xml:space="preserve">7.5 Customer Base Is Healthy and Broad, Not Concentration-Risky</w:t>
      </w:r>
    </w:p>
    <w:p>
      <w:pPr>
        <w:spacing w:after="40" w:before="120"/>
      </w:pPr>
      <w:r>
        <w:rPr>
          <w:b/>
          <w:bCs/>
          <w:color w:val="2E5C99"/>
        </w:rPr>
        <w:t xml:space="preserve">Observation</w:t>
      </w:r>
    </w:p>
    <w:p>
      <w:pPr>
        <w:spacing w:after="160"/>
      </w:pPr>
      <w:r>
        <w:t xml:space="preserve">793 unique customers generated 5,009 orders (6.3 orders/customer on average), and even the top customer (Sean Miller, $25,043) represents only about 1.1% of total company sales.</w:t>
      </w:r>
    </w:p>
    <w:p>
      <w:pPr>
        <w:spacing w:after="40" w:before="120"/>
      </w:pPr>
      <w:r>
        <w:rPr>
          <w:b/>
          <w:bCs/>
          <w:color w:val="2E5C99"/>
        </w:rPr>
        <w:t xml:space="preserve">Reason</w:t>
      </w:r>
    </w:p>
    <w:p>
      <w:pPr>
        <w:spacing w:after="160"/>
      </w:pPr>
      <w:r>
        <w:t xml:space="preserve">This pattern is consistent with a recurring-purchase B2C/SMB retail model rather than a business reliant on a small number of large accounts.</w:t>
      </w:r>
    </w:p>
    <w:p>
      <w:pPr>
        <w:spacing w:after="40" w:before="120"/>
      </w:pPr>
      <w:r>
        <w:rPr>
          <w:b/>
          <w:bCs/>
          <w:color w:val="2E5C99"/>
        </w:rPr>
        <w:t xml:space="preserve">Business Impact</w:t>
      </w:r>
    </w:p>
    <w:p>
      <w:pPr>
        <w:spacing w:after="160"/>
      </w:pPr>
      <w:r>
        <w:t xml:space="preserve">Low customer concentration is a genuine strength: the business is not exposed to material revenue risk if any single customer churns — worth stating explicitly in a board-level risk discussion.</w:t>
      </w:r>
    </w:p>
    <w:p>
      <w:pPr>
        <w:spacing w:after="40" w:before="120"/>
      </w:pPr>
      <w:r>
        <w:rPr>
          <w:b/>
          <w:bCs/>
          <w:color w:val="2E5C99"/>
        </w:rPr>
        <w:t xml:space="preserve">Recommendation</w:t>
      </w:r>
    </w:p>
    <w:p>
      <w:pPr>
        <w:spacing w:after="160"/>
      </w:pPr>
      <w:r>
        <w:t xml:space="preserve">Rather than defensive customer-retention spend on top accounts, prioritize broad-based loyalty/repeat-purchase programs that reinforce the existing healthy repeat-order pattern across the full customer base.</w:t>
      </w:r>
    </w:p>
    <w:p>
      <w:pPr>
        <w:pStyle w:val="Heading3"/>
      </w:pPr>
      <w:r>
        <w:t xml:space="preserve">7.6 Time-Series Trends Cannot Be Trusted Without the Phase 2 Fix</w:t>
      </w:r>
    </w:p>
    <w:p>
      <w:pPr>
        <w:spacing w:after="40" w:before="120"/>
      </w:pPr>
      <w:r>
        <w:rPr>
          <w:b/>
          <w:bCs/>
          <w:color w:val="2E5C99"/>
        </w:rPr>
        <w:t xml:space="preserve">Observation</w:t>
      </w:r>
    </w:p>
    <w:p>
      <w:pPr>
        <w:spacing w:after="160"/>
      </w:pPr>
      <w:r>
        <w:t xml:space="preserve">59.6% of all Order Date values were corrupted to a single fixed string in the source file. Any monthly/seasonal chart built on the raw data would show an impossible $1.43M spike in a single month.</w:t>
      </w:r>
    </w:p>
    <w:p>
      <w:pPr>
        <w:spacing w:after="40" w:before="120"/>
      </w:pPr>
      <w:r>
        <w:rPr>
          <w:b/>
          <w:bCs/>
          <w:color w:val="2E5C99"/>
        </w:rPr>
        <w:t xml:space="preserve">Reason</w:t>
      </w:r>
    </w:p>
    <w:p>
      <w:pPr>
        <w:spacing w:after="160"/>
      </w:pPr>
      <w:r>
        <w:t xml:space="preserve">This is very likely a source-system export or ETL error — a default/placeholder date value that overwrote real dates for the majority of records, probably during a prior data extraction step.</w:t>
      </w:r>
    </w:p>
    <w:p>
      <w:pPr>
        <w:spacing w:after="40" w:before="120"/>
      </w:pPr>
      <w:r>
        <w:rPr>
          <w:b/>
          <w:bCs/>
          <w:color w:val="2E5C99"/>
        </w:rPr>
        <w:t xml:space="preserve">Business Impact</w:t>
      </w:r>
    </w:p>
    <w:p>
      <w:pPr>
        <w:spacing w:after="160"/>
      </w:pPr>
      <w:r>
        <w:t xml:space="preserve">Had this gone undetected, any seasonality-based decision (staffing, inventory timing, marketing calendar) built on the raw trend would have been based on a statistical artifact, not real customer behavior — a genuinely costly mistake at the planning stage.</w:t>
      </w:r>
    </w:p>
    <w:p>
      <w:pPr>
        <w:spacing w:after="40" w:before="120"/>
      </w:pPr>
      <w:r>
        <w:rPr>
          <w:b/>
          <w:bCs/>
          <w:color w:val="2E5C99"/>
        </w:rPr>
        <w:t xml:space="preserve">Recommendation</w:t>
      </w:r>
    </w:p>
    <w:p>
      <w:pPr>
        <w:spacing w:after="160"/>
      </w:pPr>
      <w:r>
        <w:t xml:space="preserve">Treat this as a data-pipeline defect to fix at the source, not just a one-time cleaning task. Request the original, uncorrupted Order Date values before using any time-based KPI in a live business decision.</w:t>
      </w:r>
    </w:p>
    <w:p>
      <w:pPr>
        <w:pStyle w:val="Heading3"/>
      </w:pPr>
      <w:r>
        <w:t xml:space="preserve">Analyst Mindset</w:t>
      </w:r>
    </w:p>
    <w:p>
      <w:pPr>
        <w:spacing w:after="160"/>
      </w:pPr>
      <w:r>
        <w:t xml:space="preserve">Every insight above pairs a number with a reason and a recommendation — a chart alone never tells management what to do. The discipline of always finishing with 'and here's the specific action' is what separates a reporting analyst from a decision-support analyst.</w:t>
      </w:r>
    </w:p>
    <w:p>
      <w:pPr>
        <w:pStyle w:val="Heading1"/>
        <w:pageBreakBefore/>
      </w:pPr>
      <w:r>
        <w:t xml:space="preserve">PHASE 8 - VISUALIZATION PLAN</w:t>
      </w:r>
    </w:p>
    <w:p>
      <w:pPr>
        <w:spacing w:after="160"/>
      </w:pPr>
      <w:r>
        <w:t xml:space="preserve">Each visual below is chosen because of a specific finding from Phases 6-7, not as a generic 'every dashboard needs a pie chart' default.</w:t>
      </w:r>
    </w:p>
    <w:p>
      <w:pPr>
        <w:pStyle w:val="Heading2"/>
      </w:pPr>
      <w:r>
        <w:t xml:space="preserve">8.1 KPI Cards (8 cards)</w:t>
      </w:r>
    </w:p>
    <w:p>
      <w:pPr>
        <w:spacing w:after="160"/>
      </w:pPr>
      <w:r>
        <w:t xml:space="preserve">Why: numbers like Total Sales need zero interpretation effort — a card is the fastest possible read. What they communicate: the company's current scale and health at a glance. How to build: merge 2x1 cells, large bold number (18-24pt), small grey label above, light-blue fill, no border clutter. Already implemented in 4_KPI_Dashboard, rows 5-9.</w:t>
      </w:r>
    </w:p>
    <w:p>
      <w:pPr>
        <w:pStyle w:val="Heading2"/>
      </w:pPr>
      <w:r>
        <w:t xml:space="preserve">8.2 Bar Chart: Sales &amp; Profit by Category</w:t>
      </w:r>
    </w:p>
    <w:p>
      <w:pPr>
        <w:spacing w:after="160"/>
      </w:pPr>
      <w:r>
        <w:t xml:space="preserve">Why: bar charts are the best choice for comparing a small number of discrete categories (3 here) on a single metric — better than a pie chart because it also supports an easy secondary Profit bar for comparison. What it communicates: Technology leads on revenue but Office Supplies leads on profit — visually impossible to miss when bars are side-by-side. How to build: select the Category/Sales/Profit summary table -&gt; Insert -&gt; Clustered Column Chart -&gt; set Sales and Profit as two series.</w:t>
      </w:r>
    </w:p>
    <w:p>
      <w:pPr>
        <w:pStyle w:val="Heading2"/>
      </w:pPr>
      <w:r>
        <w:t xml:space="preserve">8.3 Pie/Donut Chart: Sales Share by Region</w:t>
      </w:r>
    </w:p>
    <w:p>
      <w:pPr>
        <w:spacing w:after="160"/>
      </w:pPr>
      <w:r>
        <w:t xml:space="preserve">Why: a pie chart is justified here specifically because there are only 4 categories and the question is 'what % of the whole does each region represent' — the one scenario pie charts genuinely do well. What it communicates: West's revenue dominance (31.6% of total). How to build: select Region/Sales table -&gt; Insert -&gt; Pie Chart -&gt; add Data Labels showing Percentage.</w:t>
      </w:r>
    </w:p>
    <w:p>
      <w:pPr>
        <w:pStyle w:val="Heading2"/>
      </w:pPr>
      <w:r>
        <w:t xml:space="preserve">8.4 Line Chart: Monthly Seasonality (Reliable Dates Only)</w:t>
      </w:r>
    </w:p>
    <w:p>
      <w:pPr>
        <w:spacing w:after="160"/>
      </w:pPr>
      <w:r>
        <w:t xml:space="preserve">Why: line charts are the correct choice for any trend over a continuous time axis. What it communicates: the Jan/Feb peak and June trough pattern. CRITICAL: this chart must be built only from the reliability-flagged subset (Date_Reconstructed_Flag = NO), or it will show a false January spike. How to build: filter CleanData by the flag first, then build a Line Chart from the resulting Month/Sales pivot.</w:t>
      </w:r>
    </w:p>
    <w:p>
      <w:pPr>
        <w:pStyle w:val="Heading2"/>
      </w:pPr>
      <w:r>
        <w:t xml:space="preserve">8.5 Horizontal Bar: Discount Band vs Profit Margin</w:t>
      </w:r>
    </w:p>
    <w:p>
      <w:pPr>
        <w:spacing w:after="160"/>
      </w:pPr>
      <w:r>
        <w:t xml:space="preserve">Why: this is the single most important chart in the whole project — it visualizes Insight 7.1 directly. A horizontal bar makes the 5 discount-band labels easy to read fully. What it communicates: margin collapses at 1-40% discount and the 61-80% band is flagged as a data anomaly, not a real high-margin pattern, via a red 'data anomaly' annotation on that single bar. How to build: pivot table of Discount Band -&gt; Margin%, Insert -&gt; Bar Chart (not Column), add a text box annotation on the anomalous bar.</w:t>
      </w:r>
    </w:p>
    <w:p>
      <w:pPr>
        <w:pStyle w:val="Heading2"/>
      </w:pPr>
      <w:r>
        <w:t xml:space="preserve">8.6 Table: Top 10 Products / Top 10 Customers</w:t>
      </w:r>
    </w:p>
    <w:p>
      <w:pPr>
        <w:spacing w:after="160"/>
      </w:pPr>
      <w:r>
        <w:t xml:space="preserve">Why: ranked lists with multiple attributes (Sales, Profit, Qty) are read better as a table than forced into a chart — charts are for patterns, tables are for specific lookups. What it communicates: exactly who/what drives the business at the most granular useful level. How to build: already implemented in 5_EDA_Summary as formatted Excel Tables with banded rows.</w:t>
      </w:r>
    </w:p>
    <w:p>
      <w:pPr>
        <w:pStyle w:val="Heading2"/>
      </w:pPr>
      <w:r>
        <w:t xml:space="preserve">8.7 Heat Table: Sub-Category Margin (conditional formatting, no chart needed)</w:t>
      </w:r>
    </w:p>
    <w:p>
      <w:pPr>
        <w:spacing w:after="160"/>
      </w:pPr>
      <w:r>
        <w:t xml:space="preserve">Why: with 17 sub-categories, a chart gets cluttered — a color-scaled table lets you scan all 17 at once and instantly spot Binders (green, high) vs Supplies (red, low). What it communicates: which of the 17 product lines deserve investment vs review. How to build: Sub-Category/Margin% table -&gt; Home -&gt; Conditional Formatting -&gt; Color Scales -&gt; Green-Yellow-Red.</w:t>
      </w:r>
    </w:p>
    <w:p>
      <w:pPr>
        <w:pStyle w:val="Heading3"/>
      </w:pPr>
      <w:r>
        <w:t xml:space="preserve">Why NOT a 3D chart, radar chart, or stacked-100% chart</w:t>
      </w:r>
    </w:p>
    <w:p>
      <w:pPr>
        <w:spacing w:after="160"/>
      </w:pPr>
      <w:r>
        <w:t xml:space="preserve">3D charts distort the visual comparison of bar heights (a real perceptual bias, not just a style preference) and were deliberately avoided. Radar charts are unfamiliar to most business audiences and were skipped in favor of simpler bar/line charts that any manager can read in 2 seconds.</w:t>
      </w:r>
    </w:p>
    <w:p>
      <w:pPr>
        <w:pStyle w:val="Heading3"/>
      </w:pPr>
      <w:r>
        <w:t xml:space="preserve">Common Mistakes</w:t>
      </w:r>
    </w:p>
    <w:p>
      <w:pPr>
        <w:pStyle w:val="ListParagraph"/>
        <w:numPr>
          <w:ilvl w:val="0"/>
          <w:numId w:val="2"/>
        </w:numPr>
        <w:spacing w:after="80"/>
      </w:pPr>
      <w:r>
        <w:t xml:space="preserve">Using a pie chart for the 17-sub-category breakdown (too many slices to distinguish by color/angle)</w:t>
      </w:r>
    </w:p>
    <w:p>
      <w:pPr>
        <w:pStyle w:val="ListParagraph"/>
        <w:numPr>
          <w:ilvl w:val="0"/>
          <w:numId w:val="2"/>
        </w:numPr>
        <w:spacing w:after="80"/>
      </w:pPr>
      <w:r>
        <w:t xml:space="preserve">Building the seasonality line chart before excluding the corrupted dates</w:t>
      </w:r>
    </w:p>
    <w:p>
      <w:pPr>
        <w:pStyle w:val="ListParagraph"/>
        <w:numPr>
          <w:ilvl w:val="0"/>
          <w:numId w:val="2"/>
        </w:numPr>
        <w:spacing w:after="80"/>
      </w:pPr>
      <w:r>
        <w:t xml:space="preserve">Defaulting to a chart when a sorted table actually communicates the ranking better (Top 10 Products)</w:t>
      </w:r>
    </w:p>
    <w:p>
      <w:pPr>
        <w:pStyle w:val="Heading1"/>
        <w:pageBreakBefore/>
      </w:pPr>
      <w:r>
        <w:t xml:space="preserve">PHASE 9 - PROFESSIONAL DASHBOARD</w:t>
      </w:r>
    </w:p>
    <w:p>
      <w:pPr>
        <w:spacing w:after="160"/>
      </w:pPr>
      <w:r>
        <w:t xml:space="preserve">The dashboard layout below is exactly what is implemented in the 4_KPI_Dashboard sheet of the delivered workbook (plus the recommended slicer additions noted below for the interactive version).</w:t>
      </w:r>
    </w:p>
    <w:p>
      <w:pPr>
        <w:pStyle w:val="Heading2"/>
      </w:pPr>
      <w:r>
        <w:t xml:space="preserve">9.1 Wireframe / Mockup Layout (text representation)</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RETAIL SALES ANALYSIS - KPI DASHBOARD                    [Year] [Region] [Cat]|</w:t>
      </w:r>
    </w:p>
    <w:p>
      <w:pPr>
        <w:spacing w:after="0"/>
      </w:pPr>
      <w:r>
        <w:rPr>
          <w:rFonts w:ascii="Consolas" w:cs="Consolas" w:eastAsia="Consolas" w:hAnsi="Consolas"/>
          <w:sz w:val="16"/>
          <w:szCs w:val="16"/>
        </w:rPr>
        <w:t xml:space="preserve">|  Sample Superstore | Last refreshed: live formulas              &lt;- SLICERS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TOTAL SALES   |  TOTAL PROFIT  |  TOTAL ORDERS  | TOTAL UNITS SOLD            |</w:t>
      </w:r>
    </w:p>
    <w:p>
      <w:pPr>
        <w:spacing w:after="0"/>
      </w:pPr>
      <w:r>
        <w:rPr>
          <w:rFonts w:ascii="Consolas" w:cs="Consolas" w:eastAsia="Consolas" w:hAnsi="Consolas"/>
          <w:sz w:val="16"/>
          <w:szCs w:val="16"/>
        </w:rPr>
        <w:t xml:space="preserve">|  $2,297,201    |   $598,662     |    5,009       |      37,873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AVG ORDER VAL |  PROFIT MARGIN |  AVG DISCOUNT  | UNIQUE CUSTOMERS            |</w:t>
      </w:r>
    </w:p>
    <w:p>
      <w:pPr>
        <w:spacing w:after="0"/>
      </w:pPr>
      <w:r>
        <w:rPr>
          <w:rFonts w:ascii="Consolas" w:cs="Consolas" w:eastAsia="Consolas" w:hAnsi="Consolas"/>
          <w:sz w:val="16"/>
          <w:szCs w:val="16"/>
        </w:rPr>
        <w:t xml:space="preserve">|    $458.61     |    26.1%       |    15.6%       |       793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SALES &amp; PROFIT BY CATEGORY        |  SALES &amp; PROFIT BY REGION                 |</w:t>
      </w:r>
    </w:p>
    <w:p>
      <w:pPr>
        <w:spacing w:after="0"/>
      </w:pPr>
      <w:r>
        <w:rPr>
          <w:rFonts w:ascii="Consolas" w:cs="Consolas" w:eastAsia="Consolas" w:hAnsi="Consolas"/>
          <w:sz w:val="16"/>
          <w:szCs w:val="16"/>
        </w:rPr>
        <w:t xml:space="preserve">|  (table, 3 rows)                   |  (table, 4 rows)                         |</w:t>
      </w:r>
    </w:p>
    <w:p>
      <w:pPr>
        <w:spacing w:after="0"/>
      </w:pPr>
      <w:r>
        <w:rPr>
          <w:rFonts w:ascii="Consolas" w:cs="Consolas" w:eastAsia="Consolas" w:hAnsi="Consolas"/>
          <w:sz w:val="16"/>
          <w:szCs w:val="16"/>
        </w:rPr>
        <w:t xml:space="preserve">|  + Bar chart below                 |  + Pie chart below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YEARLY SALES TREND (reliable-date  |  DISCOUNT BAND vs MARGIN                  |</w:t>
      </w:r>
    </w:p>
    <w:p>
      <w:pPr>
        <w:spacing w:after="0"/>
      </w:pPr>
      <w:r>
        <w:rPr>
          <w:rFonts w:ascii="Consolas" w:cs="Consolas" w:eastAsia="Consolas" w:hAnsi="Consolas"/>
          <w:sz w:val="16"/>
          <w:szCs w:val="16"/>
        </w:rPr>
        <w:t xml:space="preserve">|  subset, clearly labeled)           |  (anomaly flagged in red)                 |</w:t>
      </w:r>
    </w:p>
    <w:p>
      <w:pPr>
        <w:spacing w:after="0"/>
      </w:pPr>
      <w:r>
        <w:rPr>
          <w:rFonts w:ascii="Consolas" w:cs="Consolas" w:eastAsia="Consolas" w:hAnsi="Consolas"/>
          <w:sz w:val="16"/>
          <w:szCs w:val="16"/>
        </w:rPr>
        <w:t xml:space="preserve">|  + Line chart below                 |  + Horizontal bar chart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TOP 10 PRODUCTS (table)            |  TOP 10 CUSTOMERS (table)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Footnote: data quality caveats (corrupted dates, discount anomaly) always      |</w:t>
      </w:r>
    </w:p>
    <w:p>
      <w:pPr>
        <w:spacing w:after="0"/>
      </w:pPr>
      <w:r>
        <w:rPr>
          <w:rFonts w:ascii="Consolas" w:cs="Consolas" w:eastAsia="Consolas" w:hAnsi="Consolas"/>
          <w:sz w:val="16"/>
          <w:szCs w:val="16"/>
        </w:rPr>
        <w:t xml:space="preserve">|  visible at the bottom, never hidden                                            |</w:t>
      </w:r>
    </w:p>
    <w:p>
      <w:pPr>
        <w:spacing w:after="0"/>
      </w:pPr>
      <w:r>
        <w:rPr>
          <w:rFonts w:ascii="Consolas" w:cs="Consolas" w:eastAsia="Consolas" w:hAnsi="Consolas"/>
          <w:sz w:val="16"/>
          <w:szCs w:val="16"/>
        </w:rPr>
        <w:t xml:space="preserve">+--------------------------------------------------------------------------------+</w:t>
      </w:r>
    </w:p>
    <w:p>
      <w:pPr>
        <w:spacing w:after="200"/>
      </w:pPr>
    </w:p>
    <w:p>
      <w:pPr>
        <w:pStyle w:val="Heading2"/>
      </w:pPr>
      <w:r>
        <w:t xml:space="preserve">9.2 Exact Placement Logic</w:t>
      </w:r>
    </w:p>
    <w:p>
      <w:pPr>
        <w:pStyle w:val="ListParagraph"/>
        <w:numPr>
          <w:ilvl w:val="0"/>
          <w:numId w:val="2"/>
        </w:numPr>
        <w:spacing w:after="80"/>
      </w:pPr>
      <w:r>
        <w:t xml:space="preserve">Top band = KPI cards: placed first because executives scan top-to-bottom, top-left first (confirmed eye-tracking pattern in dashboard design research) — the most important numbers go where eyes land first</w:t>
      </w:r>
    </w:p>
    <w:p>
      <w:pPr>
        <w:pStyle w:val="ListParagraph"/>
        <w:numPr>
          <w:ilvl w:val="0"/>
          <w:numId w:val="2"/>
        </w:numPr>
        <w:spacing w:after="80"/>
      </w:pPr>
      <w:r>
        <w:t xml:space="preserve">Filters/Slicers: top-right, always visible without scrolling, because they control everything below them — placing them mid-page would mean re-discovering them after already reading half the dashboard</w:t>
      </w:r>
    </w:p>
    <w:p>
      <w:pPr>
        <w:pStyle w:val="ListParagraph"/>
        <w:numPr>
          <w:ilvl w:val="0"/>
          <w:numId w:val="2"/>
        </w:numPr>
        <w:spacing w:after="80"/>
      </w:pPr>
      <w:r>
        <w:t xml:space="preserve">Category and Region side-by-side: these answer the same TYPE of question ('which group performs best') so placing them adjacently lets the eye compare directly</w:t>
      </w:r>
    </w:p>
    <w:p>
      <w:pPr>
        <w:pStyle w:val="ListParagraph"/>
        <w:numPr>
          <w:ilvl w:val="0"/>
          <w:numId w:val="2"/>
        </w:numPr>
        <w:spacing w:after="80"/>
      </w:pPr>
      <w:r>
        <w:t xml:space="preserve">Yearly Trend and Discount-Band charts in the second row: these are the two most 'investigate this' findings (data reliability and margin erosion), placed prominently rather than buried at the bottom</w:t>
      </w:r>
    </w:p>
    <w:p>
      <w:pPr>
        <w:pStyle w:val="ListParagraph"/>
        <w:numPr>
          <w:ilvl w:val="0"/>
          <w:numId w:val="2"/>
        </w:numPr>
        <w:spacing w:after="80"/>
      </w:pPr>
      <w:r>
        <w:t xml:space="preserve">Top Products/Customers tables last: these are lookup/reference tables, useful but not the primary insight surface, so they sit below the analytical charts</w:t>
      </w:r>
    </w:p>
    <w:p>
      <w:pPr>
        <w:pStyle w:val="ListParagraph"/>
        <w:numPr>
          <w:ilvl w:val="0"/>
          <w:numId w:val="2"/>
        </w:numPr>
        <w:spacing w:after="80"/>
      </w:pPr>
      <w:r>
        <w:t xml:space="preserve">Data-quality footnote pinned at the bottom of every relevant view: never let a viewer trust a number without also seeing the caveat that applies to it</w:t>
      </w:r>
    </w:p>
    <w:p>
      <w:pPr>
        <w:pStyle w:val="Heading2"/>
      </w:pPr>
      <w:r>
        <w:t xml:space="preserve">9.3 Color Scheme (consistent with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Element</w:t>
            </w:r>
          </w:p>
        </w:tc>
        <w:tc>
          <w:tcPr>
            <w:tcW w:type="dxa" w:w="468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9"/>
                <w:szCs w:val="19"/>
              </w:rPr>
              <w:t xml:space="preserve">Color</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Dashboard title bar</w:t>
            </w:r>
          </w:p>
        </w:tc>
        <w:tc>
          <w:tcPr>
            <w:tcW w:type="dxa" w:w="46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Navy Blue (#1F3864)</w:t>
            </w:r>
          </w:p>
        </w:tc>
      </w:tr>
      <w:tr>
        <w:tc>
          <w:tcPr>
            <w:tcW w:type="dxa" w:w="46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Section headers</w:t>
            </w:r>
          </w:p>
        </w:tc>
        <w:tc>
          <w:tcPr>
            <w:tcW w:type="dxa" w:w="46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Medium Blue (#2E5C99)</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KPI card background</w:t>
            </w:r>
          </w:p>
        </w:tc>
        <w:tc>
          <w:tcPr>
            <w:tcW w:type="dxa" w:w="46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Light Blue (#D9E2F3)</w:t>
            </w:r>
          </w:p>
        </w:tc>
      </w:tr>
      <w:tr>
        <w:tc>
          <w:tcPr>
            <w:tcW w:type="dxa" w:w="46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Positive/growth indicators</w:t>
            </w:r>
          </w:p>
        </w:tc>
        <w:tc>
          <w:tcPr>
            <w:tcW w:type="dxa" w:w="46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r>
              <w:rPr>
                <w:sz w:val="19"/>
                <w:szCs w:val="19"/>
              </w:rPr>
              <w:t xml:space="preserve">Green (#1E8449)</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Data-quality warnings</w:t>
            </w:r>
          </w:p>
        </w:tc>
        <w:tc>
          <w:tcPr>
            <w:tcW w:type="dxa" w:w="46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sz w:val="19"/>
                <w:szCs w:val="19"/>
              </w:rPr>
              <w:t xml:space="preserve">Red (#C0392B)</w:t>
            </w:r>
          </w:p>
        </w:tc>
      </w:tr>
    </w:tbl>
    <w:p>
      <w:pPr>
        <w:pStyle w:val="Heading2"/>
      </w:pPr>
      <w:r>
        <w:t xml:space="preserve">9.4 Filters &amp; Slicers (recommended additions for the interactive version)</w:t>
      </w:r>
    </w:p>
    <w:p>
      <w:pPr>
        <w:pStyle w:val="ListParagraph"/>
        <w:numPr>
          <w:ilvl w:val="0"/>
          <w:numId w:val="2"/>
        </w:numPr>
        <w:spacing w:after="80"/>
      </w:pPr>
      <w:r>
        <w:t xml:space="preserve">Year slicer — lets a viewer isolate 2015-2017 only, sidestepping the 2014 date-corruption issue entirely for exploratory use</w:t>
      </w:r>
    </w:p>
    <w:p>
      <w:pPr>
        <w:pStyle w:val="ListParagraph"/>
        <w:numPr>
          <w:ilvl w:val="0"/>
          <w:numId w:val="2"/>
        </w:numPr>
        <w:spacing w:after="80"/>
      </w:pPr>
      <w:r>
        <w:t xml:space="preserve">Region slicer — directly supports the Insight 7.4 follow-up investigation (drill into West/California)</w:t>
      </w:r>
    </w:p>
    <w:p>
      <w:pPr>
        <w:pStyle w:val="ListParagraph"/>
        <w:numPr>
          <w:ilvl w:val="0"/>
          <w:numId w:val="2"/>
        </w:numPr>
        <w:spacing w:after="80"/>
      </w:pPr>
      <w:r>
        <w:t xml:space="preserve">Category slicer — supports comparing Office Supplies' margin strength against Furniture's weakness side by side</w:t>
      </w:r>
    </w:p>
    <w:p>
      <w:pPr>
        <w:pStyle w:val="ListParagraph"/>
        <w:numPr>
          <w:ilvl w:val="0"/>
          <w:numId w:val="2"/>
        </w:numPr>
        <w:spacing w:after="80"/>
      </w:pPr>
      <w:r>
        <w:t xml:space="preserve">To build: select the CleanData table -&gt; Insert -&gt; Slicer -&gt; choose Order Year, Region, Category -&gt; connect each slicer to all 4_KPI_Dashboard PivotTables via Report Connections</w:t>
      </w:r>
    </w:p>
    <w:p>
      <w:pPr>
        <w:pStyle w:val="Heading2"/>
      </w:pPr>
      <w:r>
        <w:t xml:space="preserve">9.5 User Experience Rationale</w:t>
      </w:r>
    </w:p>
    <w:p>
      <w:pPr>
        <w:spacing w:after="160"/>
      </w:pPr>
      <w:r>
        <w:t xml:space="preserve">Every placement decision above answers one question: 'what would a busy VP need to see in the first 10 seconds, and what would an analyst need to dig into in the next 2 minutes?' The KPI band serves the first group; the charts and tables below serve the second. Nothing on this dashboard requires horizontal scrolling to understand the headline numbers.</w:t>
      </w:r>
    </w:p>
    <w:p>
      <w:pPr>
        <w:pStyle w:val="Heading3"/>
      </w:pPr>
      <w:r>
        <w:t xml:space="preserve">Common Mistakes</w:t>
      </w:r>
    </w:p>
    <w:p>
      <w:pPr>
        <w:pStyle w:val="ListParagraph"/>
        <w:numPr>
          <w:ilvl w:val="0"/>
          <w:numId w:val="2"/>
        </w:numPr>
        <w:spacing w:after="80"/>
      </w:pPr>
      <w:r>
        <w:t xml:space="preserve">Burying the data-quality caveats in a separate tab nobody opens, instead of keeping them visible on the dashboard itself</w:t>
      </w:r>
    </w:p>
    <w:p>
      <w:pPr>
        <w:pStyle w:val="ListParagraph"/>
        <w:numPr>
          <w:ilvl w:val="0"/>
          <w:numId w:val="2"/>
        </w:numPr>
        <w:spacing w:after="80"/>
      </w:pPr>
      <w:r>
        <w:t xml:space="preserve">Placing slicers in the middle of the dashboard, forcing a scroll-up to find them again after first use</w:t>
      </w:r>
    </w:p>
    <w:p>
      <w:pPr>
        <w:pStyle w:val="ListParagraph"/>
        <w:numPr>
          <w:ilvl w:val="0"/>
          <w:numId w:val="2"/>
        </w:numPr>
        <w:spacing w:after="80"/>
      </w:pPr>
      <w:r>
        <w:t xml:space="preserve">Using more than 2-3 chart types on one screen, which fragments attention instead of guiding it</w:t>
      </w:r>
    </w:p>
    <w:p>
      <w:pPr>
        <w:pStyle w:val="Heading1"/>
        <w:pageBreakBefore/>
      </w:pPr>
      <w:r>
        <w:t xml:space="preserve">PHASE 10 - FINAL BUSINESS REPORT</w:t>
      </w:r>
    </w:p>
    <w:p>
      <w:pPr>
        <w:spacing w:after="160"/>
      </w:pPr>
      <w:r>
        <w:t xml:space="preserve">The following is written exactly as it would be presented to senior management, separate from the teaching commentary in the rest of this document.</w:t>
      </w:r>
    </w:p>
    <w:p>
      <w:pPr>
        <w:pStyle w:val="Heading2"/>
      </w:pPr>
      <w:r>
        <w:t xml:space="preserve">Executive Summary</w:t>
      </w:r>
    </w:p>
    <w:p>
      <w:pPr>
        <w:spacing w:after="160"/>
      </w:pPr>
      <w:r>
        <w:t xml:space="preserve">Over the period covered by this extract, the business generated $2,297,201 in total sales and $598,662 in profit, a healthy 26.1% overall margin, across 5,009 orders from 793 customers. The business shows no loss-making transactions and a broad, low-risk customer base. However, two material issues require management attention: (1) a data quality defect affecting 59.6% of order date records that must be resolved before any time-based planning decision is made, and (2) a discounting pattern in the 1-40% range that is measurably eroding margin without a clear corresponding volume benefit.</w:t>
      </w:r>
    </w:p>
    <w:p>
      <w:pPr>
        <w:pStyle w:val="Heading2"/>
      </w:pPr>
      <w:r>
        <w:t xml:space="preserve">Key Findings</w:t>
      </w:r>
    </w:p>
    <w:p>
      <w:pPr>
        <w:pStyle w:val="ListParagraph"/>
        <w:numPr>
          <w:ilvl w:val="0"/>
          <w:numId w:val="3"/>
        </w:numPr>
        <w:spacing w:after="80"/>
      </w:pPr>
      <w:r>
        <w:t xml:space="preserve">Profitability is strong but uneven: Office Supplies generates the highest margin (32.8%) on the lowest revenue, while Furniture generates strong revenue but the weakest margin (18.9%) of the three categories.</w:t>
      </w:r>
    </w:p>
    <w:p>
      <w:pPr>
        <w:pStyle w:val="ListParagraph"/>
        <w:numPr>
          <w:ilvl w:val="0"/>
          <w:numId w:val="3"/>
        </w:numPr>
        <w:spacing w:after="80"/>
      </w:pPr>
      <w:r>
        <w:t xml:space="preserve">Discounting in the 1-40% range reduces margin from a 29.5% baseline to 16-18%, an estimated $113,000+ profit impact on the 1-20% band alone, without evidence of a volume payoff large enough to justify it.</w:t>
      </w:r>
    </w:p>
    <w:p>
      <w:pPr>
        <w:pStyle w:val="ListParagraph"/>
        <w:numPr>
          <w:ilvl w:val="0"/>
          <w:numId w:val="3"/>
        </w:numPr>
        <w:spacing w:after="80"/>
      </w:pPr>
      <w:r>
        <w:t xml:space="preserve">The West region leads on revenue (31.6% of total) but trails on margin (21.2%, the lowest of all four regions); Central is the inverse, with the strongest margin (30.4%) on more modest revenue.</w:t>
      </w:r>
    </w:p>
    <w:p>
      <w:pPr>
        <w:pStyle w:val="ListParagraph"/>
        <w:numPr>
          <w:ilvl w:val="0"/>
          <w:numId w:val="3"/>
        </w:numPr>
        <w:spacing w:after="80"/>
      </w:pPr>
      <w:r>
        <w:t xml:space="preserve">Customer concentration risk is low: 793 customers and no single customer above ~1.1% of total sales — a structural strength of the current business.</w:t>
      </w:r>
    </w:p>
    <w:p>
      <w:pPr>
        <w:pStyle w:val="ListParagraph"/>
        <w:numPr>
          <w:ilvl w:val="0"/>
          <w:numId w:val="3"/>
        </w:numPr>
        <w:spacing w:after="80"/>
      </w:pPr>
      <w:r>
        <w:t xml:space="preserve">A data integrity defect affects 59.6% of Order Date records, corrupting any naive time-trend analysis; this report's time-based figures are built only on the unaffected 40.4% of records and are clearly labeled as a partial view.</w:t>
      </w:r>
    </w:p>
    <w:p>
      <w:pPr>
        <w:pStyle w:val="Heading2"/>
      </w:pPr>
      <w:r>
        <w:t xml:space="preserve">Business Recommendations</w:t>
      </w:r>
    </w:p>
    <w:p>
      <w:pPr>
        <w:pStyle w:val="ListParagraph"/>
        <w:numPr>
          <w:ilvl w:val="0"/>
          <w:numId w:val="3"/>
        </w:numPr>
        <w:spacing w:after="80"/>
      </w:pPr>
      <w:r>
        <w:t xml:space="preserve">Commission a formal discount-policy review for the 1-40% discount range specifically, with the goal of either tying discounts to demonstrated volume commitments or reducing their use.</w:t>
      </w:r>
    </w:p>
    <w:p>
      <w:pPr>
        <w:pStyle w:val="ListParagraph"/>
        <w:numPr>
          <w:ilvl w:val="0"/>
          <w:numId w:val="3"/>
        </w:numPr>
        <w:spacing w:after="80"/>
      </w:pPr>
      <w:r>
        <w:t xml:space="preserve">Conduct a regional pricing/incentive audit in the West region (particularly California) to understand why margin trails Central by over 9 percentage points despite higher sales volume.</w:t>
      </w:r>
    </w:p>
    <w:p>
      <w:pPr>
        <w:pStyle w:val="ListParagraph"/>
        <w:numPr>
          <w:ilvl w:val="0"/>
          <w:numId w:val="3"/>
        </w:numPr>
        <w:spacing w:after="80"/>
      </w:pPr>
      <w:r>
        <w:t xml:space="preserve">Protect and invest further in the Binders and Labels sub-categories, the two strongest combinations of margin and volume in the portfolio.</w:t>
      </w:r>
    </w:p>
    <w:p>
      <w:pPr>
        <w:pStyle w:val="ListParagraph"/>
        <w:numPr>
          <w:ilvl w:val="0"/>
          <w:numId w:val="3"/>
        </w:numPr>
        <w:spacing w:after="80"/>
      </w:pPr>
      <w:r>
        <w:t xml:space="preserve">Request the original, uncorrupted Order Date values from the source system before using this dataset for any seasonality, staffing, or inventory-timing decision.</w:t>
      </w:r>
    </w:p>
    <w:p>
      <w:pPr>
        <w:pStyle w:val="ListParagraph"/>
        <w:numPr>
          <w:ilvl w:val="0"/>
          <w:numId w:val="3"/>
        </w:numPr>
        <w:spacing w:after="80"/>
      </w:pPr>
      <w:r>
        <w:t xml:space="preserve">Review the Profit calculation logic for orders with 70-80% discounts, where current figures show a mathematically impossible margin and cannot be trusted at face value.</w:t>
      </w:r>
    </w:p>
    <w:p>
      <w:pPr>
        <w:pStyle w:val="Heading2"/>
      </w:pPr>
      <w:r>
        <w:t xml:space="preserve">Risks</w:t>
      </w:r>
    </w:p>
    <w:p>
      <w:pPr>
        <w:pStyle w:val="ListParagraph"/>
        <w:numPr>
          <w:ilvl w:val="0"/>
          <w:numId w:val="2"/>
        </w:numPr>
        <w:spacing w:after="80"/>
      </w:pPr>
      <w:r>
        <w:t xml:space="preserve">Decision risk: any team currently using this dataset's raw Order Date column for planning is working from a materially distorted trend.</w:t>
      </w:r>
    </w:p>
    <w:p>
      <w:pPr>
        <w:pStyle w:val="ListParagraph"/>
        <w:numPr>
          <w:ilvl w:val="0"/>
          <w:numId w:val="2"/>
        </w:numPr>
        <w:spacing w:after="80"/>
      </w:pPr>
      <w:r>
        <w:t xml:space="preserve">Margin risk: continued unmonitored discounting in the 1-40% range will keep suppressing profit on a meaningful share of revenue ($1.08M combined across the 1-40% bands).</w:t>
      </w:r>
    </w:p>
    <w:p>
      <w:pPr>
        <w:pStyle w:val="ListParagraph"/>
        <w:numPr>
          <w:ilvl w:val="0"/>
          <w:numId w:val="2"/>
        </w:numPr>
        <w:spacing w:after="80"/>
      </w:pPr>
      <w:r>
        <w:t xml:space="preserve">Regional risk: if West's discount/pricing practices are being used as a model for other regions, the margin gap could widen rather than close.</w:t>
      </w:r>
    </w:p>
    <w:p>
      <w:pPr>
        <w:pStyle w:val="ListParagraph"/>
        <w:numPr>
          <w:ilvl w:val="0"/>
          <w:numId w:val="2"/>
        </w:numPr>
        <w:spacing w:after="80"/>
      </w:pPr>
      <w:r>
        <w:t xml:space="preserve">Data governance risk: if a 60% data corruption issue reached this stage of analysis undetected, similar issues may exist in other extracts from the same source system.</w:t>
      </w:r>
    </w:p>
    <w:p>
      <w:pPr>
        <w:pStyle w:val="Heading2"/>
      </w:pPr>
      <w:r>
        <w:t xml:space="preserve">Future Opportunities</w:t>
      </w:r>
    </w:p>
    <w:p>
      <w:pPr>
        <w:pStyle w:val="ListParagraph"/>
        <w:numPr>
          <w:ilvl w:val="0"/>
          <w:numId w:val="2"/>
        </w:numPr>
        <w:spacing w:after="80"/>
      </w:pPr>
      <w:r>
        <w:t xml:space="preserve">Tiered discount approval workflow: require manager sign-off above a defined discount threshold (e.g. 20%), informed directly by the margin-band findings in this report.</w:t>
      </w:r>
    </w:p>
    <w:p>
      <w:pPr>
        <w:pStyle w:val="ListParagraph"/>
        <w:numPr>
          <w:ilvl w:val="0"/>
          <w:numId w:val="2"/>
        </w:numPr>
        <w:spacing w:after="80"/>
      </w:pPr>
      <w:r>
        <w:t xml:space="preserve">Regional best-practice transfer: study Central region's pricing/sales approach as a potential model for improving West region margin.</w:t>
      </w:r>
    </w:p>
    <w:p>
      <w:pPr>
        <w:pStyle w:val="ListParagraph"/>
        <w:numPr>
          <w:ilvl w:val="0"/>
          <w:numId w:val="2"/>
        </w:numPr>
        <w:spacing w:after="80"/>
      </w:pPr>
      <w:r>
        <w:t xml:space="preserve">Category-specific promotion strategy: lean into Office Supplies' natural margin strength for promotional bundling rather than discounting Furniture/Technology to drive the same revenue.</w:t>
      </w:r>
    </w:p>
    <w:p>
      <w:pPr>
        <w:pStyle w:val="ListParagraph"/>
        <w:numPr>
          <w:ilvl w:val="0"/>
          <w:numId w:val="2"/>
        </w:numPr>
        <w:spacing w:after="80"/>
      </w:pPr>
      <w:r>
        <w:t xml:space="preserve">Data pipeline remediation: fix the Order Date capture/export issue at the source so future extracts don't require this level of manual reconstruction.</w:t>
      </w:r>
    </w:p>
    <w:p>
      <w:pPr>
        <w:spacing w:after="300"/>
      </w:pPr>
    </w:p>
    <w:p>
      <w:pPr>
        <w:spacing w:after="160"/>
      </w:pPr>
      <w:r>
        <w:t xml:space="preserve">This concludes the 10-phase Retail Sales Analysis project, rebuilt end-to-end from the uploaded dataset, with every figure traceable to a live formula in the accompanying Excel workbook (Retail_Sales_Analysis.xlsx).</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Retail Sales Analysis | Phases 1-10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4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C99"/>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2026-06-22T11:15:35.656Z</dcterms:created>
  <dcterms:modified xsi:type="dcterms:W3CDTF">2026-06-22T11:15:35.669Z</dcterms:modified>
</cp:coreProperties>
</file>

<file path=docProps/custom.xml><?xml version="1.0" encoding="utf-8"?>
<Properties xmlns="http://schemas.openxmlformats.org/officeDocument/2006/custom-properties" xmlns:vt="http://schemas.openxmlformats.org/officeDocument/2006/docPropsVTypes"/>
</file>