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ascii="Arial" w:hAnsi="Arial"/>
          <w:b/>
          <w:color w:val="0F2A4A"/>
          <w:sz w:val="32"/>
        </w:rPr>
        <w:t>ClearDrive AI: A Real-Time Multi-Hazard Optical Restoration and Kinematic Collision Forecasting Framework for Edge ADAS</w:t>
      </w:r>
    </w:p>
    <w:tbl>
      <w:tblPr>
        <w:tblW w:type="auto" w:w="0"/>
        <w:jc w:val="center"/>
        <w:tblLayout w:type="fixed"/>
        <w:tblLook w:firstColumn="1" w:firstRow="1" w:lastColumn="0" w:lastRow="0" w:noHBand="0" w:noVBand="1" w:val="04A0"/>
      </w:tblPr>
      <w:tblGrid>
        <w:gridCol w:w="3360"/>
        <w:gridCol w:w="3360"/>
        <w:gridCol w:w="3360"/>
      </w:tblGrid>
      <w:tr>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Shivanesh V</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shivaneshv.aiml2025@citchennai.net</w:t>
            </w:r>
          </w:p>
        </w:tc>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Gowri R</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gowri.r@citchennai.net</w:t>
            </w:r>
          </w:p>
        </w:tc>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Karthikeyan P</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karthikeyan.p@citchennai.net</w:t>
            </w:r>
          </w:p>
        </w:tc>
      </w:tr>
      <w:tr>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Raj Karkee J</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rajkarkeej.cse@citchennai.net</w:t>
            </w:r>
          </w:p>
        </w:tc>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Revathi Devi M</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revathidevim.maths@citchennai.net</w:t>
            </w:r>
          </w:p>
        </w:tc>
        <w:tc>
          <w:tcPr>
            <w:tcW w:type="dxa" w:w="3355"/>
            <w:tcBorders>
              <w:top w:val="none"/>
              <w:left w:val="none"/>
              <w:bottom w:val="none"/>
              <w:right w:val="none"/>
            </w:tcBorders>
            <w:tcMar>
              <w:top w:w="60" w:type="dxa"/>
              <w:bottom w:w="100" w:type="dxa"/>
              <w:left w:w="40" w:type="dxa"/>
              <w:right w:w="40" w:type="dxa"/>
            </w:tcMar>
          </w:tcPr>
          <w:p>
            <w:pPr>
              <w:spacing w:before="0" w:after="20" w:line="252" w:lineRule="auto"/>
              <w:jc w:val="center"/>
            </w:pPr>
            <w:r>
              <w:rPr>
                <w:rFonts w:ascii="Times New Roman" w:hAnsi="Times New Roman"/>
                <w:i/>
                <w:color w:val="1E1E1E"/>
                <w:sz w:val="20"/>
              </w:rPr>
              <w:t>Akila Gandhi GS</w:t>
              <w:br/>
            </w:r>
            <w:r>
              <w:rPr>
                <w:rFonts w:ascii="Times New Roman" w:hAnsi="Times New Roman"/>
                <w:i/>
                <w:color w:val="1E1E1E"/>
                <w:sz w:val="17"/>
              </w:rPr>
              <w:t>Department of CSE-AIML</w:t>
              <w:br/>
            </w:r>
            <w:r>
              <w:rPr>
                <w:rFonts w:ascii="Times New Roman" w:hAnsi="Times New Roman"/>
                <w:i/>
                <w:color w:val="1E1E1E"/>
                <w:sz w:val="17"/>
              </w:rPr>
              <w:t>Chennai Institute of Technology</w:t>
              <w:br/>
            </w:r>
            <w:r>
              <w:rPr>
                <w:rFonts w:ascii="Times New Roman" w:hAnsi="Times New Roman"/>
                <w:i/>
                <w:color w:val="1E1E1E"/>
                <w:sz w:val="17"/>
              </w:rPr>
              <w:t>Chennai, Tamil Nadu</w:t>
              <w:br/>
            </w:r>
            <w:r>
              <w:rPr>
                <w:rFonts w:ascii="Times New Roman" w:hAnsi="Times New Roman"/>
                <w:i/>
                <w:color w:val="1E1E1E"/>
                <w:sz w:val="16"/>
              </w:rPr>
              <w:t>akilagandhigs@citchennai.net</w:t>
            </w:r>
          </w:p>
        </w:tc>
      </w:tr>
    </w:tbl>
    <w:p>
      <w:pPr>
        <w:spacing w:before="0" w:after="160"/>
      </w:pPr>
    </w:p>
    <w:tbl>
      <w:tblPr>
        <w:tblW w:type="auto" w:w="0"/>
        <w:jc w:val="center"/>
        <w:tblLayout w:type="fixed"/>
        <w:tblLook w:firstColumn="1" w:firstRow="1" w:lastColumn="0" w:lastRow="0" w:noHBand="0" w:noVBand="1" w:val="04A0"/>
      </w:tblPr>
      <w:tblGrid>
        <w:gridCol w:w="10080"/>
      </w:tblGrid>
      <w:tr>
        <w:tc>
          <w:tcPr>
            <w:tcW w:type="dxa" w:w="9792"/>
            <w:shd w:fill="F1F5F9"/>
            <w:tcMar>
              <w:top w:w="140" w:type="dxa"/>
              <w:bottom w:w="140" w:type="dxa"/>
              <w:left w:w="180" w:type="dxa"/>
              <w:right w:w="180" w:type="dxa"/>
            </w:tcMar>
            <w:tcBorders>
              <w:left w:val="single" w:sz="24" w:space="0" w:color="1E56A0"/>
              <w:top w:val="none"/>
              <w:right w:val="none"/>
              <w:bottom w:val="none"/>
            </w:tcBorders>
          </w:tcPr>
          <w:p>
            <w:pPr>
              <w:spacing w:before="40" w:after="40" w:line="276" w:lineRule="auto"/>
            </w:pPr>
            <w:r>
              <w:rPr>
                <w:rFonts w:ascii="Arial" w:hAnsi="Arial"/>
                <w:b/>
                <w:color w:val="0F2A4A"/>
                <w:sz w:val="19"/>
              </w:rPr>
              <w:t>ABSTRACT &amp; KEYWORDS</w:t>
              <w:br/>
            </w:r>
            <w:r>
              <w:rPr>
                <w:rFonts w:ascii="Times New Roman" w:hAnsi="Times New Roman"/>
                <w:i/>
                <w:color w:val="1E1E1E"/>
                <w:sz w:val="19"/>
              </w:rPr>
              <w:t>Adverse atmospheric conditions—including dense aerosol fog, torrential monsoon precipitation, zero-light rural corridors, and oncoming high-beam glare—severely compromise monocular vision sensors in Advanced Driver Assistance Systems (ADAS), inducing dangerous perceptual blindness and elevated vehicular collision rates. While modern deep learning restoration models achieve notable synthetic benchmarks, their prohibitive memory footprints and non-deterministic compute latencies preclude deployment on resource-constrained automotive edge microprocessors.</w:t>
              <w:br/>
              <w:br/>
              <w:t>This paper presents ClearDrive AI, a unified, deterministic, and edge-resilient ADAS framework executing real-time optical restoration, monocular kinematic telemetry, and in-cabin biometric driver monitoring on low-cost hardware. We formulate an O(N) linear-time optical transmission pipeline combining an adaptive foliage-aware Dark Channel Prior (DCP) with He's Fast Guided Filter, permanently eliminating white-clipping halo artifacts and temporal sky flickering via exponential moving average (EMA) airlight tracking. We couple an optical specular knee compression curve (&gt;190 intensity rolloff) with Retinex dynamic range expansion to counteract blinding glare and pitch darkness. Furthermore, a monocular ground-plane pinhole geometry model projects YOLOv8n detections into 3D metric distances, deriving dynamic closing velocities, +1.5s forward trajectory cut-in vectors, and dynamic Time-to-Collision (TTC) alerts. Benchmarked across 12,500 frames from RESIDE, Foggy Cityscapes, and real-world Indian highway road tests (including the 36-hairpin Ooty Ghat road), ClearDrive AI sustains 32.4 FPS on a quad-core ARM Cortex-A72 (Raspberry Pi 4B) within an $82 (Rs. 6,800) Bill of Materials, achieving 22.6 dB PSNR, 0.86 SSIM, and expanding forward hazard identification range by 340% under severe fog.</w:t>
            </w:r>
          </w:p>
        </w:tc>
      </w:tr>
    </w:tbl>
    <w:p>
      <w:pPr>
        <w:spacing w:after="80"/>
      </w:pPr>
    </w:p>
    <w:p>
      <w:pPr>
        <w:spacing w:after="200"/>
      </w:pPr>
      <w:r>
        <w:rPr>
          <w:rFonts w:ascii="Arial" w:hAnsi="Arial"/>
          <w:b/>
          <w:sz w:val="18"/>
        </w:rPr>
        <w:t xml:space="preserve">Keywords: </w:t>
      </w:r>
      <w:r>
        <w:rPr>
          <w:rFonts w:ascii="Times New Roman" w:hAnsi="Times New Roman"/>
          <w:i/>
          <w:sz w:val="18"/>
        </w:rPr>
        <w:t>Advanced Driver Assistance Systems (ADAS), Dark Channel Prior (DCP), Fast Guided Filter, Atmospheric Dehazing, Monocular Depth, Time-to-Collision (TTC), Edge Computing, Autonomous Vehicles.</w:t>
      </w:r>
    </w:p>
    <w:p>
      <w:pPr>
        <w:keepNext/>
        <w:spacing w:before="280" w:after="80"/>
      </w:pPr>
      <w:r>
        <w:rPr>
          <w:rFonts w:ascii="Arial" w:hAnsi="Arial"/>
          <w:b/>
          <w:color w:val="0F2A4A"/>
          <w:sz w:val="24"/>
        </w:rPr>
        <w:t>I. INTRODUCTION</w:t>
      </w:r>
    </w:p>
    <w:p>
      <w:pPr>
        <w:spacing w:before="0" w:after="80" w:line="276" w:lineRule="auto"/>
      </w:pPr>
      <w:r>
        <w:rPr>
          <w:rFonts w:ascii="Times New Roman" w:hAnsi="Times New Roman"/>
          <w:i w:val="0"/>
          <w:color w:val="1E1E1E"/>
          <w:sz w:val="20"/>
        </w:rPr>
        <w:t>Vehicular transportation forms the vital circulatory backbone of modern economic infrastructure. However, road traffic safety remains one of the most pressing public health and engineering crises of the twenty-first century. According to official annual reports published by the Ministry of Road Transport and Highways (MoRTH) [1], India witnesses over 460,000 recorded road accidents annually, claiming more than 168,000 human lives and inflicting permanent disabling injuries on over 440,000 citizens. A disproportionate fraction of these catastrophic fatalities occur during adverse environmental driving conditions: dense radiation and advection aerosol fog across northern expressways (e.g., Yamuna Expressway, NH-44) and high-altitude mountain corridors (such as the 36-hairpin Ooty Ghat Road, SH-15), blinding torrential monsoon downpours, unlit rural highways, and specular glare from aftermarket high-intensity LED headlights.</w:t>
      </w:r>
    </w:p>
    <w:p>
      <w:pPr>
        <w:keepNext/>
        <w:spacing w:before="200" w:after="60"/>
      </w:pPr>
      <w:r>
        <w:rPr>
          <w:rFonts w:ascii="Arial" w:hAnsi="Arial"/>
          <w:b/>
          <w:color w:val="1E56A0"/>
          <w:sz w:val="21"/>
        </w:rPr>
        <w:t>A. Atmospheric Degradation &amp; Optical Physics</w:t>
      </w:r>
    </w:p>
    <w:p>
      <w:pPr>
        <w:spacing w:before="0" w:after="80" w:line="276" w:lineRule="auto"/>
      </w:pPr>
      <w:r>
        <w:rPr>
          <w:rFonts w:ascii="Times New Roman" w:hAnsi="Times New Roman"/>
          <w:i w:val="0"/>
          <w:color w:val="1E1E1E"/>
          <w:sz w:val="20"/>
        </w:rPr>
        <w:t>Atmospheric scattering is an ill-posed inverse optical problem governed by physical photon-particle interactions. In automotive driving regimes, suspended water droplets and aerosol mists (radii 0.5 to 20 micrometers) operate strictly in the Mie scattering domain. The physical propagation of light through turbid media is formalized by Koschmieder's Law [2]:</w:t>
      </w:r>
    </w:p>
    <w:p>
      <w:pPr>
        <w:spacing w:before="0" w:after="80" w:line="276" w:lineRule="auto"/>
      </w:pPr>
      <w:r>
        <w:rPr>
          <w:rFonts w:ascii="Times New Roman" w:hAnsi="Times New Roman"/>
          <w:b/>
          <w:color w:val="1E1E1E"/>
          <w:sz w:val="20"/>
        </w:rPr>
        <w:t xml:space="preserve">Equation (1): </w:t>
      </w:r>
      <w:r>
        <w:rPr>
          <w:rFonts w:ascii="Times New Roman" w:hAnsi="Times New Roman"/>
          <w:i/>
          <w:color w:val="1E1E1E"/>
          <w:sz w:val="20"/>
        </w:rPr>
        <w:t>I(x) = J(x) * t(x) + A * (1 - t(x))</w:t>
      </w:r>
    </w:p>
    <w:p>
      <w:pPr>
        <w:spacing w:before="0" w:after="80" w:line="276" w:lineRule="auto"/>
      </w:pPr>
      <w:r>
        <w:rPr>
          <w:rFonts w:ascii="Times New Roman" w:hAnsi="Times New Roman"/>
          <w:i w:val="0"/>
          <w:color w:val="1E1E1E"/>
          <w:sz w:val="20"/>
        </w:rPr>
        <w:t>where I(x) is observed sensor intensity, J(x) is haze-free scene radiance, A is global airlight, and t(x) = exp(-beta * d(x)) is medium transmission. Because RGB sensors record 3 channels while the optical model involves 4 unknowns per pixel, optical restoration is fundamentally under-constrained.</w:t>
      </w:r>
    </w:p>
    <w:p>
      <w:pPr>
        <w:keepNext/>
        <w:spacing w:before="200" w:after="60"/>
      </w:pPr>
      <w:r>
        <w:rPr>
          <w:rFonts w:ascii="Arial" w:hAnsi="Arial"/>
          <w:b/>
          <w:color w:val="1E56A0"/>
          <w:sz w:val="21"/>
        </w:rPr>
        <w:t>B. Vulnerability of Contemporary Automotive Sensors</w:t>
      </w:r>
    </w:p>
    <w:p>
      <w:pPr>
        <w:spacing w:before="0" w:after="80" w:line="276" w:lineRule="auto"/>
      </w:pPr>
      <w:r>
        <w:rPr>
          <w:rFonts w:ascii="Times New Roman" w:hAnsi="Times New Roman"/>
          <w:b/>
          <w:color w:val="1E1E1E"/>
          <w:sz w:val="20"/>
        </w:rPr>
        <w:t xml:space="preserve">1. LiDAR (905nm / 1550nm): </w:t>
      </w:r>
      <w:r>
        <w:rPr>
          <w:rFonts w:ascii="Times New Roman" w:hAnsi="Times New Roman"/>
          <w:i w:val="0"/>
          <w:color w:val="1E1E1E"/>
          <w:sz w:val="20"/>
        </w:rPr>
        <w:t>Laser pulses back-scatter off aerosol droplets, generating thousands of phantom points that choke clustering algorithms and cause false emergency braking. High-end rigs cost &gt;$5,000, prohibiting mass-market integration.</w:t>
      </w:r>
    </w:p>
    <w:p>
      <w:pPr>
        <w:spacing w:before="0" w:after="80" w:line="276" w:lineRule="auto"/>
      </w:pPr>
      <w:r>
        <w:rPr>
          <w:rFonts w:ascii="Times New Roman" w:hAnsi="Times New Roman"/>
          <w:b/>
          <w:color w:val="1E1E1E"/>
          <w:sz w:val="20"/>
        </w:rPr>
        <w:t xml:space="preserve">2. 77 GHz Radar: </w:t>
      </w:r>
      <w:r>
        <w:rPr>
          <w:rFonts w:ascii="Times New Roman" w:hAnsi="Times New Roman"/>
          <w:i w:val="0"/>
          <w:color w:val="1E1E1E"/>
          <w:sz w:val="20"/>
        </w:rPr>
        <w:t>Penetrates fog but lacks semantic and vertical elevation resolution; cannot detect lane markings, asphalt craters (potholes), or pedestrian postures.</w:t>
      </w:r>
    </w:p>
    <w:p>
      <w:pPr>
        <w:spacing w:before="0" w:after="80" w:line="276" w:lineRule="auto"/>
      </w:pPr>
      <w:r>
        <w:rPr>
          <w:rFonts w:ascii="Times New Roman" w:hAnsi="Times New Roman"/>
          <w:b/>
          <w:color w:val="1E1E1E"/>
          <w:sz w:val="20"/>
        </w:rPr>
        <w:t xml:space="preserve">3. Monocular CMOS Dashcams: </w:t>
      </w:r>
      <w:r>
        <w:rPr>
          <w:rFonts w:ascii="Times New Roman" w:hAnsi="Times New Roman"/>
          <w:i w:val="0"/>
          <w:color w:val="1E1E1E"/>
          <w:sz w:val="20"/>
        </w:rPr>
        <w:t>Ubiquitous and affordable, but fixed dynamic range saturates under fog or high-beam glare, leading to complete contrast blowout.</w:t>
      </w:r>
    </w:p>
    <w:p>
      <w:pPr>
        <w:spacing w:before="0" w:after="80" w:line="276" w:lineRule="auto"/>
      </w:pPr>
      <w:r>
        <w:rPr>
          <w:rFonts w:ascii="Times New Roman" w:hAnsi="Times New Roman"/>
          <w:b/>
          <w:color w:val="1E1E1E"/>
          <w:sz w:val="20"/>
        </w:rPr>
        <w:t xml:space="preserve">4. LWIR Thermal Cameras: </w:t>
      </w:r>
      <w:r>
        <w:rPr>
          <w:rFonts w:ascii="Times New Roman" w:hAnsi="Times New Roman"/>
          <w:i w:val="0"/>
          <w:color w:val="1E1E1E"/>
          <w:sz w:val="20"/>
        </w:rPr>
        <w:t>Prohibitively expensive ($3,000-$6,000) and blinded by heavy rainfall due to surface evaporative cooling.</w:t>
      </w:r>
    </w:p>
    <w:p>
      <w:pPr>
        <w:keepNext/>
        <w:spacing w:before="200" w:after="60"/>
      </w:pPr>
      <w:r>
        <w:rPr>
          <w:rFonts w:ascii="Arial" w:hAnsi="Arial"/>
          <w:b/>
          <w:color w:val="1E56A0"/>
          <w:sz w:val="21"/>
        </w:rPr>
        <w:t>C. The Edge Compute Dilemma</w:t>
      </w:r>
    </w:p>
    <w:p>
      <w:pPr>
        <w:spacing w:before="0" w:after="80" w:line="276" w:lineRule="auto"/>
      </w:pPr>
      <w:r>
        <w:rPr>
          <w:rFonts w:ascii="Times New Roman" w:hAnsi="Times New Roman"/>
          <w:i w:val="0"/>
          <w:color w:val="1E1E1E"/>
          <w:sz w:val="20"/>
        </w:rPr>
        <w:t>Deep convolutional and transformer-based dehazers (DehazeNet [3], AOD-Net [4], GridDehazeNet [5], FFA-Net [6], DehazeFormer [7], DiffDehaze [8]) achieve impressive synthetic benchmarks but demand 150-300W discrete GPUs. On automotive edge microprocessors operating within passive thermal ceilings (&lt;15W) and sub-33ms real-time deadlines, deep models choke severely (latencies &gt;250-800ms, &lt;4 FPS), inducing lethal buffer lag.</w:t>
      </w:r>
    </w:p>
    <w:p>
      <w:pPr>
        <w:keepNext/>
        <w:spacing w:before="200" w:after="60"/>
      </w:pPr>
      <w:r>
        <w:rPr>
          <w:rFonts w:ascii="Arial" w:hAnsi="Arial"/>
          <w:b/>
          <w:color w:val="1E56A0"/>
          <w:sz w:val="21"/>
        </w:rPr>
        <w:t>D. Primary Contributions</w:t>
      </w:r>
    </w:p>
    <w:p>
      <w:pPr>
        <w:spacing w:before="0" w:after="80" w:line="276" w:lineRule="auto"/>
      </w:pPr>
      <w:r>
        <w:rPr>
          <w:rFonts w:ascii="Times New Roman" w:hAnsi="Times New Roman"/>
          <w:i w:val="0"/>
          <w:color w:val="1E1E1E"/>
          <w:sz w:val="20"/>
        </w:rPr>
        <w:t>1) Adaptive Foliage-Floor Fast Guided DCP: An O(N) linear-time optical dehazing pipeline combining DCP with He's Fast Guided Filter [9], eliminating halo artifacts and sky flickering via EMA airlight tracking.</w:t>
      </w:r>
    </w:p>
    <w:p>
      <w:pPr>
        <w:spacing w:before="0" w:after="80" w:line="276" w:lineRule="auto"/>
      </w:pPr>
      <w:r>
        <w:rPr>
          <w:rFonts w:ascii="Times New Roman" w:hAnsi="Times New Roman"/>
          <w:i w:val="0"/>
          <w:color w:val="1E1E1E"/>
          <w:sz w:val="20"/>
        </w:rPr>
        <w:t>2) Dual-Domain Optical Dynamic Range Balancing: Specular knee compression curve (&gt;190 intensity rolloff) with luminance-channel CLAHE [10] for zero-light Ghost-Vision.</w:t>
      </w:r>
    </w:p>
    <w:p>
      <w:pPr>
        <w:spacing w:before="0" w:after="80" w:line="276" w:lineRule="auto"/>
      </w:pPr>
      <w:r>
        <w:rPr>
          <w:rFonts w:ascii="Times New Roman" w:hAnsi="Times New Roman"/>
          <w:i w:val="0"/>
          <w:color w:val="1E1E1E"/>
          <w:sz w:val="20"/>
        </w:rPr>
        <w:t>3) Monocular Metric Kinematics &amp; Collision Warning: Pinhole ground-plane projection with INT8 YOLOv8n [11], deriving distance Z, closing velocity, dynamic TTC, and +1.5s forward trajectory vectors.</w:t>
      </w:r>
    </w:p>
    <w:p>
      <w:pPr>
        <w:spacing w:before="0" w:after="80" w:line="276" w:lineRule="auto"/>
      </w:pPr>
      <w:r>
        <w:rPr>
          <w:rFonts w:ascii="Times New Roman" w:hAnsi="Times New Roman"/>
          <w:i w:val="0"/>
          <w:color w:val="1E1E1E"/>
          <w:sz w:val="20"/>
        </w:rPr>
        <w:t>4) Zero-Contention Asynchronous Multiprocessing: Lock-free shared memory sustaining 32.4 FPS on ARM Cortex-A72 (Raspberry Pi 4B) with peak dynamic RAM &lt;185 MB within an $82 BOM.</w:t>
      </w:r>
    </w:p>
    <w:p>
      <w:pPr>
        <w:spacing w:before="0" w:after="80" w:line="276" w:lineRule="auto"/>
      </w:pPr>
      <w:r>
        <w:rPr>
          <w:rFonts w:ascii="Times New Roman" w:hAnsi="Times New Roman"/>
          <w:i w:val="0"/>
          <w:color w:val="1E1E1E"/>
          <w:sz w:val="20"/>
        </w:rPr>
        <w:t>5) Comprehensive Field Validation: Empirical validation on RESIDE [12], Foggy Cityscapes [13], and live 36-hairpin mountain ghat road tests (SH-15).</w:t>
      </w:r>
    </w:p>
    <w:p>
      <w:pPr>
        <w:keepNext/>
        <w:spacing w:before="280" w:after="80"/>
      </w:pPr>
      <w:r>
        <w:rPr>
          <w:rFonts w:ascii="Arial" w:hAnsi="Arial"/>
          <w:b/>
          <w:color w:val="0F2A4A"/>
          <w:sz w:val="24"/>
        </w:rPr>
        <w:t>II. RELATED WORK &amp; COMPARATIVE SURVEY</w:t>
      </w:r>
    </w:p>
    <w:p>
      <w:pPr>
        <w:spacing w:before="0" w:after="80" w:line="276" w:lineRule="auto"/>
      </w:pPr>
      <w:r>
        <w:rPr>
          <w:rFonts w:ascii="Times New Roman" w:hAnsi="Times New Roman"/>
          <w:i w:val="0"/>
          <w:color w:val="1E1E1E"/>
          <w:sz w:val="20"/>
        </w:rPr>
        <w:t>He et al. [14] introduced the Dark Channel Prior (DCP), observing that non-sky patches exhibit near-zero intensity in at least one color channel: J_dark(x) = min_c(min_y(J^c(y))) approx 0. He's original soft matting required solving a sparse linear system of O(N^2) complexity, taking 18.4 seconds per 720p frame. Fast Guided Filters [9, 15] reduced smoothing complexity to O(N). Recent deep networks like DehazeFormer [7], DiffDehaze [8], and edge architectures [16, 17, 18] demonstrate high accuracy but high compute overhead. Low-light Retinex models [19, 20, 21] and glare compression [22] provide inspiration for single-frame dynamic range control. For object detection, YOLO variants [11, 23, 24, 25, 26] coupled with ground-plane geometry [27, 28, 29] enable real-time forward collision warning [30]. In-cabin driver fatigue tracking via EAR [31], MediaPipe [32], PERCLOS [33], and multi-task facial attention [34] provides proactive in-cabin protection.</w:t>
      </w:r>
    </w:p>
    <w:p>
      <w:pPr>
        <w:spacing w:before="160" w:after="40"/>
      </w:pPr>
      <w:r>
        <w:rPr>
          <w:rFonts w:ascii="Arial" w:hAnsi="Arial"/>
          <w:b/>
          <w:color w:val="0F2A4A"/>
          <w:sz w:val="18"/>
        </w:rPr>
        <w:t>TABLE I: Comprehensive Comparative Survey of State-of-the-Art ADAS and Vision Restoration Paradigms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016"/>
            <w:shd w:fill="0F2A4A"/>
            <w:tcMar>
              <w:top w:w="120" w:type="dxa"/>
              <w:bottom w:w="120" w:type="dxa"/>
              <w:left w:w="140" w:type="dxa"/>
              <w:right w:w="140" w:type="dxa"/>
            </w:tcMar>
            <w:vAlign w:val="center"/>
          </w:tcPr>
          <w:p>
            <w:pPr>
              <w:spacing w:before="0" w:after="0"/>
              <w:jc w:val="center"/>
            </w:pPr>
            <w:r>
              <w:rPr>
                <w:rFonts w:ascii="Arial" w:hAnsi="Arial"/>
                <w:b/>
                <w:color w:val="FFFFFF"/>
                <w:sz w:val="17"/>
              </w:rPr>
              <w:t>System / Architecture</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Sensing Modality</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Compute Platform</w:t>
            </w:r>
          </w:p>
        </w:tc>
        <w:tc>
          <w:tcPr>
            <w:tcW w:type="dxa" w:w="1152"/>
            <w:shd w:fill="0F2A4A"/>
            <w:tcMar>
              <w:top w:w="120" w:type="dxa"/>
              <w:bottom w:w="120" w:type="dxa"/>
              <w:left w:w="140" w:type="dxa"/>
              <w:right w:w="140" w:type="dxa"/>
            </w:tcMar>
            <w:vAlign w:val="center"/>
          </w:tcPr>
          <w:p>
            <w:pPr>
              <w:spacing w:before="0" w:after="0"/>
              <w:jc w:val="center"/>
            </w:pPr>
            <w:r>
              <w:rPr>
                <w:rFonts w:ascii="Arial" w:hAnsi="Arial"/>
                <w:b/>
                <w:color w:val="FFFFFF"/>
                <w:sz w:val="17"/>
              </w:rPr>
              <w:t>FPS / Latency</w:t>
            </w:r>
          </w:p>
        </w:tc>
        <w:tc>
          <w:tcPr>
            <w:tcW w:type="dxa" w:w="864"/>
            <w:shd w:fill="0F2A4A"/>
            <w:tcMar>
              <w:top w:w="120" w:type="dxa"/>
              <w:bottom w:w="120" w:type="dxa"/>
              <w:left w:w="140" w:type="dxa"/>
              <w:right w:w="140" w:type="dxa"/>
            </w:tcMar>
            <w:vAlign w:val="center"/>
          </w:tcPr>
          <w:p>
            <w:pPr>
              <w:spacing w:before="0" w:after="0"/>
              <w:jc w:val="center"/>
            </w:pPr>
            <w:r>
              <w:rPr>
                <w:rFonts w:ascii="Arial" w:hAnsi="Arial"/>
                <w:b/>
                <w:color w:val="FFFFFF"/>
                <w:sz w:val="17"/>
              </w:rPr>
              <w:t>Power</w:t>
            </w:r>
          </w:p>
        </w:tc>
        <w:tc>
          <w:tcPr>
            <w:tcW w:type="dxa" w:w="1440"/>
            <w:shd w:fill="0F2A4A"/>
            <w:tcMar>
              <w:top w:w="120" w:type="dxa"/>
              <w:bottom w:w="120" w:type="dxa"/>
              <w:left w:w="140" w:type="dxa"/>
              <w:right w:w="140" w:type="dxa"/>
            </w:tcMar>
            <w:vAlign w:val="center"/>
          </w:tcPr>
          <w:p>
            <w:pPr>
              <w:spacing w:before="0" w:after="0"/>
              <w:jc w:val="center"/>
            </w:pPr>
            <w:r>
              <w:rPr>
                <w:rFonts w:ascii="Arial" w:hAnsi="Arial"/>
                <w:b/>
                <w:color w:val="FFFFFF"/>
                <w:sz w:val="17"/>
              </w:rPr>
              <w:t>Weather Resilience</w:t>
            </w:r>
          </w:p>
        </w:tc>
        <w:tc>
          <w:tcPr>
            <w:tcW w:type="dxa" w:w="2016"/>
            <w:shd w:fill="0F2A4A"/>
            <w:tcMar>
              <w:top w:w="120" w:type="dxa"/>
              <w:bottom w:w="120" w:type="dxa"/>
              <w:left w:w="140" w:type="dxa"/>
              <w:right w:w="140" w:type="dxa"/>
            </w:tcMar>
            <w:vAlign w:val="center"/>
          </w:tcPr>
          <w:p>
            <w:pPr>
              <w:spacing w:before="0" w:after="0"/>
              <w:jc w:val="center"/>
            </w:pPr>
            <w:r>
              <w:rPr>
                <w:rFonts w:ascii="Arial" w:hAnsi="Arial"/>
                <w:b/>
                <w:color w:val="FFFFFF"/>
                <w:sz w:val="17"/>
              </w:rPr>
              <w:t>Primary Failure Mode</w:t>
            </w:r>
          </w:p>
        </w:tc>
      </w:tr>
      <w:tr>
        <w:tc>
          <w:tcPr>
            <w:tcW w:type="dxa" w:w="2016"/>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Mobileye EyeQ4 (Commercial)</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Mono Camera + Radar</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EyeQ4 ASIC</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36 FPS</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3-5 W</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Moderate</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Proprietary; closed ecosystem</w:t>
            </w:r>
          </w:p>
        </w:tc>
      </w:tr>
      <w:tr>
        <w:tc>
          <w:tcPr>
            <w:tcW w:type="dxa" w:w="2016"/>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Tesla Vision (HW3/HW4)</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Multi-Camera</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FSD Dual-NPU</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36 FPS</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72-100 W</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Poor</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Phantom braking in fog/glare</w:t>
            </w:r>
          </w:p>
        </w:tc>
      </w:tr>
      <w:tr>
        <w:tc>
          <w:tcPr>
            <w:tcW w:type="dxa" w:w="2016"/>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Bosch Front Camera Radar</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Radar + Mono Camera</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Automotive ECU</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25 FPS</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15-20 W</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Good in rain</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Cannot detect road potholes</w:t>
            </w:r>
          </w:p>
        </w:tc>
      </w:tr>
      <w:tr>
        <w:tc>
          <w:tcPr>
            <w:tcW w:type="dxa" w:w="2016"/>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DehazeNet (Cai et al. [3])</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Vision</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NVIDIA GTX 1080</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12 FPS</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180 W</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Synthetic fog only</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Fails in zero-light night</w:t>
            </w:r>
          </w:p>
        </w:tc>
      </w:tr>
      <w:tr>
        <w:tc>
          <w:tcPr>
            <w:tcW w:type="dxa" w:w="2016"/>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AOD-Net (Li et al. [4])</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Vision</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NVIDIA RTX 2080</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28 FPS</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215 W</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Moderate</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Low PSNR in dense mountain fog</w:t>
            </w:r>
          </w:p>
        </w:tc>
      </w:tr>
      <w:tr>
        <w:tc>
          <w:tcPr>
            <w:tcW w:type="dxa" w:w="2016"/>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FFA-Net (Qin et al. [6])</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Vision</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NVIDIA V100 GPU</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4.2 FPS</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250 W</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High optical quality</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Cannot run on edge microprocessors</w:t>
            </w:r>
          </w:p>
        </w:tc>
      </w:tr>
      <w:tr>
        <w:tc>
          <w:tcPr>
            <w:tcW w:type="dxa" w:w="2016"/>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DehazeFormer (Guo [7])</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Vision</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NVIDIA RTX 3090</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2.1 FPS</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350 W</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High synthetic PSNR</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Prohibitive latency (&gt;450ms)</w:t>
            </w:r>
          </w:p>
        </w:tc>
      </w:tr>
      <w:tr>
        <w:tc>
          <w:tcPr>
            <w:tcW w:type="dxa" w:w="2016"/>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DiffDehaze (Song [8])</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Vision</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NVIDIA A100 GPU</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 FPS</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400 W</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High realism</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Non-deterministic diffusion</w:t>
            </w:r>
          </w:p>
        </w:tc>
      </w:tr>
      <w:tr>
        <w:tc>
          <w:tcPr>
            <w:tcW w:type="dxa" w:w="2016"/>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Edge-Guided (Zhang [17])</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Vision + CAN Bus</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Jetson Orin</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24 FPS</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25 W</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Good</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Expensive hardware ($600+)</w:t>
            </w:r>
          </w:p>
        </w:tc>
      </w:tr>
      <w:tr>
        <w:tc>
          <w:tcPr>
            <w:tcW w:type="dxa" w:w="2016"/>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ClearDrive AI (Proposed)</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Monocular Camera</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Raspberry Pi 4B</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32.4 FPS</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7.5 W</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Optimal (Fog/Rain/Night)</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Advisory only; no steer actuation</w:t>
            </w:r>
          </w:p>
        </w:tc>
      </w:tr>
    </w:tbl>
    <w:p>
      <w:pPr>
        <w:keepNext/>
        <w:spacing w:before="280" w:after="80"/>
      </w:pPr>
      <w:r>
        <w:rPr>
          <w:rFonts w:ascii="Arial" w:hAnsi="Arial"/>
          <w:b/>
          <w:color w:val="0F2A4A"/>
          <w:sz w:val="24"/>
        </w:rPr>
        <w:t>III. PROPOSED SYSTEM ARCHITECTURE &amp; MATHEMATICAL FORMULATIONS</w:t>
      </w:r>
    </w:p>
    <w:p>
      <w:pPr>
        <w:spacing w:before="160" w:after="60"/>
        <w:jc w:val="center"/>
      </w:pPr>
      <w:r>
        <w:drawing>
          <wp:inline xmlns:a="http://schemas.openxmlformats.org/drawingml/2006/main" xmlns:pic="http://schemas.openxmlformats.org/drawingml/2006/picture">
            <wp:extent cx="5303520" cy="2481463"/>
            <wp:docPr id="1" name="Picture 1"/>
            <wp:cNvGraphicFramePr>
              <a:graphicFrameLocks noChangeAspect="1"/>
            </wp:cNvGraphicFramePr>
            <a:graphic>
              <a:graphicData uri="http://schemas.openxmlformats.org/drawingml/2006/picture">
                <pic:pic>
                  <pic:nvPicPr>
                    <pic:cNvPr id="0" name="Figure_4.1_OmniVision_System_Architecture.png"/>
                    <pic:cNvPicPr/>
                  </pic:nvPicPr>
                  <pic:blipFill>
                    <a:blip r:embed="rId9"/>
                    <a:stretch>
                      <a:fillRect/>
                    </a:stretch>
                  </pic:blipFill>
                  <pic:spPr>
                    <a:xfrm>
                      <a:off x="0" y="0"/>
                      <a:ext cx="5303520" cy="2481463"/>
                    </a:xfrm>
                    <a:prstGeom prst="rect"/>
                  </pic:spPr>
                </pic:pic>
              </a:graphicData>
            </a:graphic>
          </wp:inline>
        </w:drawing>
      </w:r>
    </w:p>
    <w:p>
      <w:pPr>
        <w:spacing w:before="0" w:after="160"/>
        <w:jc w:val="center"/>
      </w:pPr>
      <w:r>
        <w:rPr>
          <w:rFonts w:ascii="Arial" w:hAnsi="Arial"/>
          <w:b/>
          <w:color w:val="64748B"/>
          <w:sz w:val="17"/>
        </w:rPr>
        <w:t>Figure 1: End-to-End Modular Architecture of ClearDrive AI.</w:t>
      </w:r>
    </w:p>
    <w:p>
      <w:pPr>
        <w:keepNext/>
        <w:spacing w:before="200" w:after="60"/>
      </w:pPr>
      <w:r>
        <w:rPr>
          <w:rFonts w:ascii="Arial" w:hAnsi="Arial"/>
          <w:b/>
          <w:color w:val="1E56A0"/>
          <w:sz w:val="21"/>
        </w:rPr>
        <w:t>A. Linear-Time Fast Guided Dark Channel Prior</w:t>
      </w:r>
    </w:p>
    <w:p>
      <w:pPr>
        <w:spacing w:before="0" w:after="80" w:line="276" w:lineRule="auto"/>
      </w:pPr>
      <w:r>
        <w:rPr>
          <w:rFonts w:ascii="Times New Roman" w:hAnsi="Times New Roman"/>
          <w:i w:val="0"/>
          <w:color w:val="1E1E1E"/>
          <w:sz w:val="20"/>
        </w:rPr>
        <w:t>Coarse transmission is estimated using dark channel prior across patch Omega(x): t_tilde(x) = 1 - omega * min_c(min_y(I^c(y)/A^c)), with omega = 0.95. We refine transmission using Fast Guided Filtering [9] with subsampling factor s = 4. Linear coefficients (a_k, b_k) are computed via box filters in downsampled space and upsampled via bilinear interpolation to yield t_FGF(x). This reduces refinement latency from 18,420 ms to 1.12 ms—a 16,000x acceleration.</w:t>
      </w:r>
    </w:p>
    <w:p>
      <w:pPr>
        <w:keepNext/>
        <w:spacing w:before="200" w:after="60"/>
      </w:pPr>
      <w:r>
        <w:rPr>
          <w:rFonts w:ascii="Arial" w:hAnsi="Arial"/>
          <w:b/>
          <w:color w:val="1E56A0"/>
          <w:sz w:val="21"/>
        </w:rPr>
        <w:t>B. Eradicating the 'Tree Bug' and Atmospheric Sky Flickering</w:t>
      </w:r>
    </w:p>
    <w:p>
      <w:pPr>
        <w:spacing w:before="0" w:after="80" w:line="276" w:lineRule="auto"/>
      </w:pPr>
      <w:r>
        <w:rPr>
          <w:rFonts w:ascii="Times New Roman" w:hAnsi="Times New Roman"/>
          <w:i w:val="0"/>
          <w:color w:val="1E1E1E"/>
          <w:sz w:val="20"/>
        </w:rPr>
        <w:t>In classical DCP, dark foliage causes transmission denominator t(x) to collapse near zero, blowing restored radiance J(x) up to white clipping halos (255). ClearDrive AI introduces an adaptive foliage floor: t_0(x) = max(0.15, 0.40 * [1 - Y_norm(x)]), enforcing t_hat(x) = max(t_FGF(x), t_0(x)). Simultaneously, airlight is stabilized temporally via EMA: A_smooth^(t) = 0.05 * A^(t) + 0.95 * A_smooth^(t-1), completely eliminating sky flickering.</w:t>
      </w:r>
    </w:p>
    <w:p>
      <w:pPr>
        <w:spacing w:before="160" w:after="60"/>
        <w:jc w:val="center"/>
      </w:pPr>
      <w:r>
        <w:drawing>
          <wp:inline xmlns:a="http://schemas.openxmlformats.org/drawingml/2006/main" xmlns:pic="http://schemas.openxmlformats.org/drawingml/2006/picture">
            <wp:extent cx="5303520" cy="1457354"/>
            <wp:docPr id="2" name="Picture 2"/>
            <wp:cNvGraphicFramePr>
              <a:graphicFrameLocks noChangeAspect="1"/>
            </wp:cNvGraphicFramePr>
            <a:graphic>
              <a:graphicData uri="http://schemas.openxmlformats.org/drawingml/2006/picture">
                <pic:pic>
                  <pic:nvPicPr>
                    <pic:cNvPr id="0" name="Figure_2.1_DCP_Soft_Matting_vs_Guided_Filter.png"/>
                    <pic:cNvPicPr/>
                  </pic:nvPicPr>
                  <pic:blipFill>
                    <a:blip r:embed="rId10"/>
                    <a:stretch>
                      <a:fillRect/>
                    </a:stretch>
                  </pic:blipFill>
                  <pic:spPr>
                    <a:xfrm>
                      <a:off x="0" y="0"/>
                      <a:ext cx="5303520" cy="1457354"/>
                    </a:xfrm>
                    <a:prstGeom prst="rect"/>
                  </pic:spPr>
                </pic:pic>
              </a:graphicData>
            </a:graphic>
          </wp:inline>
        </w:drawing>
      </w:r>
    </w:p>
    <w:p>
      <w:pPr>
        <w:spacing w:before="0" w:after="160"/>
        <w:jc w:val="center"/>
      </w:pPr>
      <w:r>
        <w:rPr>
          <w:rFonts w:ascii="Arial" w:hAnsi="Arial"/>
          <w:b/>
          <w:color w:val="64748B"/>
          <w:sz w:val="17"/>
        </w:rPr>
        <w:t>Figure 2: Transmission Map Refinement Comparison: (a) Patch DCP, (b) Soft Matting (18.4s), (c) Fast Guided Filter (1.12ms), (d) ClearDrive AI.</w:t>
      </w:r>
    </w:p>
    <w:p>
      <w:pPr>
        <w:keepNext/>
        <w:spacing w:before="200" w:after="60"/>
      </w:pPr>
      <w:r>
        <w:rPr>
          <w:rFonts w:ascii="Arial" w:hAnsi="Arial"/>
          <w:b/>
          <w:color w:val="1E56A0"/>
          <w:sz w:val="21"/>
        </w:rPr>
        <w:t>C. Specular Anti-Glare &amp; Low-Light Dynamic Range</w:t>
      </w:r>
    </w:p>
    <w:p>
      <w:pPr>
        <w:spacing w:before="0" w:after="80" w:line="276" w:lineRule="auto"/>
      </w:pPr>
      <w:r>
        <w:rPr>
          <w:rFonts w:ascii="Times New Roman" w:hAnsi="Times New Roman"/>
          <w:i w:val="0"/>
          <w:color w:val="1E1E1E"/>
          <w:sz w:val="20"/>
        </w:rPr>
        <w:t>High-beam LED glare is compressed via a parametric specular knee profile: Y_out = Y for Y &lt;= 190, and Y_out = 190 + (255 - 190) * ((Y - 190)/(255 - 190))^0.35 for Y &gt; 190. Saturated blooming halos are rolled off by 68.4%. For night corridors, Starlight Ghost-Vision applies dual-tile CLAHE (clip limit 2.0, 8x8 grid) on luminance Y after pedestal subtraction.</w:t>
      </w:r>
    </w:p>
    <w:p>
      <w:pPr>
        <w:keepNext/>
        <w:spacing w:before="200" w:after="60"/>
      </w:pPr>
      <w:r>
        <w:rPr>
          <w:rFonts w:ascii="Arial" w:hAnsi="Arial"/>
          <w:b/>
          <w:color w:val="1E56A0"/>
          <w:sz w:val="21"/>
        </w:rPr>
        <w:t>D. Monocular Ground Geometry &amp; +1.5s Ghost-Vision</w:t>
      </w:r>
    </w:p>
    <w:p>
      <w:pPr>
        <w:spacing w:before="0" w:after="80" w:line="276" w:lineRule="auto"/>
      </w:pPr>
      <w:r>
        <w:rPr>
          <w:rFonts w:ascii="Times New Roman" w:hAnsi="Times New Roman"/>
          <w:i w:val="0"/>
          <w:color w:val="1E1E1E"/>
          <w:sz w:val="20"/>
        </w:rPr>
        <w:t>For every detected vehicular bounding box, ground contact point (x_bc, y_bottom) is projected to metric distance Z: Z = (f_y * H) / max(1.0, y_bottom - y_horizon), where H = 1.45m and f_y = 715px. Closing velocity v_rel = (Z^(t-1) - Z^(t))/dt yields dynamic Time-to-Collision: TTC = Z / v_rel (for v_rel &gt; 0.5 m/s). Two-stage warnings are triggered: Critical (TTC &lt; 1.8s) and Advisory (TTC &lt; 2.8s) per AIS-145 [30]. Forward cut-in trajectories are projected as +1.5s Ghost-Vision vectors along target velocity vector v_target.</w:t>
      </w:r>
    </w:p>
    <w:p>
      <w:pPr>
        <w:spacing w:before="160" w:after="60"/>
        <w:jc w:val="center"/>
      </w:pPr>
      <w:r>
        <w:drawing>
          <wp:inline xmlns:a="http://schemas.openxmlformats.org/drawingml/2006/main" xmlns:pic="http://schemas.openxmlformats.org/drawingml/2006/picture">
            <wp:extent cx="5303520" cy="2357120"/>
            <wp:docPr id="3" name="Picture 3"/>
            <wp:cNvGraphicFramePr>
              <a:graphicFrameLocks noChangeAspect="1"/>
            </wp:cNvGraphicFramePr>
            <a:graphic>
              <a:graphicData uri="http://schemas.openxmlformats.org/drawingml/2006/picture">
                <pic:pic>
                  <pic:nvPicPr>
                    <pic:cNvPr id="0" name="Figure_4.6_Kinematic_Ghost_Vision_Projection.png"/>
                    <pic:cNvPicPr/>
                  </pic:nvPicPr>
                  <pic:blipFill>
                    <a:blip r:embed="rId11"/>
                    <a:stretch>
                      <a:fillRect/>
                    </a:stretch>
                  </pic:blipFill>
                  <pic:spPr>
                    <a:xfrm>
                      <a:off x="0" y="0"/>
                      <a:ext cx="5303520" cy="2357120"/>
                    </a:xfrm>
                    <a:prstGeom prst="rect"/>
                  </pic:spPr>
                </pic:pic>
              </a:graphicData>
            </a:graphic>
          </wp:inline>
        </w:drawing>
      </w:r>
    </w:p>
    <w:p>
      <w:pPr>
        <w:spacing w:before="0" w:after="160"/>
        <w:jc w:val="center"/>
      </w:pPr>
      <w:r>
        <w:rPr>
          <w:rFonts w:ascii="Arial" w:hAnsi="Arial"/>
          <w:b/>
          <w:color w:val="64748B"/>
          <w:sz w:val="17"/>
        </w:rPr>
        <w:t>Figure 3: Kinematic +1.5s Ghost-Vision Predictive Cut-in Projection and Metric TTC.</w:t>
      </w:r>
    </w:p>
    <w:tbl>
      <w:tblPr>
        <w:tblW w:type="auto" w:w="0"/>
        <w:jc w:val="center"/>
        <w:tblLayout w:type="fixed"/>
        <w:tblLook w:firstColumn="1" w:firstRow="1" w:lastColumn="0" w:lastRow="0" w:noHBand="0" w:noVBand="1" w:val="04A0"/>
      </w:tblPr>
      <w:tblGrid>
        <w:gridCol w:w="10080"/>
      </w:tblGrid>
      <w:tr>
        <w:tc>
          <w:tcPr>
            <w:tcW w:type="dxa" w:w="9792"/>
            <w:shd w:fill="FAF5FF"/>
            <w:tcMar>
              <w:top w:w="120" w:type="dxa"/>
              <w:bottom w:w="120" w:type="dxa"/>
              <w:left w:w="160" w:type="dxa"/>
              <w:right w:w="160" w:type="dxa"/>
            </w:tcMar>
            <w:tcBorders>
              <w:left w:val="single" w:sz="18" w:space="0" w:color="7C3AED"/>
              <w:top w:val="single" w:sz="6" w:space="0" w:color="CBD5E1"/>
              <w:right w:val="single" w:sz="6" w:space="0" w:color="CBD5E1"/>
              <w:bottom w:val="single" w:sz="18" w:space="0" w:color="7C3AED"/>
            </w:tcBorders>
          </w:tcPr>
          <w:p>
            <w:pPr>
              <w:spacing w:before="40" w:after="40" w:line="276" w:lineRule="auto"/>
            </w:pPr>
            <w:r>
              <w:rPr>
                <w:rFonts w:ascii="Arial" w:hAnsi="Arial"/>
                <w:b/>
                <w:color w:val="6D28D9"/>
                <w:sz w:val="19"/>
              </w:rPr>
              <w:t>Algorithm 1: OmniVision Dual-Domain Real-Time Restoration Pipeline</w:t>
              <w:br/>
            </w:r>
            <w:r>
              <w:rPr>
                <w:rFonts w:ascii="Courier New" w:hAnsi="Courier New"/>
                <w:color w:val="1E1E1E"/>
                <w:sz w:val="17"/>
              </w:rPr>
              <w:t>Require: Input frame I, airlight memory A_smooth, params (r=16, s=4, eps=1e-3, omega=0.95, Y_knee=190)</w:t>
              <w:br/>
            </w:r>
            <w:r>
              <w:rPr>
                <w:rFonts w:ascii="Courier New" w:hAnsi="Courier New"/>
                <w:color w:val="1E1E1E"/>
                <w:sz w:val="17"/>
              </w:rPr>
              <w:t>Ensure: Restored frame J, updated airlight A_smooth</w:t>
              <w:br/>
            </w:r>
            <w:r>
              <w:rPr>
                <w:rFonts w:ascii="Courier New" w:hAnsi="Courier New"/>
                <w:color w:val="1E1E1E"/>
                <w:sz w:val="17"/>
              </w:rPr>
              <w:t xml:space="preserve"> 1: Convert I to normalized float32 and extract luminance channel Y</w:t>
              <w:br/>
            </w:r>
            <w:r>
              <w:rPr>
                <w:rFonts w:ascii="Courier New" w:hAnsi="Courier New"/>
                <w:color w:val="1E1E1E"/>
                <w:sz w:val="17"/>
              </w:rPr>
              <w:t xml:space="preserve"> 2: Compute dark channel I_dark(x) = min_c(min_y(I^c(y) / A^c))</w:t>
              <w:br/>
            </w:r>
            <w:r>
              <w:rPr>
                <w:rFonts w:ascii="Courier New" w:hAnsi="Courier New"/>
                <w:color w:val="1E1E1E"/>
                <w:sz w:val="17"/>
              </w:rPr>
              <w:t xml:space="preserve"> 3: Estimate instantaneous airlight A^(t) from top 0.1% brightest pixels in I_dark</w:t>
              <w:br/>
            </w:r>
            <w:r>
              <w:rPr>
                <w:rFonts w:ascii="Courier New" w:hAnsi="Courier New"/>
                <w:color w:val="1E1E1E"/>
                <w:sz w:val="17"/>
              </w:rPr>
              <w:t xml:space="preserve"> 4: Update temporal airlight: A_smooth &lt;- 0.05 * A^(t) + 0.95 * A_smooth</w:t>
              <w:br/>
            </w:r>
            <w:r>
              <w:rPr>
                <w:rFonts w:ascii="Courier New" w:hAnsi="Courier New"/>
                <w:color w:val="1E1E1E"/>
                <w:sz w:val="17"/>
              </w:rPr>
              <w:t xml:space="preserve"> 5: Coarse transmission t_tilde(x) &lt;- 1 - omega * I_dark(x)</w:t>
              <w:br/>
            </w:r>
            <w:r>
              <w:rPr>
                <w:rFonts w:ascii="Courier New" w:hAnsi="Courier New"/>
                <w:color w:val="1E1E1E"/>
                <w:sz w:val="17"/>
              </w:rPr>
              <w:t xml:space="preserve"> 6: Downsample I_sub &lt;- downsample(Y, s=4), p_sub &lt;- downsample(t_tilde, s=4)</w:t>
              <w:br/>
            </w:r>
            <w:r>
              <w:rPr>
                <w:rFonts w:ascii="Courier New" w:hAnsi="Courier New"/>
                <w:color w:val="1E1E1E"/>
                <w:sz w:val="17"/>
              </w:rPr>
              <w:t xml:space="preserve"> 7: Compute box filter statistics mu_I, mu_p, var_I, cov_Ip in subsampled domain</w:t>
              <w:br/>
            </w:r>
            <w:r>
              <w:rPr>
                <w:rFonts w:ascii="Courier New" w:hAnsi="Courier New"/>
                <w:color w:val="1E1E1E"/>
                <w:sz w:val="17"/>
              </w:rPr>
              <w:t xml:space="preserve"> 8: Linear coefficients: a_k &lt;- cov_Ip / (var_I + eps), b_k &lt;- mu_p - a_k * mu_I</w:t>
              <w:br/>
            </w:r>
            <w:r>
              <w:rPr>
                <w:rFonts w:ascii="Courier New" w:hAnsi="Courier New"/>
                <w:color w:val="1E1E1E"/>
                <w:sz w:val="17"/>
              </w:rPr>
              <w:t xml:space="preserve"> 9: Upsample a_bar &lt;- upsample(boxfilter(a_k)), b_bar &lt;- upsample(boxfilter(b_k))</w:t>
              <w:br/>
            </w:r>
            <w:r>
              <w:rPr>
                <w:rFonts w:ascii="Courier New" w:hAnsi="Courier New"/>
                <w:color w:val="1E1E1E"/>
                <w:sz w:val="17"/>
              </w:rPr>
              <w:t>10: Refined transmission t_FGF(x) &lt;- a_bar * Y(x) + b_bar</w:t>
              <w:br/>
            </w:r>
            <w:r>
              <w:rPr>
                <w:rFonts w:ascii="Courier New" w:hAnsi="Courier New"/>
                <w:color w:val="1E1E1E"/>
                <w:sz w:val="17"/>
              </w:rPr>
              <w:t>11: Adaptive foliage floor: t_0(x) &lt;- max(0.15, 0.40 * [1 - Y(x)/255])</w:t>
              <w:br/>
            </w:r>
            <w:r>
              <w:rPr>
                <w:rFonts w:ascii="Courier New" w:hAnsi="Courier New"/>
                <w:color w:val="1E1E1E"/>
                <w:sz w:val="17"/>
              </w:rPr>
              <w:t>12: Bounded transmission: t_hat(x) &lt;- max(t_FGF(x), t_0(x))</w:t>
              <w:br/>
            </w:r>
            <w:r>
              <w:rPr>
                <w:rFonts w:ascii="Courier New" w:hAnsi="Courier New"/>
                <w:color w:val="1E1E1E"/>
                <w:sz w:val="17"/>
              </w:rPr>
              <w:t>13: Restored scene radiance: J(x) &lt;- (I(x) - A_smooth) / t_hat(x) + A_smooth</w:t>
              <w:br/>
            </w:r>
            <w:r>
              <w:rPr>
                <w:rFonts w:ascii="Courier New" w:hAnsi="Courier New"/>
                <w:color w:val="1E1E1E"/>
                <w:sz w:val="17"/>
              </w:rPr>
              <w:t>14: If High-Beam Glare: Apply specular knee compression Y_out(x) on luminance channel</w:t>
              <w:br/>
            </w:r>
            <w:r>
              <w:rPr>
                <w:rFonts w:ascii="Courier New" w:hAnsi="Courier New"/>
                <w:color w:val="1E1E1E"/>
                <w:sz w:val="17"/>
              </w:rPr>
              <w:t>15: Return J, A_smooth</w:t>
              <w:br/>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792"/>
            <w:shd w:fill="FAF5FF"/>
            <w:tcMar>
              <w:top w:w="120" w:type="dxa"/>
              <w:bottom w:w="120" w:type="dxa"/>
              <w:left w:w="160" w:type="dxa"/>
              <w:right w:w="160" w:type="dxa"/>
            </w:tcMar>
            <w:tcBorders>
              <w:left w:val="single" w:sz="18" w:space="0" w:color="7C3AED"/>
              <w:top w:val="single" w:sz="6" w:space="0" w:color="CBD5E1"/>
              <w:right w:val="single" w:sz="6" w:space="0" w:color="CBD5E1"/>
              <w:bottom w:val="single" w:sz="18" w:space="0" w:color="7C3AED"/>
            </w:tcBorders>
          </w:tcPr>
          <w:p>
            <w:pPr>
              <w:spacing w:before="40" w:after="40" w:line="276" w:lineRule="auto"/>
            </w:pPr>
            <w:r>
              <w:rPr>
                <w:rFonts w:ascii="Arial" w:hAnsi="Arial"/>
                <w:b/>
                <w:color w:val="6D28D9"/>
                <w:sz w:val="19"/>
              </w:rPr>
              <w:t>Algorithm 2: Monocular Kinematic Telemetry and Collision Warning</w:t>
              <w:br/>
            </w:r>
            <w:r>
              <w:rPr>
                <w:rFonts w:ascii="Courier New" w:hAnsi="Courier New"/>
                <w:color w:val="1E1E1E"/>
                <w:sz w:val="17"/>
              </w:rPr>
              <w:t>Require: Bounding boxes {B_i}, focal length f_y, mounting height H, horizon y_horizon</w:t>
              <w:br/>
            </w:r>
            <w:r>
              <w:rPr>
                <w:rFonts w:ascii="Courier New" w:hAnsi="Courier New"/>
                <w:color w:val="1E1E1E"/>
                <w:sz w:val="17"/>
              </w:rPr>
              <w:t>Ensure: Metric distance {Z_i}, closing velocity {v_rel,i}, collision time {TTC_i}</w:t>
              <w:br/>
            </w:r>
            <w:r>
              <w:rPr>
                <w:rFonts w:ascii="Courier New" w:hAnsi="Courier New"/>
                <w:color w:val="1E1E1E"/>
                <w:sz w:val="17"/>
              </w:rPr>
              <w:t xml:space="preserve"> 1: For each bounding box B_i = [x1, y1, x2, y2]:</w:t>
              <w:br/>
            </w:r>
            <w:r>
              <w:rPr>
                <w:rFonts w:ascii="Courier New" w:hAnsi="Courier New"/>
                <w:color w:val="1E1E1E"/>
                <w:sz w:val="17"/>
              </w:rPr>
              <w:t xml:space="preserve"> 2:    Ground contact point y_bottom &lt;- y2</w:t>
              <w:br/>
            </w:r>
            <w:r>
              <w:rPr>
                <w:rFonts w:ascii="Courier New" w:hAnsi="Courier New"/>
                <w:color w:val="1E1E1E"/>
                <w:sz w:val="17"/>
              </w:rPr>
              <w:t xml:space="preserve"> 3:    Metric distance Z_raw &lt;- (f_y * H) / max(1.0, y_bottom - y_horizon)</w:t>
              <w:br/>
            </w:r>
            <w:r>
              <w:rPr>
                <w:rFonts w:ascii="Courier New" w:hAnsi="Courier New"/>
                <w:color w:val="1E1E1E"/>
                <w:sz w:val="17"/>
              </w:rPr>
              <w:t xml:space="preserve"> 4:    Adaptive smoothing: Z_smooth &lt;- 0.70 * Z_raw + 0.30 * Z_prev</w:t>
              <w:br/>
            </w:r>
            <w:r>
              <w:rPr>
                <w:rFonts w:ascii="Courier New" w:hAnsi="Courier New"/>
                <w:color w:val="1E1E1E"/>
                <w:sz w:val="17"/>
              </w:rPr>
              <w:t xml:space="preserve"> 5:    Closing velocity: v_rel &lt;- (Z_prev - Z_smooth) / dt</w:t>
              <w:br/>
            </w:r>
            <w:r>
              <w:rPr>
                <w:rFonts w:ascii="Courier New" w:hAnsi="Courier New"/>
                <w:color w:val="1E1E1E"/>
                <w:sz w:val="17"/>
              </w:rPr>
              <w:t xml:space="preserve"> 6:    If v_rel &gt; 0.5 m/s: TTC &lt;- Z_smooth / v_rel; Else: TTC &lt;- inf</w:t>
              <w:br/>
            </w:r>
            <w:r>
              <w:rPr>
                <w:rFonts w:ascii="Courier New" w:hAnsi="Courier New"/>
                <w:color w:val="1E1E1E"/>
                <w:sz w:val="17"/>
              </w:rPr>
              <w:t xml:space="preserve"> 7:    Ghost-Vision Vector: B_ghost &lt;- B_i + 1.5 * v_target</w:t>
              <w:br/>
            </w:r>
            <w:r>
              <w:rPr>
                <w:rFonts w:ascii="Courier New" w:hAnsi="Courier New"/>
                <w:color w:val="1E1E1E"/>
                <w:sz w:val="17"/>
              </w:rPr>
              <w:t xml:space="preserve"> 8:    If TTC &lt; 1.8s: Trigger AIS-145 Critical Audible Chime &amp; HUD Alert</w:t>
              <w:br/>
            </w:r>
            <w:r>
              <w:rPr>
                <w:rFonts w:ascii="Courier New" w:hAnsi="Courier New"/>
                <w:color w:val="1E1E1E"/>
                <w:sz w:val="17"/>
              </w:rPr>
              <w:t xml:space="preserve"> 9:    Else if TTC &lt; 2.8s: Trigger AIS-145 Advisory Visual Alert</w:t>
              <w:br/>
            </w:r>
            <w:r>
              <w:rPr>
                <w:rFonts w:ascii="Courier New" w:hAnsi="Courier New"/>
                <w:color w:val="1E1E1E"/>
                <w:sz w:val="17"/>
              </w:rPr>
              <w:t>10: End For</w:t>
              <w:br/>
            </w:r>
          </w:p>
        </w:tc>
      </w:tr>
    </w:tbl>
    <w:p>
      <w:pPr>
        <w:spacing w:after="80"/>
      </w:pPr>
    </w:p>
    <w:p>
      <w:pPr>
        <w:keepNext/>
        <w:spacing w:before="200" w:after="60"/>
      </w:pPr>
      <w:r>
        <w:rPr>
          <w:rFonts w:ascii="Arial" w:hAnsi="Arial"/>
          <w:b/>
          <w:color w:val="1E56A0"/>
          <w:sz w:val="21"/>
        </w:rPr>
        <w:t>E. Asynchronous Multiprocessing Concurrency</w:t>
      </w:r>
    </w:p>
    <w:p>
      <w:pPr>
        <w:spacing w:before="0" w:after="80" w:line="276" w:lineRule="auto"/>
      </w:pPr>
      <w:r>
        <w:rPr>
          <w:rFonts w:ascii="Times New Roman" w:hAnsi="Times New Roman"/>
          <w:i w:val="0"/>
          <w:color w:val="1E1E1E"/>
          <w:sz w:val="20"/>
        </w:rPr>
        <w:t>To eliminate Python GIL contention, a decoupled multiprocessing ring buffer isolates video capture, optical restoration (25.8ms), neural inference (18.2ms), and HTTP/MJPEG streaming, guaranteeing deterministic 32.4 FPS on ARM CPU without buffer bloat.</w:t>
      </w:r>
    </w:p>
    <w:p>
      <w:pPr>
        <w:spacing w:before="160" w:after="60"/>
        <w:jc w:val="center"/>
      </w:pPr>
      <w:r>
        <w:drawing>
          <wp:inline xmlns:a="http://schemas.openxmlformats.org/drawingml/2006/main" xmlns:pic="http://schemas.openxmlformats.org/drawingml/2006/picture">
            <wp:extent cx="5303520" cy="2196407"/>
            <wp:docPr id="4" name="Picture 4"/>
            <wp:cNvGraphicFramePr>
              <a:graphicFrameLocks noChangeAspect="1"/>
            </wp:cNvGraphicFramePr>
            <a:graphic>
              <a:graphicData uri="http://schemas.openxmlformats.org/drawingml/2006/picture">
                <pic:pic>
                  <pic:nvPicPr>
                    <pic:cNvPr id="0" name="Figure_4.2_Async_Worker_Pipeline.png"/>
                    <pic:cNvPicPr/>
                  </pic:nvPicPr>
                  <pic:blipFill>
                    <a:blip r:embed="rId12"/>
                    <a:stretch>
                      <a:fillRect/>
                    </a:stretch>
                  </pic:blipFill>
                  <pic:spPr>
                    <a:xfrm>
                      <a:off x="0" y="0"/>
                      <a:ext cx="5303520" cy="2196407"/>
                    </a:xfrm>
                    <a:prstGeom prst="rect"/>
                  </pic:spPr>
                </pic:pic>
              </a:graphicData>
            </a:graphic>
          </wp:inline>
        </w:drawing>
      </w:r>
    </w:p>
    <w:p>
      <w:pPr>
        <w:spacing w:before="0" w:after="160"/>
        <w:jc w:val="center"/>
      </w:pPr>
      <w:r>
        <w:rPr>
          <w:rFonts w:ascii="Arial" w:hAnsi="Arial"/>
          <w:b/>
          <w:color w:val="64748B"/>
          <w:sz w:val="17"/>
        </w:rPr>
        <w:t>Figure 4: Decoupled Asynchronous Multiprocessing Architecture with Lock-Free Shared Memory.</w:t>
      </w:r>
    </w:p>
    <w:p>
      <w:pPr>
        <w:keepNext/>
        <w:spacing w:before="280" w:after="80"/>
      </w:pPr>
      <w:r>
        <w:rPr>
          <w:rFonts w:ascii="Arial" w:hAnsi="Arial"/>
          <w:b/>
          <w:color w:val="0F2A4A"/>
          <w:sz w:val="24"/>
        </w:rPr>
        <w:t>IV. EXPERIMENTAL SETUP &amp; BENCHMARK RESULTS</w:t>
      </w:r>
    </w:p>
    <w:p>
      <w:pPr>
        <w:spacing w:before="0" w:after="80" w:line="276" w:lineRule="auto"/>
      </w:pPr>
      <w:r>
        <w:rPr>
          <w:rFonts w:ascii="Times New Roman" w:hAnsi="Times New Roman"/>
          <w:i w:val="0"/>
          <w:color w:val="1E1E1E"/>
          <w:sz w:val="20"/>
        </w:rPr>
        <w:t>ClearDrive AI was evaluated across RESIDE Outdoor SOTS (500 images) [12], Foggy Cityscapes (550 images) [13], Dark Zurich, and the ClearDrive Indian Highway Benchmark (12,500 annotated road test frames). Evaluated platforms included: Platform A (Raspberry Pi 4B ARM Cortex-A72 @ 1.5GHz), Platform B (NVIDIA Jetson Nano 128-core Maxwell), Platform C (Intel Core i5-1135G7), and Platform D (NXP BlueBox automotive reference).</w:t>
      </w:r>
    </w:p>
    <w:p>
      <w:pPr>
        <w:spacing w:before="160" w:after="40"/>
      </w:pPr>
      <w:r>
        <w:rPr>
          <w:rFonts w:ascii="Arial" w:hAnsi="Arial"/>
          <w:b/>
          <w:color w:val="0F2A4A"/>
          <w:sz w:val="18"/>
        </w:rPr>
        <w:t>TABLE II: Cross-Iteration Quantitative Benchmark Comparison Across Optical, Throughput, and Memory Metrics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880"/>
            <w:shd w:fill="0F2A4A"/>
            <w:tcMar>
              <w:top w:w="120" w:type="dxa"/>
              <w:bottom w:w="120" w:type="dxa"/>
              <w:left w:w="140" w:type="dxa"/>
              <w:right w:w="140" w:type="dxa"/>
            </w:tcMar>
            <w:vAlign w:val="center"/>
          </w:tcPr>
          <w:p>
            <w:pPr>
              <w:spacing w:before="0" w:after="0"/>
              <w:jc w:val="center"/>
            </w:pPr>
            <w:r>
              <w:rPr>
                <w:rFonts w:ascii="Arial" w:hAnsi="Arial"/>
                <w:b/>
                <w:color w:val="FFFFFF"/>
                <w:sz w:val="17"/>
              </w:rPr>
              <w:t>Metric</w:t>
            </w:r>
          </w:p>
        </w:tc>
        <w:tc>
          <w:tcPr>
            <w:tcW w:type="dxa" w:w="1584"/>
            <w:shd w:fill="0F2A4A"/>
            <w:tcMar>
              <w:top w:w="120" w:type="dxa"/>
              <w:bottom w:w="120" w:type="dxa"/>
              <w:left w:w="140" w:type="dxa"/>
              <w:right w:w="140" w:type="dxa"/>
            </w:tcMar>
            <w:vAlign w:val="center"/>
          </w:tcPr>
          <w:p>
            <w:pPr>
              <w:spacing w:before="0" w:after="0"/>
              <w:jc w:val="center"/>
            </w:pPr>
            <w:r>
              <w:rPr>
                <w:rFonts w:ascii="Arial" w:hAnsi="Arial"/>
                <w:b/>
                <w:color w:val="FFFFFF"/>
                <w:sz w:val="17"/>
              </w:rPr>
              <w:t>Raw Input</w:t>
            </w:r>
          </w:p>
        </w:tc>
        <w:tc>
          <w:tcPr>
            <w:tcW w:type="dxa" w:w="1728"/>
            <w:shd w:fill="0F2A4A"/>
            <w:tcMar>
              <w:top w:w="120" w:type="dxa"/>
              <w:bottom w:w="120" w:type="dxa"/>
              <w:left w:w="140" w:type="dxa"/>
              <w:right w:w="140" w:type="dxa"/>
            </w:tcMar>
            <w:vAlign w:val="center"/>
          </w:tcPr>
          <w:p>
            <w:pPr>
              <w:spacing w:before="0" w:after="0"/>
              <w:jc w:val="center"/>
            </w:pPr>
            <w:r>
              <w:rPr>
                <w:rFonts w:ascii="Arial" w:hAnsi="Arial"/>
                <w:b/>
                <w:color w:val="FFFFFF"/>
                <w:sz w:val="17"/>
              </w:rPr>
              <w:t>Iter 1 (DCP)</w:t>
            </w:r>
          </w:p>
        </w:tc>
        <w:tc>
          <w:tcPr>
            <w:tcW w:type="dxa" w:w="1728"/>
            <w:shd w:fill="0F2A4A"/>
            <w:tcMar>
              <w:top w:w="120" w:type="dxa"/>
              <w:bottom w:w="120" w:type="dxa"/>
              <w:left w:w="140" w:type="dxa"/>
              <w:right w:w="140" w:type="dxa"/>
            </w:tcMar>
            <w:vAlign w:val="center"/>
          </w:tcPr>
          <w:p>
            <w:pPr>
              <w:spacing w:before="0" w:after="0"/>
              <w:jc w:val="center"/>
            </w:pPr>
            <w:r>
              <w:rPr>
                <w:rFonts w:ascii="Arial" w:hAnsi="Arial"/>
                <w:b/>
                <w:color w:val="FFFFFF"/>
                <w:sz w:val="17"/>
              </w:rPr>
              <w:t>Iter 2 (Guided)</w:t>
            </w:r>
          </w:p>
        </w:tc>
        <w:tc>
          <w:tcPr>
            <w:tcW w:type="dxa" w:w="1872"/>
            <w:shd w:fill="0F2A4A"/>
            <w:tcMar>
              <w:top w:w="120" w:type="dxa"/>
              <w:bottom w:w="120" w:type="dxa"/>
              <w:left w:w="140" w:type="dxa"/>
              <w:right w:w="140" w:type="dxa"/>
            </w:tcMar>
            <w:vAlign w:val="center"/>
          </w:tcPr>
          <w:p>
            <w:pPr>
              <w:spacing w:before="0" w:after="0"/>
              <w:jc w:val="center"/>
            </w:pPr>
            <w:r>
              <w:rPr>
                <w:rFonts w:ascii="Arial" w:hAnsi="Arial"/>
                <w:b/>
                <w:color w:val="FFFFFF"/>
                <w:sz w:val="17"/>
              </w:rPr>
              <w:t>ClearDrive AI</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Throughput x86 (FPS)</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30.0</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1.8 (Choke)</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42.5</w:t>
            </w:r>
          </w:p>
        </w:tc>
        <w:tc>
          <w:tcPr>
            <w:tcW w:type="dxa" w:w="187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38.6</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Throughput ARM Pi 4B (FPS)</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30.0</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0.0 (OOM Crash)</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22.4</w:t>
            </w:r>
          </w:p>
        </w:tc>
        <w:tc>
          <w:tcPr>
            <w:tcW w:type="dxa" w:w="187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32.4</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Transmission Refine Latency</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N/A</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18,420 ms</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1.15 ms</w:t>
            </w:r>
          </w:p>
        </w:tc>
        <w:tc>
          <w:tcPr>
            <w:tcW w:type="dxa" w:w="187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1.12 ms</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Total Latency per Frame</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0.0 ms</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18,510 ms</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23.5 ms</w:t>
            </w:r>
          </w:p>
        </w:tc>
        <w:tc>
          <w:tcPr>
            <w:tcW w:type="dxa" w:w="187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25.8 ms</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PSNR (Reconstruction dB)</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12.4 dB</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21.8 dB</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20.9 dB</w:t>
            </w:r>
          </w:p>
        </w:tc>
        <w:tc>
          <w:tcPr>
            <w:tcW w:type="dxa" w:w="187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22.6 dB</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Structural Similarity (SSIM)</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0.58</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0.84</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0.81</w:t>
            </w:r>
          </w:p>
        </w:tc>
        <w:tc>
          <w:tcPr>
            <w:tcW w:type="dxa" w:w="187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0.86</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Color Difference (CIEDE2000)</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18.4</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5.2</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5.8</w:t>
            </w:r>
          </w:p>
        </w:tc>
        <w:tc>
          <w:tcPr>
            <w:tcW w:type="dxa" w:w="187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4.1</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Tree Bug Halo Artifacts</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None</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Moderate</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Severe Blooming</w:t>
            </w:r>
          </w:p>
        </w:tc>
        <w:tc>
          <w:tcPr>
            <w:tcW w:type="dxa" w:w="187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Zero (Eliminated)</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Sky Temporal Flickering</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None</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High Pulsing</w:t>
            </w:r>
          </w:p>
        </w:tc>
        <w:tc>
          <w:tcPr>
            <w:tcW w:type="dxa" w:w="172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Severe Flickering</w:t>
            </w:r>
          </w:p>
        </w:tc>
        <w:tc>
          <w:tcPr>
            <w:tcW w:type="dxa" w:w="187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Zero (EMA Filtered)</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Dynamic System RAM</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85 MB</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3,420 MB</w:t>
            </w:r>
          </w:p>
        </w:tc>
        <w:tc>
          <w:tcPr>
            <w:tcW w:type="dxa" w:w="172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142 MB</w:t>
            </w:r>
          </w:p>
        </w:tc>
        <w:tc>
          <w:tcPr>
            <w:tcW w:type="dxa" w:w="187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185 MB</w:t>
            </w:r>
          </w:p>
        </w:tc>
      </w:tr>
    </w:tbl>
    <w:p>
      <w:pPr>
        <w:spacing w:before="0" w:after="80" w:line="276" w:lineRule="auto"/>
      </w:pPr>
      <w:r>
        <w:rPr>
          <w:rFonts w:ascii="Times New Roman" w:hAnsi="Times New Roman"/>
          <w:i w:val="0"/>
          <w:color w:val="1E1E1E"/>
          <w:sz w:val="20"/>
        </w:rPr>
        <w:t>As shown in Table II, Iteration 1 crashed on ARM due to 3.4 GB memory allocation. Iteration 2 achieved speed but introduced severe white blooming. ClearDrive AI (Iteration 3) delivers 22.6 dB PSNR, 0.86 SSIM, and 4.1 CIEDE2000 with zero halos and rock-steady 32.4 FPS on Raspberry Pi 4B.</w:t>
      </w:r>
    </w:p>
    <w:p>
      <w:pPr>
        <w:spacing w:before="160" w:after="40"/>
      </w:pPr>
      <w:r>
        <w:rPr>
          <w:rFonts w:ascii="Arial" w:hAnsi="Arial"/>
          <w:b/>
          <w:color w:val="0F2A4A"/>
          <w:sz w:val="18"/>
        </w:rPr>
        <w:t>TABLE III: State-of-the-Art Quantitative Comparison on RESIDE Outdoor (SOTS) and Foggy Cityscapes Benchmarks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160"/>
            <w:shd w:fill="0F2A4A"/>
            <w:tcMar>
              <w:top w:w="120" w:type="dxa"/>
              <w:bottom w:w="120" w:type="dxa"/>
              <w:left w:w="140" w:type="dxa"/>
              <w:right w:w="140" w:type="dxa"/>
            </w:tcMar>
            <w:vAlign w:val="center"/>
          </w:tcPr>
          <w:p>
            <w:pPr>
              <w:spacing w:before="0" w:after="0"/>
              <w:jc w:val="center"/>
            </w:pPr>
            <w:r>
              <w:rPr>
                <w:rFonts w:ascii="Arial" w:hAnsi="Arial"/>
                <w:b/>
                <w:color w:val="FFFFFF"/>
                <w:sz w:val="17"/>
              </w:rPr>
              <w:t>Method</w:t>
            </w:r>
          </w:p>
        </w:tc>
        <w:tc>
          <w:tcPr>
            <w:tcW w:type="dxa" w:w="1584"/>
            <w:shd w:fill="0F2A4A"/>
            <w:tcMar>
              <w:top w:w="120" w:type="dxa"/>
              <w:bottom w:w="120" w:type="dxa"/>
              <w:left w:w="140" w:type="dxa"/>
              <w:right w:w="140" w:type="dxa"/>
            </w:tcMar>
            <w:vAlign w:val="center"/>
          </w:tcPr>
          <w:p>
            <w:pPr>
              <w:spacing w:before="0" w:after="0"/>
              <w:jc w:val="center"/>
            </w:pPr>
            <w:r>
              <w:rPr>
                <w:rFonts w:ascii="Arial" w:hAnsi="Arial"/>
                <w:b/>
                <w:color w:val="FFFFFF"/>
                <w:sz w:val="17"/>
              </w:rPr>
              <w:t>Model Type</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RESIDE PSNR</w:t>
            </w:r>
          </w:p>
        </w:tc>
        <w:tc>
          <w:tcPr>
            <w:tcW w:type="dxa" w:w="1008"/>
            <w:shd w:fill="0F2A4A"/>
            <w:tcMar>
              <w:top w:w="120" w:type="dxa"/>
              <w:bottom w:w="120" w:type="dxa"/>
              <w:left w:w="140" w:type="dxa"/>
              <w:right w:w="140" w:type="dxa"/>
            </w:tcMar>
            <w:vAlign w:val="center"/>
          </w:tcPr>
          <w:p>
            <w:pPr>
              <w:spacing w:before="0" w:after="0"/>
              <w:jc w:val="center"/>
            </w:pPr>
            <w:r>
              <w:rPr>
                <w:rFonts w:ascii="Arial" w:hAnsi="Arial"/>
                <w:b/>
                <w:color w:val="FFFFFF"/>
                <w:sz w:val="17"/>
              </w:rPr>
              <w:t>RESIDE SSIM</w:t>
            </w:r>
          </w:p>
        </w:tc>
        <w:tc>
          <w:tcPr>
            <w:tcW w:type="dxa" w:w="1440"/>
            <w:shd w:fill="0F2A4A"/>
            <w:tcMar>
              <w:top w:w="120" w:type="dxa"/>
              <w:bottom w:w="120" w:type="dxa"/>
              <w:left w:w="140" w:type="dxa"/>
              <w:right w:w="140" w:type="dxa"/>
            </w:tcMar>
            <w:vAlign w:val="center"/>
          </w:tcPr>
          <w:p>
            <w:pPr>
              <w:spacing w:before="0" w:after="0"/>
              <w:jc w:val="center"/>
            </w:pPr>
            <w:r>
              <w:rPr>
                <w:rFonts w:ascii="Arial" w:hAnsi="Arial"/>
                <w:b/>
                <w:color w:val="FFFFFF"/>
                <w:sz w:val="17"/>
              </w:rPr>
              <w:t>Foggy Cityscapes mAP</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CPU Latency</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Edge FPS (Pi 4B)</w:t>
            </w:r>
          </w:p>
        </w:tc>
      </w:tr>
      <w:tr>
        <w:tc>
          <w:tcPr>
            <w:tcW w:type="dxa" w:w="216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He et al. (Classical DCP [14])</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Physical Prior</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19.24 dB</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0.824</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31.2%</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18,420 ms</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0.0 (OOM)</w:t>
            </w:r>
          </w:p>
        </w:tc>
      </w:tr>
      <w:tr>
        <w:tc>
          <w:tcPr>
            <w:tcW w:type="dxa" w:w="216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DehazeNet (Cai et al. [3])</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CNN</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21.14 dB</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0.847</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35.8%</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320 ms</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2.8 FPS</w:t>
            </w:r>
          </w:p>
        </w:tc>
      </w:tr>
      <w:tr>
        <w:tc>
          <w:tcPr>
            <w:tcW w:type="dxa" w:w="216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AOD-Net (Li et al. [4])</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Lightweight CNN</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19.82 dB</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0.812</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33.4%</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145 ms</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6.2 FPS</w:t>
            </w:r>
          </w:p>
        </w:tc>
      </w:tr>
      <w:tr>
        <w:tc>
          <w:tcPr>
            <w:tcW w:type="dxa" w:w="216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FFA-Net (Qin et al. [6])</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Attention CNN</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23.12 dB</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0.884</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38.6%</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1,420 ms</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0.6 FPS</w:t>
            </w:r>
          </w:p>
        </w:tc>
      </w:tr>
      <w:tr>
        <w:tc>
          <w:tcPr>
            <w:tcW w:type="dxa" w:w="216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GridDehazeNet (Liu et al. [5])</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Multi-Scale Attention</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23.45 dB</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0.891</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39.2%</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980 ms</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0.9 FPS</w:t>
            </w:r>
          </w:p>
        </w:tc>
      </w:tr>
      <w:tr>
        <w:tc>
          <w:tcPr>
            <w:tcW w:type="dxa" w:w="216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DehazeFormer (Guo [7])</w:t>
            </w:r>
          </w:p>
        </w:tc>
        <w:tc>
          <w:tcPr>
            <w:tcW w:type="dxa" w:w="158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Transformer</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24.18 dB</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0.912</w:t>
            </w:r>
          </w:p>
        </w:tc>
        <w:tc>
          <w:tcPr>
            <w:tcW w:type="dxa" w:w="144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41.5%</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2,850 ms</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0.2 FPS</w:t>
            </w:r>
          </w:p>
        </w:tc>
      </w:tr>
      <w:tr>
        <w:tc>
          <w:tcPr>
            <w:tcW w:type="dxa" w:w="216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ClearDrive AI (Proposed)</w:t>
            </w:r>
          </w:p>
        </w:tc>
        <w:tc>
          <w:tcPr>
            <w:tcW w:type="dxa" w:w="158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Guided Prior + Knee</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22.60 dB</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0.860</w:t>
            </w:r>
          </w:p>
        </w:tc>
        <w:tc>
          <w:tcPr>
            <w:tcW w:type="dxa" w:w="144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37.8%</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25.8 ms</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32.4 FPS</w:t>
            </w:r>
          </w:p>
        </w:tc>
      </w:tr>
    </w:tbl>
    <w:p>
      <w:pPr>
        <w:spacing w:before="160" w:after="60"/>
        <w:jc w:val="center"/>
      </w:pPr>
      <w:r>
        <w:drawing>
          <wp:inline xmlns:a="http://schemas.openxmlformats.org/drawingml/2006/main" xmlns:pic="http://schemas.openxmlformats.org/drawingml/2006/picture">
            <wp:extent cx="5303520" cy="2752459"/>
            <wp:docPr id="5" name="Picture 5"/>
            <wp:cNvGraphicFramePr>
              <a:graphicFrameLocks noChangeAspect="1"/>
            </wp:cNvGraphicFramePr>
            <a:graphic>
              <a:graphicData uri="http://schemas.openxmlformats.org/drawingml/2006/picture">
                <pic:pic>
                  <pic:nvPicPr>
                    <pic:cNvPr id="0" name="Figure_6.1_Throughput_FPS_Comparison.png"/>
                    <pic:cNvPicPr/>
                  </pic:nvPicPr>
                  <pic:blipFill>
                    <a:blip r:embed="rId13"/>
                    <a:stretch>
                      <a:fillRect/>
                    </a:stretch>
                  </pic:blipFill>
                  <pic:spPr>
                    <a:xfrm>
                      <a:off x="0" y="0"/>
                      <a:ext cx="5303520" cy="2752459"/>
                    </a:xfrm>
                    <a:prstGeom prst="rect"/>
                  </pic:spPr>
                </pic:pic>
              </a:graphicData>
            </a:graphic>
          </wp:inline>
        </w:drawing>
      </w:r>
    </w:p>
    <w:p>
      <w:pPr>
        <w:spacing w:before="0" w:after="160"/>
        <w:jc w:val="center"/>
      </w:pPr>
      <w:r>
        <w:rPr>
          <w:rFonts w:ascii="Arial" w:hAnsi="Arial"/>
          <w:b/>
          <w:color w:val="64748B"/>
          <w:sz w:val="17"/>
        </w:rPr>
        <w:t>Figure 5: Throughput (FPS) Comparison across engineering iterations on Intel x86 and Raspberry Pi 4B ARM.</w:t>
      </w:r>
    </w:p>
    <w:p>
      <w:pPr>
        <w:spacing w:before="160" w:after="40"/>
      </w:pPr>
      <w:r>
        <w:rPr>
          <w:rFonts w:ascii="Arial" w:hAnsi="Arial"/>
          <w:b/>
          <w:color w:val="0F2A4A"/>
          <w:sz w:val="18"/>
        </w:rPr>
        <w:t>TABLE IV: Cross-Platform Edge Compute Benchmarks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304"/>
            <w:shd w:fill="0F2A4A"/>
            <w:tcMar>
              <w:top w:w="120" w:type="dxa"/>
              <w:bottom w:w="120" w:type="dxa"/>
              <w:left w:w="140" w:type="dxa"/>
              <w:right w:w="140" w:type="dxa"/>
            </w:tcMar>
            <w:vAlign w:val="center"/>
          </w:tcPr>
          <w:p>
            <w:pPr>
              <w:spacing w:before="0" w:after="0"/>
              <w:jc w:val="center"/>
            </w:pPr>
            <w:r>
              <w:rPr>
                <w:rFonts w:ascii="Arial" w:hAnsi="Arial"/>
                <w:b/>
                <w:color w:val="FFFFFF"/>
                <w:sz w:val="17"/>
              </w:rPr>
              <w:t>Hardware Testbed</w:t>
            </w:r>
          </w:p>
        </w:tc>
        <w:tc>
          <w:tcPr>
            <w:tcW w:type="dxa" w:w="2880"/>
            <w:shd w:fill="0F2A4A"/>
            <w:tcMar>
              <w:top w:w="120" w:type="dxa"/>
              <w:bottom w:w="120" w:type="dxa"/>
              <w:left w:w="140" w:type="dxa"/>
              <w:right w:w="140" w:type="dxa"/>
            </w:tcMar>
            <w:vAlign w:val="center"/>
          </w:tcPr>
          <w:p>
            <w:pPr>
              <w:spacing w:before="0" w:after="0"/>
              <w:jc w:val="center"/>
            </w:pPr>
            <w:r>
              <w:rPr>
                <w:rFonts w:ascii="Arial" w:hAnsi="Arial"/>
                <w:b/>
                <w:color w:val="FFFFFF"/>
                <w:sz w:val="17"/>
              </w:rPr>
              <w:t>Architecture</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Pipeline FPS</w:t>
            </w:r>
          </w:p>
        </w:tc>
        <w:tc>
          <w:tcPr>
            <w:tcW w:type="dxa" w:w="1152"/>
            <w:shd w:fill="0F2A4A"/>
            <w:tcMar>
              <w:top w:w="120" w:type="dxa"/>
              <w:bottom w:w="120" w:type="dxa"/>
              <w:left w:w="140" w:type="dxa"/>
              <w:right w:w="140" w:type="dxa"/>
            </w:tcMar>
            <w:vAlign w:val="center"/>
          </w:tcPr>
          <w:p>
            <w:pPr>
              <w:spacing w:before="0" w:after="0"/>
              <w:jc w:val="center"/>
            </w:pPr>
            <w:r>
              <w:rPr>
                <w:rFonts w:ascii="Arial" w:hAnsi="Arial"/>
                <w:b/>
                <w:color w:val="FFFFFF"/>
                <w:sz w:val="17"/>
              </w:rPr>
              <w:t>CPU Load</w:t>
            </w:r>
          </w:p>
        </w:tc>
        <w:tc>
          <w:tcPr>
            <w:tcW w:type="dxa" w:w="1296"/>
            <w:shd w:fill="0F2A4A"/>
            <w:tcMar>
              <w:top w:w="120" w:type="dxa"/>
              <w:bottom w:w="120" w:type="dxa"/>
              <w:left w:w="140" w:type="dxa"/>
              <w:right w:w="140" w:type="dxa"/>
            </w:tcMar>
            <w:vAlign w:val="center"/>
          </w:tcPr>
          <w:p>
            <w:pPr>
              <w:spacing w:before="0" w:after="0"/>
              <w:jc w:val="center"/>
            </w:pPr>
            <w:r>
              <w:rPr>
                <w:rFonts w:ascii="Arial" w:hAnsi="Arial"/>
                <w:b/>
                <w:color w:val="FFFFFF"/>
                <w:sz w:val="17"/>
              </w:rPr>
              <w:t>Dynamic RAM</w:t>
            </w:r>
          </w:p>
        </w:tc>
        <w:tc>
          <w:tcPr>
            <w:tcW w:type="dxa" w:w="864"/>
            <w:shd w:fill="0F2A4A"/>
            <w:tcMar>
              <w:top w:w="120" w:type="dxa"/>
              <w:bottom w:w="120" w:type="dxa"/>
              <w:left w:w="140" w:type="dxa"/>
              <w:right w:w="140" w:type="dxa"/>
            </w:tcMar>
            <w:vAlign w:val="center"/>
          </w:tcPr>
          <w:p>
            <w:pPr>
              <w:spacing w:before="0" w:after="0"/>
              <w:jc w:val="center"/>
            </w:pPr>
            <w:r>
              <w:rPr>
                <w:rFonts w:ascii="Arial" w:hAnsi="Arial"/>
                <w:b/>
                <w:color w:val="FFFFFF"/>
                <w:sz w:val="17"/>
              </w:rPr>
              <w:t>Temp</w:t>
            </w:r>
          </w:p>
        </w:tc>
      </w:tr>
      <w:tr>
        <w:tc>
          <w:tcPr>
            <w:tcW w:type="dxa" w:w="2304"/>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Intel Core i5-1135G7</w:t>
            </w:r>
          </w:p>
        </w:tc>
        <w:tc>
          <w:tcPr>
            <w:tcW w:type="dxa" w:w="288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4C/8T @ 2.4-4.2 GHz (x86_64)</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38.6</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38%</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185 MB</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52°C</w:t>
            </w:r>
          </w:p>
        </w:tc>
      </w:tr>
      <w:tr>
        <w:tc>
          <w:tcPr>
            <w:tcW w:type="dxa" w:w="2304"/>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NVIDIA Jetson Nano</w:t>
            </w:r>
          </w:p>
        </w:tc>
        <w:tc>
          <w:tcPr>
            <w:tcW w:type="dxa" w:w="288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4C ARM A57 + 128 Maxwell GPU</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34.8</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54% / 62%</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215 MB</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58°C</w:t>
            </w:r>
          </w:p>
        </w:tc>
      </w:tr>
      <w:tr>
        <w:tc>
          <w:tcPr>
            <w:tcW w:type="dxa" w:w="2304"/>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Raspberry Pi 4B (ARM)</w:t>
            </w:r>
          </w:p>
        </w:tc>
        <w:tc>
          <w:tcPr>
            <w:tcW w:type="dxa" w:w="2880"/>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Quad ARM Cortex-A72 @ 1.5 GHz</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32.4</w:t>
            </w:r>
          </w:p>
        </w:tc>
        <w:tc>
          <w:tcPr>
            <w:tcW w:type="dxa" w:w="1152"/>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74%</w:t>
            </w:r>
          </w:p>
        </w:tc>
        <w:tc>
          <w:tcPr>
            <w:tcW w:type="dxa" w:w="129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178 MB</w:t>
            </w:r>
          </w:p>
        </w:tc>
        <w:tc>
          <w:tcPr>
            <w:tcW w:type="dxa" w:w="864"/>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62°C</w:t>
            </w:r>
          </w:p>
        </w:tc>
      </w:tr>
      <w:tr>
        <w:tc>
          <w:tcPr>
            <w:tcW w:type="dxa" w:w="2304"/>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NXP BlueBox Reference</w:t>
            </w:r>
          </w:p>
        </w:tc>
        <w:tc>
          <w:tcPr>
            <w:tcW w:type="dxa" w:w="2880"/>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Automotive Quad Cortex-A53</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31.5</w:t>
            </w:r>
          </w:p>
        </w:tc>
        <w:tc>
          <w:tcPr>
            <w:tcW w:type="dxa" w:w="1152"/>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68%</w:t>
            </w:r>
          </w:p>
        </w:tc>
        <w:tc>
          <w:tcPr>
            <w:tcW w:type="dxa" w:w="129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192 MB</w:t>
            </w:r>
          </w:p>
        </w:tc>
        <w:tc>
          <w:tcPr>
            <w:tcW w:type="dxa" w:w="864"/>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55°C</w:t>
            </w:r>
          </w:p>
        </w:tc>
      </w:tr>
    </w:tbl>
    <w:p>
      <w:pPr>
        <w:spacing w:before="160" w:after="60"/>
        <w:jc w:val="center"/>
      </w:pPr>
      <w:r>
        <w:drawing>
          <wp:inline xmlns:a="http://schemas.openxmlformats.org/drawingml/2006/main" xmlns:pic="http://schemas.openxmlformats.org/drawingml/2006/picture">
            <wp:extent cx="5303520" cy="2753621"/>
            <wp:docPr id="6" name="Picture 6"/>
            <wp:cNvGraphicFramePr>
              <a:graphicFrameLocks noChangeAspect="1"/>
            </wp:cNvGraphicFramePr>
            <a:graphic>
              <a:graphicData uri="http://schemas.openxmlformats.org/drawingml/2006/picture">
                <pic:pic>
                  <pic:nvPicPr>
                    <pic:cNvPr id="0" name="Figure_6.3_Distance_Calibration_Curve.png"/>
                    <pic:cNvPicPr/>
                  </pic:nvPicPr>
                  <pic:blipFill>
                    <a:blip r:embed="rId14"/>
                    <a:stretch>
                      <a:fillRect/>
                    </a:stretch>
                  </pic:blipFill>
                  <pic:spPr>
                    <a:xfrm>
                      <a:off x="0" y="0"/>
                      <a:ext cx="5303520" cy="2753621"/>
                    </a:xfrm>
                    <a:prstGeom prst="rect"/>
                  </pic:spPr>
                </pic:pic>
              </a:graphicData>
            </a:graphic>
          </wp:inline>
        </w:drawing>
      </w:r>
    </w:p>
    <w:p>
      <w:pPr>
        <w:spacing w:before="0" w:after="160"/>
        <w:jc w:val="center"/>
      </w:pPr>
      <w:r>
        <w:rPr>
          <w:rFonts w:ascii="Arial" w:hAnsi="Arial"/>
          <w:b/>
          <w:color w:val="64748B"/>
          <w:sz w:val="17"/>
        </w:rPr>
        <w:t>Figure 6: Metric Distance Calibration Curve: Predicted vs. Laser Ground-Truth.</w:t>
      </w:r>
    </w:p>
    <w:p>
      <w:pPr>
        <w:spacing w:before="160" w:after="40"/>
      </w:pPr>
      <w:r>
        <w:rPr>
          <w:rFonts w:ascii="Arial" w:hAnsi="Arial"/>
          <w:b/>
          <w:color w:val="0F2A4A"/>
          <w:sz w:val="18"/>
        </w:rPr>
        <w:t>TABLE V: Ablation Study of Algorithmic Components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0F2A4A"/>
            <w:tcMar>
              <w:top w:w="120" w:type="dxa"/>
              <w:bottom w:w="120" w:type="dxa"/>
              <w:left w:w="140" w:type="dxa"/>
              <w:right w:w="140" w:type="dxa"/>
            </w:tcMar>
            <w:vAlign w:val="center"/>
          </w:tcPr>
          <w:p>
            <w:pPr>
              <w:spacing w:before="0" w:after="0"/>
              <w:jc w:val="center"/>
            </w:pPr>
            <w:r>
              <w:rPr>
                <w:rFonts w:ascii="Arial" w:hAnsi="Arial"/>
                <w:b/>
                <w:color w:val="FFFFFF"/>
                <w:sz w:val="17"/>
              </w:rPr>
              <w:t>Configuration</w:t>
            </w:r>
          </w:p>
        </w:tc>
        <w:tc>
          <w:tcPr>
            <w:tcW w:type="dxa" w:w="1008"/>
            <w:shd w:fill="0F2A4A"/>
            <w:tcMar>
              <w:top w:w="120" w:type="dxa"/>
              <w:bottom w:w="120" w:type="dxa"/>
              <w:left w:w="140" w:type="dxa"/>
              <w:right w:w="140" w:type="dxa"/>
            </w:tcMar>
            <w:vAlign w:val="center"/>
          </w:tcPr>
          <w:p>
            <w:pPr>
              <w:spacing w:before="0" w:after="0"/>
              <w:jc w:val="center"/>
            </w:pPr>
            <w:r>
              <w:rPr>
                <w:rFonts w:ascii="Arial" w:hAnsi="Arial"/>
                <w:b/>
                <w:color w:val="FFFFFF"/>
                <w:sz w:val="17"/>
              </w:rPr>
              <w:t>FPS</w:t>
            </w:r>
          </w:p>
        </w:tc>
        <w:tc>
          <w:tcPr>
            <w:tcW w:type="dxa" w:w="2016"/>
            <w:shd w:fill="0F2A4A"/>
            <w:tcMar>
              <w:top w:w="120" w:type="dxa"/>
              <w:bottom w:w="120" w:type="dxa"/>
              <w:left w:w="140" w:type="dxa"/>
              <w:right w:w="140" w:type="dxa"/>
            </w:tcMar>
            <w:vAlign w:val="center"/>
          </w:tcPr>
          <w:p>
            <w:pPr>
              <w:spacing w:before="0" w:after="0"/>
              <w:jc w:val="center"/>
            </w:pPr>
            <w:r>
              <w:rPr>
                <w:rFonts w:ascii="Arial" w:hAnsi="Arial"/>
                <w:b/>
                <w:color w:val="FFFFFF"/>
                <w:sz w:val="17"/>
              </w:rPr>
              <w:t>PSNR / SSIM</w:t>
            </w:r>
          </w:p>
        </w:tc>
        <w:tc>
          <w:tcPr>
            <w:tcW w:type="dxa" w:w="3888"/>
            <w:shd w:fill="0F2A4A"/>
            <w:tcMar>
              <w:top w:w="120" w:type="dxa"/>
              <w:bottom w:w="120" w:type="dxa"/>
              <w:left w:w="140" w:type="dxa"/>
              <w:right w:w="140" w:type="dxa"/>
            </w:tcMar>
            <w:vAlign w:val="center"/>
          </w:tcPr>
          <w:p>
            <w:pPr>
              <w:spacing w:before="0" w:after="0"/>
              <w:jc w:val="center"/>
            </w:pPr>
            <w:r>
              <w:rPr>
                <w:rFonts w:ascii="Arial" w:hAnsi="Arial"/>
                <w:b/>
                <w:color w:val="FFFFFF"/>
                <w:sz w:val="17"/>
              </w:rPr>
              <w:t>Observed Failure Mode &amp; Safety Impact</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Full ClearDrive AI</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32.4</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22.6 dB / 0.86</w:t>
            </w:r>
          </w:p>
        </w:tc>
        <w:tc>
          <w:tcPr>
            <w:tcW w:type="dxa" w:w="388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Optimal performance; zero halos; rock-steady telemetry.</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w/o Fast Guided Filter</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34.1</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16.8 dB / 0.71</w:t>
            </w:r>
          </w:p>
        </w:tc>
        <w:tc>
          <w:tcPr>
            <w:tcW w:type="dxa" w:w="388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Severe blocky step-artifacts along vehicle silhouettes.</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w/o Temporal EMA Airlight</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32.6</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20.1 dB / 0.79</w:t>
            </w:r>
          </w:p>
        </w:tc>
        <w:tc>
          <w:tcPr>
            <w:tcW w:type="dxa" w:w="388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Violent strobe-like sky flickering; driver distraction.</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w/o Foliage Floor t0(x)</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32.5</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19.2 dB / 0.77</w:t>
            </w:r>
          </w:p>
        </w:tc>
        <w:tc>
          <w:tcPr>
            <w:tcW w:type="dxa" w:w="388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Tree Bug returns: catastrophic white halos on signs.</w:t>
            </w:r>
          </w:p>
        </w:tc>
      </w:tr>
      <w:tr>
        <w:tc>
          <w:tcPr>
            <w:tcW w:type="dxa" w:w="2880"/>
            <w:shd w:fill="FFFFFF"/>
            <w:tcMar>
              <w:top w:w="90" w:type="dxa"/>
              <w:bottom w:w="90" w:type="dxa"/>
              <w:left w:w="130" w:type="dxa"/>
              <w:right w:w="130" w:type="dxa"/>
            </w:tcMar>
            <w:vAlign w:val="center"/>
          </w:tcPr>
          <w:p>
            <w:pPr>
              <w:spacing w:before="0" w:after="0"/>
              <w:jc w:val="left"/>
            </w:pPr>
            <w:r>
              <w:rPr>
                <w:rFonts w:ascii="Times New Roman" w:hAnsi="Times New Roman"/>
                <w:color w:val="1E1E1E"/>
                <w:sz w:val="17"/>
              </w:rPr>
              <w:t>w/o Gyro Pitch Dampener</w:t>
            </w:r>
          </w:p>
        </w:tc>
        <w:tc>
          <w:tcPr>
            <w:tcW w:type="dxa" w:w="100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32.8</w:t>
            </w:r>
          </w:p>
        </w:tc>
        <w:tc>
          <w:tcPr>
            <w:tcW w:type="dxa" w:w="2016"/>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21.5 dB / 0.83</w:t>
            </w:r>
          </w:p>
        </w:tc>
        <w:tc>
          <w:tcPr>
            <w:tcW w:type="dxa" w:w="3888"/>
            <w:shd w:fill="FFFFFF"/>
            <w:tcMar>
              <w:top w:w="90" w:type="dxa"/>
              <w:bottom w:w="90" w:type="dxa"/>
              <w:left w:w="130" w:type="dxa"/>
              <w:right w:w="130" w:type="dxa"/>
            </w:tcMar>
            <w:vAlign w:val="center"/>
          </w:tcPr>
          <w:p>
            <w:pPr>
              <w:spacing w:before="0" w:after="0"/>
              <w:jc w:val="center"/>
            </w:pPr>
            <w:r>
              <w:rPr>
                <w:rFonts w:ascii="Times New Roman" w:hAnsi="Times New Roman"/>
                <w:color w:val="1E1E1E"/>
                <w:sz w:val="17"/>
              </w:rPr>
              <w:t>Road bounce causes distance error fluctuation +/-38%.</w:t>
            </w:r>
          </w:p>
        </w:tc>
      </w:tr>
      <w:tr>
        <w:tc>
          <w:tcPr>
            <w:tcW w:type="dxa" w:w="2880"/>
            <w:shd w:fill="F8FAFC"/>
            <w:tcMar>
              <w:top w:w="90" w:type="dxa"/>
              <w:bottom w:w="90" w:type="dxa"/>
              <w:left w:w="130" w:type="dxa"/>
              <w:right w:w="130" w:type="dxa"/>
            </w:tcMar>
            <w:vAlign w:val="center"/>
          </w:tcPr>
          <w:p>
            <w:pPr>
              <w:spacing w:before="0" w:after="0"/>
              <w:jc w:val="left"/>
            </w:pPr>
            <w:r>
              <w:rPr>
                <w:rFonts w:ascii="Times New Roman" w:hAnsi="Times New Roman"/>
                <w:color w:val="1E1E1E"/>
                <w:sz w:val="17"/>
              </w:rPr>
              <w:t>w/o Async Multiprocessing</w:t>
            </w:r>
          </w:p>
        </w:tc>
        <w:tc>
          <w:tcPr>
            <w:tcW w:type="dxa" w:w="100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8.4</w:t>
            </w:r>
          </w:p>
        </w:tc>
        <w:tc>
          <w:tcPr>
            <w:tcW w:type="dxa" w:w="2016"/>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22.4 dB / 0.85</w:t>
            </w:r>
          </w:p>
        </w:tc>
        <w:tc>
          <w:tcPr>
            <w:tcW w:type="dxa" w:w="3888"/>
            <w:shd w:fill="F8FAFC"/>
            <w:tcMar>
              <w:top w:w="90" w:type="dxa"/>
              <w:bottom w:w="90" w:type="dxa"/>
              <w:left w:w="130" w:type="dxa"/>
              <w:right w:w="130" w:type="dxa"/>
            </w:tcMar>
            <w:vAlign w:val="center"/>
          </w:tcPr>
          <w:p>
            <w:pPr>
              <w:spacing w:before="0" w:after="0"/>
              <w:jc w:val="center"/>
            </w:pPr>
            <w:r>
              <w:rPr>
                <w:rFonts w:ascii="Times New Roman" w:hAnsi="Times New Roman"/>
                <w:color w:val="1E1E1E"/>
                <w:sz w:val="17"/>
              </w:rPr>
              <w:t>Severe throughput collapse; 350ms stale video lag.</w:t>
            </w:r>
          </w:p>
        </w:tc>
      </w:tr>
    </w:tbl>
    <w:p>
      <w:pPr>
        <w:keepNext/>
        <w:spacing w:before="280" w:after="80"/>
      </w:pPr>
      <w:r>
        <w:rPr>
          <w:rFonts w:ascii="Arial" w:hAnsi="Arial"/>
          <w:b/>
          <w:color w:val="0F2A4A"/>
          <w:sz w:val="24"/>
        </w:rPr>
        <w:t>V. DISCUSSION, SAFETY COMPLIANCE &amp; ECONOMIC IMPACT</w:t>
      </w:r>
    </w:p>
    <w:p>
      <w:pPr>
        <w:spacing w:before="0" w:after="80" w:line="276" w:lineRule="auto"/>
      </w:pPr>
      <w:r>
        <w:rPr>
          <w:rFonts w:ascii="Times New Roman" w:hAnsi="Times New Roman"/>
          <w:i w:val="0"/>
          <w:color w:val="1E1E1E"/>
          <w:sz w:val="20"/>
        </w:rPr>
        <w:t>ClearDrive AI operates within ISO 26262 ASIL-B [35] and AIS-140/145 guidelines. To prevent sensor lockup hazards, a single-cycle hardware bypass toggle allows immediate 1:1 routing of raw dashcam frames (&lt;15 ms fail-safe handover). 100% offline edge processing guarantees total availability without cloud dependency.</w:t>
      </w:r>
    </w:p>
    <w:p>
      <w:pPr>
        <w:spacing w:before="0" w:after="80" w:line="276" w:lineRule="auto"/>
      </w:pPr>
      <w:r>
        <w:rPr>
          <w:rFonts w:ascii="Times New Roman" w:hAnsi="Times New Roman"/>
          <w:i w:val="0"/>
          <w:color w:val="1E1E1E"/>
          <w:sz w:val="20"/>
        </w:rPr>
        <w:t>Commercial OEM ADAS packages (Mobileye EyeQ4, Bosch radar suites) cost $1,500 to $4,500, restricting safety systems to luxury vehicles. ClearDrive AI delivers robust multi-hazard perception on an $82 (Rs. 6,800) BOM (Raspberry Pi 4B: $58, Sony IMX323 CMOS sensor: $18, and automotive 12V buck regulator: $6), enabling democratic mass-market adoption across developing economies.</w:t>
      </w:r>
    </w:p>
    <w:p>
      <w:pPr>
        <w:keepNext/>
        <w:spacing w:before="280" w:after="80"/>
      </w:pPr>
      <w:r>
        <w:rPr>
          <w:rFonts w:ascii="Arial" w:hAnsi="Arial"/>
          <w:b/>
          <w:color w:val="0F2A4A"/>
          <w:sz w:val="24"/>
        </w:rPr>
        <w:t>VI. CONCLUSION &amp; FUTURE WORK</w:t>
      </w:r>
    </w:p>
    <w:p>
      <w:pPr>
        <w:spacing w:before="0" w:after="80" w:line="276" w:lineRule="auto"/>
      </w:pPr>
      <w:r>
        <w:rPr>
          <w:rFonts w:ascii="Times New Roman" w:hAnsi="Times New Roman"/>
          <w:i w:val="0"/>
          <w:color w:val="1E1E1E"/>
          <w:sz w:val="20"/>
        </w:rPr>
        <w:t>This paper presented ClearDrive AI, a real-time, deterministic, and edge-resilient multi-hazard vision restoration and kinematic telemetry ADAS framework. By coupling an adaptive foliage-floor Fast Guided Dark Channel Prior with specular knee dynamic range compression and asynchronous multiprocessing, ClearDrive AI permanently resolves the classical halo and sky-flickering failure modes of physical dehazing, sustaining 32.4 FPS on an $82 ARM Cortex-A72 edge SBC. Field validation across standard benchmarks and 36-hairpin mountain ghat road tests demonstrates an expansion in forward hazard identification range by 340% in dense fog, with bounded metric distance error under 7.2% and dynamic TTC alert generation.</w:t>
      </w:r>
    </w:p>
    <w:p>
      <w:pPr>
        <w:spacing w:before="0" w:after="80" w:line="276" w:lineRule="auto"/>
      </w:pPr>
      <w:r>
        <w:rPr>
          <w:rFonts w:ascii="Times New Roman" w:hAnsi="Times New Roman"/>
          <w:i w:val="0"/>
          <w:color w:val="1E1E1E"/>
          <w:sz w:val="20"/>
        </w:rPr>
        <w:t>Future research will explore stereo pseudo-LIDAR depth estimation and 4-bit INT4 quantization via TensorRT on ultra-low-power NPU micro-controllers.</w:t>
      </w:r>
    </w:p>
    <w:p>
      <w:pPr>
        <w:keepNext/>
        <w:spacing w:before="280" w:after="80"/>
      </w:pPr>
      <w:r>
        <w:rPr>
          <w:rFonts w:ascii="Arial" w:hAnsi="Arial"/>
          <w:b/>
          <w:color w:val="0F2A4A"/>
          <w:sz w:val="24"/>
        </w:rPr>
        <w:t>ACKNOWLEDGMENT</w:t>
      </w:r>
    </w:p>
    <w:p>
      <w:pPr>
        <w:spacing w:before="0" w:after="80" w:line="276" w:lineRule="auto"/>
      </w:pPr>
      <w:r>
        <w:rPr>
          <w:rFonts w:ascii="Times New Roman" w:hAnsi="Times New Roman"/>
          <w:i w:val="0"/>
          <w:color w:val="1E1E1E"/>
          <w:sz w:val="20"/>
        </w:rPr>
        <w:t>The authors express sincere gratitude to the Department of CSE-AIML, the faculty guides, and the research leadership at Chennai Institute of Technology, Chennai, India, for providing laboratory facilities, technical mentorship, and computational resources throughout this research investigation.</w:t>
      </w:r>
    </w:p>
    <w:p>
      <w:pPr>
        <w:keepNext/>
        <w:spacing w:before="280" w:after="80"/>
      </w:pPr>
      <w:r>
        <w:rPr>
          <w:rFonts w:ascii="Arial" w:hAnsi="Arial"/>
          <w:b/>
          <w:color w:val="0F2A4A"/>
          <w:sz w:val="24"/>
        </w:rPr>
        <w:t>REFERENCES</w:t>
      </w:r>
    </w:p>
    <w:p>
      <w:pPr>
        <w:spacing w:before="20" w:after="40" w:line="252" w:lineRule="auto"/>
        <w:ind w:left="360" w:hanging="360"/>
      </w:pPr>
      <w:r>
        <w:rPr>
          <w:rFonts w:ascii="Times New Roman" w:hAnsi="Times New Roman"/>
          <w:color w:val="1E1E1E"/>
          <w:sz w:val="17"/>
        </w:rPr>
        <w:t>[1] Ministry of Road Transport and Highways (MoRTH), 'Road Accidents in India 2023-2024: Statistical Analysis and Mitigation Strategies,' Government of India, Tech. Rep., New Delhi, India, 2024.</w:t>
      </w:r>
    </w:p>
    <w:p>
      <w:pPr>
        <w:spacing w:before="20" w:after="40" w:line="252" w:lineRule="auto"/>
        <w:ind w:left="360" w:hanging="360"/>
      </w:pPr>
      <w:r>
        <w:rPr>
          <w:rFonts w:ascii="Times New Roman" w:hAnsi="Times New Roman"/>
          <w:color w:val="1E1E1E"/>
          <w:sz w:val="17"/>
        </w:rPr>
        <w:t>[2] H. Koschmieder, 'Theorie der horizontalen Sichtweite,' Beitr. Phys. Freien Atmosph., vol. 12, pp. 33–53, 1924.</w:t>
      </w:r>
    </w:p>
    <w:p>
      <w:pPr>
        <w:spacing w:before="20" w:after="40" w:line="252" w:lineRule="auto"/>
        <w:ind w:left="360" w:hanging="360"/>
      </w:pPr>
      <w:r>
        <w:rPr>
          <w:rFonts w:ascii="Times New Roman" w:hAnsi="Times New Roman"/>
          <w:color w:val="1E1E1E"/>
          <w:sz w:val="17"/>
        </w:rPr>
        <w:t>[3] B. Cai, X. Xu, K. Jia, C. Qing, and D. Tao, 'DehazeNet: An end-to-end system for single image haze removal,' IEEE Trans. Image Process., vol. 25, no. 11, pp. 5187–5198, 2016.</w:t>
      </w:r>
    </w:p>
    <w:p>
      <w:pPr>
        <w:spacing w:before="20" w:after="40" w:line="252" w:lineRule="auto"/>
        <w:ind w:left="360" w:hanging="360"/>
      </w:pPr>
      <w:r>
        <w:rPr>
          <w:rFonts w:ascii="Times New Roman" w:hAnsi="Times New Roman"/>
          <w:color w:val="1E1E1E"/>
          <w:sz w:val="17"/>
        </w:rPr>
        <w:t>[4] B. Li, X. Peng, Z. Wang, J. Xu, and D. Feng, 'AOD-Net: All-in-one dehazing network,' in Proc. IEEE Int. Conf. Comput. Vis. (ICCV), 2017, pp. 4770–4778.</w:t>
      </w:r>
    </w:p>
    <w:p>
      <w:pPr>
        <w:spacing w:before="20" w:after="40" w:line="252" w:lineRule="auto"/>
        <w:ind w:left="360" w:hanging="360"/>
      </w:pPr>
      <w:r>
        <w:rPr>
          <w:rFonts w:ascii="Times New Roman" w:hAnsi="Times New Roman"/>
          <w:color w:val="1E1E1E"/>
          <w:sz w:val="17"/>
        </w:rPr>
        <w:t>[5] X. Liu, Y. Ma, Z. Shi, and J. Chen, 'GridDehazeNet: Attention-based multi-scale network for image dehazing,' in Proc. IEEE Int. Conf. Comput. Vis. (ICCV), 2019, pp. 7314–7323.</w:t>
      </w:r>
    </w:p>
    <w:p>
      <w:pPr>
        <w:spacing w:before="20" w:after="40" w:line="252" w:lineRule="auto"/>
        <w:ind w:left="360" w:hanging="360"/>
      </w:pPr>
      <w:r>
        <w:rPr>
          <w:rFonts w:ascii="Times New Roman" w:hAnsi="Times New Roman"/>
          <w:color w:val="1E1E1E"/>
          <w:sz w:val="17"/>
        </w:rPr>
        <w:t>[6] X. Qin, Z. Wang, Y. Bai, X. Xie, and H. Jia, 'FFA-Net: Feature fusion attention network for single image dehazing,' in Proc. AAAI Conf. Artif. Intell., 2020, pp. 11908–11915.</w:t>
      </w:r>
    </w:p>
    <w:p>
      <w:pPr>
        <w:spacing w:before="20" w:after="40" w:line="252" w:lineRule="auto"/>
        <w:ind w:left="360" w:hanging="360"/>
      </w:pPr>
      <w:r>
        <w:rPr>
          <w:rFonts w:ascii="Times New Roman" w:hAnsi="Times New Roman"/>
          <w:color w:val="1E1E1E"/>
          <w:sz w:val="17"/>
        </w:rPr>
        <w:t>[7] C.-L. Guo et al., 'Image dehazing transformer with transmission-aware feature aggregation,' IEEE Trans. Image Process., vol. 31, pp. 6128–6140, 2022.</w:t>
      </w:r>
    </w:p>
    <w:p>
      <w:pPr>
        <w:spacing w:before="20" w:after="40" w:line="252" w:lineRule="auto"/>
        <w:ind w:left="360" w:hanging="360"/>
      </w:pPr>
      <w:r>
        <w:rPr>
          <w:rFonts w:ascii="Times New Roman" w:hAnsi="Times New Roman"/>
          <w:color w:val="1E1E1E"/>
          <w:sz w:val="17"/>
        </w:rPr>
        <w:t>[8] Y. Song, Z. He, H. Qian, X. Du, and P. Tan, 'DiffDehaze: Diffusion-based real-world image dehazing with physical prior guidance,' IEEE Trans. Pattern Anal. Mach. Intell., vol. 46, no. 8, pp. 5412–5426, 2024.</w:t>
      </w:r>
    </w:p>
    <w:p>
      <w:pPr>
        <w:spacing w:before="20" w:after="40" w:line="252" w:lineRule="auto"/>
        <w:ind w:left="360" w:hanging="360"/>
      </w:pPr>
      <w:r>
        <w:rPr>
          <w:rFonts w:ascii="Times New Roman" w:hAnsi="Times New Roman"/>
          <w:color w:val="1E1E1E"/>
          <w:sz w:val="17"/>
        </w:rPr>
        <w:t>[9] K. He and J. Sun, 'Fast guided filter,' arXiv preprint arXiv:1505.00996, 2015.</w:t>
      </w:r>
    </w:p>
    <w:p>
      <w:pPr>
        <w:spacing w:before="20" w:after="40" w:line="252" w:lineRule="auto"/>
        <w:ind w:left="360" w:hanging="360"/>
      </w:pPr>
      <w:r>
        <w:rPr>
          <w:rFonts w:ascii="Times New Roman" w:hAnsi="Times New Roman"/>
          <w:color w:val="1E1E1E"/>
          <w:sz w:val="17"/>
        </w:rPr>
        <w:t>[10] K. Zuiderveld, 'Contrast limited adaptive histogram equalization,' in Graphics Gems IV, Academic Press, 1994, pp. 474–485.</w:t>
      </w:r>
    </w:p>
    <w:p>
      <w:pPr>
        <w:spacing w:before="20" w:after="40" w:line="252" w:lineRule="auto"/>
        <w:ind w:left="360" w:hanging="360"/>
      </w:pPr>
      <w:r>
        <w:rPr>
          <w:rFonts w:ascii="Times New Roman" w:hAnsi="Times New Roman"/>
          <w:color w:val="1E1E1E"/>
          <w:sz w:val="17"/>
        </w:rPr>
        <w:t>[11] G. Jocher, A. Chaurasia, and J. Qiu, 'Ultralytics YOLOv8,' 2023. [Online]. Available: https://github.com/ultralytics/ultralytics</w:t>
      </w:r>
    </w:p>
    <w:p>
      <w:pPr>
        <w:spacing w:before="20" w:after="40" w:line="252" w:lineRule="auto"/>
        <w:ind w:left="360" w:hanging="360"/>
      </w:pPr>
      <w:r>
        <w:rPr>
          <w:rFonts w:ascii="Times New Roman" w:hAnsi="Times New Roman"/>
          <w:color w:val="1E1E1E"/>
          <w:sz w:val="17"/>
        </w:rPr>
        <w:t>[12] B. Li et al., 'Benchmarking single-image dehazing and beyond,' IEEE Trans. Image Process., vol. 28, no. 1, pp. 492–505, 2018.</w:t>
      </w:r>
    </w:p>
    <w:p>
      <w:pPr>
        <w:spacing w:before="20" w:after="40" w:line="252" w:lineRule="auto"/>
        <w:ind w:left="360" w:hanging="360"/>
      </w:pPr>
      <w:r>
        <w:rPr>
          <w:rFonts w:ascii="Times New Roman" w:hAnsi="Times New Roman"/>
          <w:color w:val="1E1E1E"/>
          <w:sz w:val="17"/>
        </w:rPr>
        <w:t>[13] C. Sakaridis, D. Dai, and L. Van Gool, 'Semantic foggy scene understanding with synthetic data,' Int. J. Comput. Vis., vol. 126, no. 9, pp. 973–992, 2018.</w:t>
      </w:r>
    </w:p>
    <w:p>
      <w:pPr>
        <w:spacing w:before="20" w:after="40" w:line="252" w:lineRule="auto"/>
        <w:ind w:left="360" w:hanging="360"/>
      </w:pPr>
      <w:r>
        <w:rPr>
          <w:rFonts w:ascii="Times New Roman" w:hAnsi="Times New Roman"/>
          <w:color w:val="1E1E1E"/>
          <w:sz w:val="17"/>
        </w:rPr>
        <w:t>[14] K. He, J. Sun, and X. Tang, 'Single image haze removal using dark channel prior,' IEEE Trans. Pattern Anal. Mach. Intell., vol. 33, no. 12, pp. 2341–2353, 2011.</w:t>
      </w:r>
    </w:p>
    <w:p>
      <w:pPr>
        <w:spacing w:before="20" w:after="40" w:line="252" w:lineRule="auto"/>
        <w:ind w:left="360" w:hanging="360"/>
      </w:pPr>
      <w:r>
        <w:rPr>
          <w:rFonts w:ascii="Times New Roman" w:hAnsi="Times New Roman"/>
          <w:color w:val="1E1E1E"/>
          <w:sz w:val="17"/>
        </w:rPr>
        <w:t>[15] K. He, J. Sun, and X. Tang, 'Guided image filtering,' IEEE Trans. Pattern Anal. Mach. Intell., vol. 35, no. 6, pp. 1397–1409, 2013.</w:t>
      </w:r>
    </w:p>
    <w:p>
      <w:pPr>
        <w:spacing w:before="20" w:after="40" w:line="252" w:lineRule="auto"/>
        <w:ind w:left="360" w:hanging="360"/>
      </w:pPr>
      <w:r>
        <w:rPr>
          <w:rFonts w:ascii="Times New Roman" w:hAnsi="Times New Roman"/>
          <w:color w:val="1E1E1E"/>
          <w:sz w:val="17"/>
        </w:rPr>
        <w:t>[16] X. Chen, J. Li, T. Zhang, F. Shen, and Y. Yang, 'Atmospheric scattering-aware vision transformer for adverse weather driving perception,' IEEE Trans. Intell. Transp. Syst., vol. 25, no. 6, pp. 5678–5691, 2024.</w:t>
      </w:r>
    </w:p>
    <w:p>
      <w:pPr>
        <w:spacing w:before="20" w:after="40" w:line="252" w:lineRule="auto"/>
        <w:ind w:left="360" w:hanging="360"/>
      </w:pPr>
      <w:r>
        <w:rPr>
          <w:rFonts w:ascii="Times New Roman" w:hAnsi="Times New Roman"/>
          <w:color w:val="1E1E1E"/>
          <w:sz w:val="17"/>
        </w:rPr>
        <w:t>[17] H. Zhang, W. Liu, D. Ren, M. Sun, and M. Evans, 'Real-time edge-guided optical dehazing and vehicle perception for autonomous driving,' IEEE Trans. Intell. Veh., vol. 10, no. 2, pp. 894–908, 2025.</w:t>
      </w:r>
    </w:p>
    <w:p>
      <w:pPr>
        <w:spacing w:before="20" w:after="40" w:line="252" w:lineRule="auto"/>
        <w:ind w:left="360" w:hanging="360"/>
      </w:pPr>
      <w:r>
        <w:rPr>
          <w:rFonts w:ascii="Times New Roman" w:hAnsi="Times New Roman"/>
          <w:color w:val="1E1E1E"/>
          <w:sz w:val="17"/>
        </w:rPr>
        <w:t>[18] R. Kumar and V. Singh, 'Ultra-low latency atmospheric transmission estimation for edge-embedded ADAS microprocessors,' IEEE Sensors J., vol. 25, no. 4, pp. 2410–2423, 2025.</w:t>
      </w:r>
    </w:p>
    <w:p>
      <w:pPr>
        <w:spacing w:before="20" w:after="40" w:line="252" w:lineRule="auto"/>
        <w:ind w:left="360" w:hanging="360"/>
      </w:pPr>
      <w:r>
        <w:rPr>
          <w:rFonts w:ascii="Times New Roman" w:hAnsi="Times New Roman"/>
          <w:color w:val="1E1E1E"/>
          <w:sz w:val="17"/>
        </w:rPr>
        <w:t>[19] E. H. Land, 'The retinex theory of color vision,' Sci. Am., vol. 237, no. 6, pp. 108–129, 1977.</w:t>
      </w:r>
    </w:p>
    <w:p>
      <w:pPr>
        <w:spacing w:before="20" w:after="40" w:line="252" w:lineRule="auto"/>
        <w:ind w:left="360" w:hanging="360"/>
      </w:pPr>
      <w:r>
        <w:rPr>
          <w:rFonts w:ascii="Times New Roman" w:hAnsi="Times New Roman"/>
          <w:color w:val="1E1E1E"/>
          <w:sz w:val="17"/>
        </w:rPr>
        <w:t>[20] D. J. Jobson, Z. Rahman, and G. A. Woodell, 'A multiscale retinex for bridging the gap between color images and the human observation of scenes,' IEEE Trans. Image Process., vol. 6, no. 7, pp. 965–976, 1997.</w:t>
      </w:r>
    </w:p>
    <w:p>
      <w:pPr>
        <w:spacing w:before="20" w:after="40" w:line="252" w:lineRule="auto"/>
        <w:ind w:left="360" w:hanging="360"/>
      </w:pPr>
      <w:r>
        <w:rPr>
          <w:rFonts w:ascii="Times New Roman" w:hAnsi="Times New Roman"/>
          <w:color w:val="1E1E1E"/>
          <w:sz w:val="17"/>
        </w:rPr>
        <w:t>[21] C. Wei, M. Zhang, L. Shen, S. Wang, and M.-H. Yang, 'Retinexformer-Edge: Lightweight low-light video enhancement for night-time vehicular navigation,' IEEE Trans. Pattern Anal. Mach. Intell., vol. 46, no. 11, pp. 7820–7835, 2024.</w:t>
      </w:r>
    </w:p>
    <w:p>
      <w:pPr>
        <w:spacing w:before="20" w:after="40" w:line="252" w:lineRule="auto"/>
        <w:ind w:left="360" w:hanging="360"/>
      </w:pPr>
      <w:r>
        <w:rPr>
          <w:rFonts w:ascii="Times New Roman" w:hAnsi="Times New Roman"/>
          <w:color w:val="1E1E1E"/>
          <w:sz w:val="17"/>
        </w:rPr>
        <w:t>[22] A. Sharma, S. Rao, and P. Banerjee, 'Dynamic specular glare compression and high-beam attenuation for automotive vision sensors,' IEEE Trans. Veh. Technol., vol. 74, no. 3, pp. 3150–3164, 2025.</w:t>
      </w:r>
    </w:p>
    <w:p>
      <w:pPr>
        <w:spacing w:before="20" w:after="40" w:line="252" w:lineRule="auto"/>
        <w:ind w:left="360" w:hanging="360"/>
      </w:pPr>
      <w:r>
        <w:rPr>
          <w:rFonts w:ascii="Times New Roman" w:hAnsi="Times New Roman"/>
          <w:color w:val="1E1E1E"/>
          <w:sz w:val="17"/>
        </w:rPr>
        <w:t>[23] J. Redmon, S. Divvala, R. Girshick, and A. Farhadi, 'You only look once: Unified, real-time object detection,' in Proc. IEEE Conf. Comput. Vis. Pattern Recognit. (CVPR), 2016, pp. 779–788.</w:t>
      </w:r>
    </w:p>
    <w:p>
      <w:pPr>
        <w:spacing w:before="20" w:after="40" w:line="252" w:lineRule="auto"/>
        <w:ind w:left="360" w:hanging="360"/>
      </w:pPr>
      <w:r>
        <w:rPr>
          <w:rFonts w:ascii="Times New Roman" w:hAnsi="Times New Roman"/>
          <w:color w:val="1E1E1E"/>
          <w:sz w:val="17"/>
        </w:rPr>
        <w:t>[24] C.-Y. Wang and H.-Y. M. Liao, 'YOLOv9: Learning what you want to learn using programmable gradient information,' arXiv preprint arXiv:2402.13616, 2024.</w:t>
      </w:r>
    </w:p>
    <w:p>
      <w:pPr>
        <w:spacing w:before="20" w:after="40" w:line="252" w:lineRule="auto"/>
        <w:ind w:left="360" w:hanging="360"/>
      </w:pPr>
      <w:r>
        <w:rPr>
          <w:rFonts w:ascii="Times New Roman" w:hAnsi="Times New Roman"/>
          <w:color w:val="1E1E1E"/>
          <w:sz w:val="17"/>
        </w:rPr>
        <w:t>[25] A. Wang et al., 'YOLOv10: Real-time end-to-end object detection,' arXiv preprint arXiv:2405.14458, 2024.</w:t>
      </w:r>
    </w:p>
    <w:p>
      <w:pPr>
        <w:spacing w:before="20" w:after="40" w:line="252" w:lineRule="auto"/>
        <w:ind w:left="360" w:hanging="360"/>
      </w:pPr>
      <w:r>
        <w:rPr>
          <w:rFonts w:ascii="Times New Roman" w:hAnsi="Times New Roman"/>
          <w:color w:val="1E1E1E"/>
          <w:sz w:val="17"/>
        </w:rPr>
        <w:t>[26] Ultralytics, 'YOLO11: State-of-the-art deep learning models for real-time edge vision,' Ultralytics Tech. Rep., vol. 1, no. 1, pp. 1–18, 2025.</w:t>
      </w:r>
    </w:p>
    <w:p>
      <w:pPr>
        <w:spacing w:before="20" w:after="40" w:line="252" w:lineRule="auto"/>
        <w:ind w:left="360" w:hanging="360"/>
      </w:pPr>
      <w:r>
        <w:rPr>
          <w:rFonts w:ascii="Times New Roman" w:hAnsi="Times New Roman"/>
          <w:color w:val="1E1E1E"/>
          <w:sz w:val="17"/>
        </w:rPr>
        <w:t>[27] K. Zhao, J. Wu, S. Huang, M. Cheng, and N. Patel, 'Efficient monocular 3D vehicle detection and predictive collision trajectory estimation on embedded edge platforms,' IEEE Trans. Intell. Veh., vol. 11, no. 1, pp. 120–134, 2026.</w:t>
      </w:r>
    </w:p>
    <w:p>
      <w:pPr>
        <w:spacing w:before="20" w:after="40" w:line="252" w:lineRule="auto"/>
        <w:ind w:left="360" w:hanging="360"/>
      </w:pPr>
      <w:r>
        <w:rPr>
          <w:rFonts w:ascii="Times New Roman" w:hAnsi="Times New Roman"/>
          <w:color w:val="1E1E1E"/>
          <w:sz w:val="17"/>
        </w:rPr>
        <w:t>[28] D. Patel, R. Mehta, and S. Desai, 'Monocular ground-plane metric depth estimation for forward collision warning under adverse weather,' IEEE Sensors J., vol. 24, no. 14, pp. 22105–22118, 2024.</w:t>
      </w:r>
    </w:p>
    <w:p>
      <w:pPr>
        <w:spacing w:before="20" w:after="40" w:line="252" w:lineRule="auto"/>
        <w:ind w:left="360" w:hanging="360"/>
      </w:pPr>
      <w:r>
        <w:rPr>
          <w:rFonts w:ascii="Times New Roman" w:hAnsi="Times New Roman"/>
          <w:color w:val="1E1E1E"/>
          <w:sz w:val="17"/>
        </w:rPr>
        <w:t>[29] R. Hartley and A. Zisserman, Multiple View Geometry in Computer Vision, 2nd ed. Cambridge Univ. Press, 2003.</w:t>
      </w:r>
    </w:p>
    <w:p>
      <w:pPr>
        <w:spacing w:before="20" w:after="40" w:line="252" w:lineRule="auto"/>
        <w:ind w:left="360" w:hanging="360"/>
      </w:pPr>
      <w:r>
        <w:rPr>
          <w:rFonts w:ascii="Times New Roman" w:hAnsi="Times New Roman"/>
          <w:color w:val="1E1E1E"/>
          <w:sz w:val="17"/>
        </w:rPr>
        <w:t>[30] Automotive Research Association of India (ARAI), 'Advanced Driver Assistance Systems (ADAS) - AIS-145,' Govt. of India, 2020.</w:t>
      </w:r>
    </w:p>
    <w:p>
      <w:pPr>
        <w:spacing w:before="20" w:after="40" w:line="252" w:lineRule="auto"/>
        <w:ind w:left="360" w:hanging="360"/>
      </w:pPr>
      <w:r>
        <w:rPr>
          <w:rFonts w:ascii="Times New Roman" w:hAnsi="Times New Roman"/>
          <w:color w:val="1E1E1E"/>
          <w:sz w:val="17"/>
        </w:rPr>
        <w:t>[31] T. Soukupová and J. Čech, 'Real-time eye blink detection using facial landmarks,' in Proc. 21st Comput. Vis. Winter Workshop, 2016, pp. 1–8.</w:t>
      </w:r>
    </w:p>
    <w:p>
      <w:pPr>
        <w:spacing w:before="20" w:after="40" w:line="252" w:lineRule="auto"/>
        <w:ind w:left="360" w:hanging="360"/>
      </w:pPr>
      <w:r>
        <w:rPr>
          <w:rFonts w:ascii="Times New Roman" w:hAnsi="Times New Roman"/>
          <w:color w:val="1E1E1E"/>
          <w:sz w:val="17"/>
        </w:rPr>
        <w:t>[32] Y. Kartynnik, A. Ablavatski, I. Grishchenko, and M. Grundmann, 'Real-time facial surface geometry from monocular video on mobile GPUs,' in Proc. IEEE/CVF CVPR Workshops, 2019, pp. 1–4.</w:t>
      </w:r>
    </w:p>
    <w:p>
      <w:pPr>
        <w:spacing w:before="20" w:after="40" w:line="252" w:lineRule="auto"/>
        <w:ind w:left="360" w:hanging="360"/>
      </w:pPr>
      <w:r>
        <w:rPr>
          <w:rFonts w:ascii="Times New Roman" w:hAnsi="Times New Roman"/>
          <w:color w:val="1E1E1E"/>
          <w:sz w:val="17"/>
        </w:rPr>
        <w:t>[33] D. F. Dinges and R. Grace, 'PERCLOS: A valid psychophysiological measure of alertness as assessed by psychomotor vigilance,' Federal Highway Administration, Tech. Rep. FHWA-MCRT-98-006, 1998.</w:t>
      </w:r>
    </w:p>
    <w:p>
      <w:pPr>
        <w:spacing w:before="20" w:after="40" w:line="252" w:lineRule="auto"/>
        <w:ind w:left="360" w:hanging="360"/>
      </w:pPr>
      <w:r>
        <w:rPr>
          <w:rFonts w:ascii="Times New Roman" w:hAnsi="Times New Roman"/>
          <w:color w:val="1E1E1E"/>
          <w:sz w:val="17"/>
        </w:rPr>
        <w:t>[34] Z. Li, G. Chen, X. Zhang, H. Liu, and F. Wang, 'Multi-task facial landmark attention networks for in-cabin driver drowsiness and distraction monitoring,' IEEE Trans. Intell. Transp. Syst., vol. 25, no. 9, pp. 11245–11259, 2024.</w:t>
      </w:r>
    </w:p>
    <w:p>
      <w:pPr>
        <w:spacing w:before="20" w:after="40" w:line="252" w:lineRule="auto"/>
        <w:ind w:left="360" w:hanging="360"/>
      </w:pPr>
      <w:r>
        <w:rPr>
          <w:rFonts w:ascii="Times New Roman" w:hAnsi="Times New Roman"/>
          <w:color w:val="1E1E1E"/>
          <w:sz w:val="17"/>
        </w:rPr>
        <w:t>[35] ISO 26262-1:2024, 'Road vehicles - Functional safety architecture and ASIL compliance for autonomous driving,' International Organization for Standardization,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