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25540154" w:displacedByCustomXml="next"/>
    <w:bookmarkStart w:id="1" w:name="_Toc125539573" w:displacedByCustomXml="next"/>
    <w:sdt>
      <w:sdtPr>
        <w:rPr>
          <w:lang w:val="es-CL"/>
        </w:rPr>
        <w:id w:val="964390893"/>
        <w:docPartObj>
          <w:docPartGallery w:val="Cover Pages"/>
          <w:docPartUnique/>
        </w:docPartObj>
      </w:sdtPr>
      <w:sdtEndPr/>
      <w:sdtContent>
        <w:p w14:paraId="2FB9344C" w14:textId="77777777" w:rsidR="00A65915" w:rsidRPr="005D17EB" w:rsidRDefault="00A65915" w:rsidP="00A65915">
          <w:pPr>
            <w:rPr>
              <w:lang w:val="es-CL"/>
            </w:rPr>
          </w:pPr>
        </w:p>
        <w:p w14:paraId="6F18081F" w14:textId="77777777" w:rsidR="00A65915" w:rsidRPr="005D17EB" w:rsidRDefault="00A65915" w:rsidP="00A65915">
          <w:pPr>
            <w:rPr>
              <w:lang w:val="es-CL"/>
            </w:rPr>
          </w:pPr>
        </w:p>
        <w:p w14:paraId="07FC762A" w14:textId="77777777" w:rsidR="00A65915" w:rsidRPr="005D17EB" w:rsidRDefault="00A65915" w:rsidP="00A65915">
          <w:pPr>
            <w:rPr>
              <w:lang w:val="es-CL"/>
            </w:rPr>
          </w:pPr>
        </w:p>
        <w:p w14:paraId="7B4DE81F" w14:textId="77777777" w:rsidR="00A65915" w:rsidRPr="005D17EB" w:rsidRDefault="00A65915" w:rsidP="004952FA">
          <w:pPr>
            <w:pStyle w:val="MethodologyTOC"/>
            <w:keepNext w:val="0"/>
            <w:spacing w:before="100" w:beforeAutospacing="1"/>
            <w:ind w:left="0"/>
            <w:rPr>
              <w:sz w:val="24"/>
              <w:lang w:val="es-CL"/>
            </w:rPr>
          </w:pPr>
        </w:p>
        <w:p w14:paraId="76CED64F" w14:textId="77777777" w:rsidR="00A65915" w:rsidRPr="005D17EB" w:rsidRDefault="00A65915" w:rsidP="004952FA">
          <w:pPr>
            <w:pStyle w:val="MethodologyTOC"/>
            <w:keepNext w:val="0"/>
            <w:spacing w:before="100" w:beforeAutospacing="1"/>
            <w:ind w:left="0"/>
            <w:rPr>
              <w:rFonts w:ascii="Arial" w:hAnsi="Arial" w:cs="Arial"/>
              <w:sz w:val="24"/>
              <w:lang w:val="es-CL"/>
            </w:rPr>
          </w:pPr>
        </w:p>
        <w:p w14:paraId="78008803" w14:textId="77777777" w:rsidR="004952FA" w:rsidRPr="005D17EB" w:rsidRDefault="004952FA" w:rsidP="004952FA">
          <w:pPr>
            <w:pStyle w:val="MethodologyTOC"/>
            <w:keepNext w:val="0"/>
            <w:spacing w:before="100" w:beforeAutospacing="1"/>
            <w:ind w:left="0"/>
            <w:rPr>
              <w:rFonts w:ascii="Arial" w:hAnsi="Arial" w:cs="Arial"/>
              <w:sz w:val="24"/>
              <w:lang w:val="es-CL"/>
            </w:rPr>
          </w:pPr>
        </w:p>
        <w:p w14:paraId="476EC9E9" w14:textId="77777777" w:rsidR="004952FA" w:rsidRPr="005D17EB" w:rsidRDefault="004952FA" w:rsidP="004952FA">
          <w:pPr>
            <w:pStyle w:val="MethodologyTOC"/>
            <w:keepNext w:val="0"/>
            <w:spacing w:before="100" w:beforeAutospacing="1"/>
            <w:ind w:left="0"/>
            <w:rPr>
              <w:rFonts w:ascii="Arial" w:hAnsi="Arial" w:cs="Arial"/>
              <w:sz w:val="24"/>
              <w:lang w:val="es-CL"/>
            </w:rPr>
          </w:pPr>
        </w:p>
        <w:p w14:paraId="0044BC00" w14:textId="77777777" w:rsidR="004952FA" w:rsidRPr="005D17EB" w:rsidRDefault="004952FA" w:rsidP="004952FA">
          <w:pPr>
            <w:pStyle w:val="MethodologyTOC"/>
            <w:keepNext w:val="0"/>
            <w:spacing w:before="100" w:beforeAutospacing="1"/>
            <w:ind w:left="0"/>
            <w:rPr>
              <w:rFonts w:ascii="Arial" w:hAnsi="Arial" w:cs="Arial"/>
              <w:sz w:val="24"/>
              <w:lang w:val="es-CL"/>
            </w:rPr>
          </w:pPr>
        </w:p>
        <w:p w14:paraId="67ED02FF" w14:textId="77777777" w:rsidR="004952FA" w:rsidRPr="005D17EB" w:rsidRDefault="004952FA" w:rsidP="004952FA">
          <w:pPr>
            <w:pStyle w:val="MethodologyTOC"/>
            <w:keepNext w:val="0"/>
            <w:spacing w:before="100" w:beforeAutospacing="1"/>
            <w:ind w:left="0"/>
            <w:rPr>
              <w:rFonts w:ascii="Arial" w:hAnsi="Arial" w:cs="Arial"/>
              <w:sz w:val="24"/>
              <w:lang w:val="es-CL"/>
            </w:rPr>
          </w:pPr>
        </w:p>
        <w:p w14:paraId="0A98D6EB" w14:textId="77777777" w:rsidR="00A65915" w:rsidRPr="005D17EB" w:rsidRDefault="00A65915" w:rsidP="004952FA">
          <w:pPr>
            <w:pStyle w:val="Default"/>
            <w:jc w:val="center"/>
            <w:rPr>
              <w:b/>
              <w:lang w:val="es-CL"/>
            </w:rPr>
          </w:pPr>
        </w:p>
        <w:p w14:paraId="2479B4EA" w14:textId="77777777" w:rsidR="004952FA" w:rsidRPr="005D17EB" w:rsidRDefault="004952FA" w:rsidP="004952FA">
          <w:pPr>
            <w:pStyle w:val="Default"/>
            <w:jc w:val="center"/>
            <w:rPr>
              <w:b/>
              <w:lang w:val="es-CL"/>
            </w:rPr>
          </w:pPr>
        </w:p>
        <w:p w14:paraId="6C1E29AE" w14:textId="77777777" w:rsidR="004952FA" w:rsidRPr="005D17EB" w:rsidRDefault="004952FA" w:rsidP="004952FA">
          <w:pPr>
            <w:pStyle w:val="Default"/>
            <w:jc w:val="center"/>
            <w:rPr>
              <w:b/>
              <w:lang w:val="es-CL"/>
            </w:rPr>
          </w:pPr>
        </w:p>
        <w:p w14:paraId="5C31ECA6" w14:textId="77777777" w:rsidR="00A65915" w:rsidRPr="005D17EB" w:rsidRDefault="00A65915" w:rsidP="00A65915">
          <w:pPr>
            <w:pStyle w:val="Default"/>
            <w:jc w:val="center"/>
            <w:rPr>
              <w:b/>
              <w:sz w:val="56"/>
              <w:szCs w:val="56"/>
              <w:lang w:val="es-CL"/>
            </w:rPr>
          </w:pPr>
          <w:r w:rsidRPr="005D17EB">
            <w:rPr>
              <w:b/>
              <w:sz w:val="56"/>
              <w:szCs w:val="56"/>
              <w:lang w:val="es-CL"/>
            </w:rPr>
            <w:t>Dow Jones Averages</w:t>
          </w:r>
        </w:p>
        <w:p w14:paraId="025080A3" w14:textId="77777777" w:rsidR="00A65915" w:rsidRPr="005D17EB" w:rsidRDefault="005D17EB" w:rsidP="00A65915">
          <w:pPr>
            <w:pStyle w:val="Default"/>
            <w:jc w:val="center"/>
            <w:rPr>
              <w:b/>
              <w:i/>
              <w:sz w:val="40"/>
              <w:szCs w:val="40"/>
              <w:lang w:val="es-CL"/>
            </w:rPr>
          </w:pPr>
          <w:r w:rsidRPr="005D17EB">
            <w:rPr>
              <w:b/>
              <w:i/>
              <w:sz w:val="40"/>
              <w:szCs w:val="40"/>
              <w:lang w:val="es-CL"/>
            </w:rPr>
            <w:t>Metodología</w:t>
          </w:r>
        </w:p>
        <w:p w14:paraId="6563A901" w14:textId="77777777" w:rsidR="00A65915" w:rsidRPr="005D17EB" w:rsidRDefault="00A65915">
          <w:pPr>
            <w:rPr>
              <w:lang w:val="es-CL"/>
            </w:rPr>
          </w:pPr>
        </w:p>
        <w:p w14:paraId="3B57899F" w14:textId="77777777" w:rsidR="00A65915" w:rsidRPr="005D17EB" w:rsidRDefault="00A65915">
          <w:pPr>
            <w:rPr>
              <w:lang w:val="es-CL"/>
            </w:rPr>
          </w:pPr>
        </w:p>
        <w:p w14:paraId="284765B7" w14:textId="77777777" w:rsidR="00A65915" w:rsidRPr="005D17EB" w:rsidRDefault="00A65915">
          <w:pPr>
            <w:rPr>
              <w:lang w:val="es-CL"/>
            </w:rPr>
          </w:pPr>
        </w:p>
        <w:p w14:paraId="5615E5DC" w14:textId="77777777" w:rsidR="00A65915" w:rsidRPr="005D17EB" w:rsidRDefault="00A65915">
          <w:pPr>
            <w:rPr>
              <w:sz w:val="44"/>
              <w:lang w:val="es-CL"/>
            </w:rPr>
          </w:pPr>
          <w:r w:rsidRPr="005D17EB">
            <w:rPr>
              <w:lang w:val="es-CL"/>
            </w:rPr>
            <w:br w:type="page"/>
          </w:r>
        </w:p>
      </w:sdtContent>
    </w:sdt>
    <w:p w14:paraId="21201499" w14:textId="59233FBE" w:rsidR="00A65915" w:rsidRPr="005D17EB" w:rsidRDefault="00A65915">
      <w:pPr>
        <w:pStyle w:val="MethodologyTOC"/>
        <w:rPr>
          <w:lang w:val="es-CL"/>
        </w:rPr>
        <w:sectPr w:rsidR="00A65915" w:rsidRPr="005D17EB" w:rsidSect="009C6A6C">
          <w:headerReference w:type="even" r:id="rId11"/>
          <w:headerReference w:type="default" r:id="rId12"/>
          <w:footerReference w:type="even" r:id="rId13"/>
          <w:footerReference w:type="default" r:id="rId14"/>
          <w:headerReference w:type="first" r:id="rId15"/>
          <w:footerReference w:type="first" r:id="rId16"/>
          <w:pgSz w:w="12240" w:h="15840"/>
          <w:pgMar w:top="1440" w:right="720" w:bottom="720" w:left="720" w:header="720" w:footer="720" w:gutter="0"/>
          <w:pgNumType w:start="0"/>
          <w:cols w:space="720"/>
          <w:titlePg/>
          <w:docGrid w:linePitch="360"/>
        </w:sectPr>
      </w:pPr>
    </w:p>
    <w:bookmarkEnd w:id="1"/>
    <w:bookmarkEnd w:id="0"/>
    <w:p w14:paraId="66C2E5BB" w14:textId="77777777" w:rsidR="00CB703A" w:rsidRPr="005D17EB" w:rsidRDefault="007558A1" w:rsidP="009C6A6C">
      <w:pPr>
        <w:pStyle w:val="MethodologyTOC"/>
        <w:ind w:left="720"/>
        <w:rPr>
          <w:rFonts w:ascii="Arial" w:hAnsi="Arial" w:cs="Arial"/>
          <w:lang w:val="es-CL"/>
        </w:rPr>
      </w:pPr>
      <w:r>
        <w:rPr>
          <w:rFonts w:ascii="Arial" w:hAnsi="Arial" w:cs="Arial"/>
          <w:lang w:val="es-CL"/>
        </w:rPr>
        <w:lastRenderedPageBreak/>
        <w:t>Contenido</w:t>
      </w:r>
    </w:p>
    <w:p w14:paraId="5DF420F5" w14:textId="77777777" w:rsidR="00CB703A" w:rsidRPr="005D17EB" w:rsidRDefault="00CB703A">
      <w:pPr>
        <w:ind w:left="720"/>
        <w:rPr>
          <w:sz w:val="16"/>
          <w:lang w:val="es-CL"/>
        </w:rPr>
      </w:pPr>
    </w:p>
    <w:p w14:paraId="19F2D3A8" w14:textId="732674DD" w:rsidR="00C27286" w:rsidRDefault="00CB703A">
      <w:pPr>
        <w:pStyle w:val="TOC1"/>
        <w:rPr>
          <w:rFonts w:asciiTheme="minorHAnsi" w:eastAsiaTheme="minorEastAsia" w:hAnsiTheme="minorHAnsi" w:cstheme="minorBidi"/>
          <w:kern w:val="2"/>
          <w:sz w:val="24"/>
          <w:szCs w:val="24"/>
          <w14:ligatures w14:val="standardContextual"/>
        </w:rPr>
      </w:pPr>
      <w:r w:rsidRPr="005D17EB">
        <w:rPr>
          <w:lang w:val="es-CL"/>
        </w:rPr>
        <w:fldChar w:fldCharType="begin"/>
      </w:r>
      <w:r w:rsidRPr="005D17EB">
        <w:rPr>
          <w:lang w:val="es-CL"/>
        </w:rPr>
        <w:instrText xml:space="preserve"> TOC \h \z \t "Methodology_Heading_1,1,Methodology_Heading_2,2" </w:instrText>
      </w:r>
      <w:r w:rsidRPr="005D17EB">
        <w:rPr>
          <w:lang w:val="es-CL"/>
        </w:rPr>
        <w:fldChar w:fldCharType="separate"/>
      </w:r>
      <w:hyperlink w:anchor="_Toc198540675" w:history="1">
        <w:r w:rsidR="00C27286" w:rsidRPr="000E4B6D">
          <w:rPr>
            <w:rStyle w:val="Hyperlink"/>
            <w:lang w:val="es-CL"/>
          </w:rPr>
          <w:t>Introducción</w:t>
        </w:r>
        <w:r w:rsidR="00C27286">
          <w:rPr>
            <w:webHidden/>
          </w:rPr>
          <w:tab/>
        </w:r>
        <w:r w:rsidR="00C27286">
          <w:rPr>
            <w:webHidden/>
          </w:rPr>
          <w:fldChar w:fldCharType="begin"/>
        </w:r>
        <w:r w:rsidR="00C27286">
          <w:rPr>
            <w:webHidden/>
          </w:rPr>
          <w:instrText xml:space="preserve"> PAGEREF _Toc198540675 \h </w:instrText>
        </w:r>
        <w:r w:rsidR="00C27286">
          <w:rPr>
            <w:webHidden/>
          </w:rPr>
        </w:r>
        <w:r w:rsidR="00C27286">
          <w:rPr>
            <w:webHidden/>
          </w:rPr>
          <w:fldChar w:fldCharType="separate"/>
        </w:r>
        <w:r w:rsidR="00EE4DB5">
          <w:rPr>
            <w:webHidden/>
          </w:rPr>
          <w:t>3</w:t>
        </w:r>
        <w:r w:rsidR="00C27286">
          <w:rPr>
            <w:webHidden/>
          </w:rPr>
          <w:fldChar w:fldCharType="end"/>
        </w:r>
      </w:hyperlink>
    </w:p>
    <w:p w14:paraId="13AE87D0" w14:textId="5D60BABD" w:rsidR="00C27286" w:rsidRDefault="00C27286">
      <w:pPr>
        <w:pStyle w:val="TOC2"/>
        <w:rPr>
          <w:rFonts w:asciiTheme="minorHAnsi" w:eastAsiaTheme="minorEastAsia" w:hAnsiTheme="minorHAnsi" w:cstheme="minorBidi"/>
          <w:b w:val="0"/>
          <w:bCs w:val="0"/>
          <w:kern w:val="2"/>
          <w:sz w:val="24"/>
          <w14:ligatures w14:val="standardContextual"/>
        </w:rPr>
      </w:pPr>
      <w:hyperlink w:anchor="_Toc198540676" w:history="1">
        <w:r w:rsidRPr="000E4B6D">
          <w:rPr>
            <w:rStyle w:val="Hyperlink"/>
            <w:lang w:val="es-CL"/>
          </w:rPr>
          <w:t>Objetivo del Índice y Puntos Destacados</w:t>
        </w:r>
        <w:r>
          <w:rPr>
            <w:webHidden/>
          </w:rPr>
          <w:tab/>
        </w:r>
        <w:r>
          <w:rPr>
            <w:webHidden/>
          </w:rPr>
          <w:fldChar w:fldCharType="begin"/>
        </w:r>
        <w:r>
          <w:rPr>
            <w:webHidden/>
          </w:rPr>
          <w:instrText xml:space="preserve"> PAGEREF _Toc198540676 \h </w:instrText>
        </w:r>
        <w:r>
          <w:rPr>
            <w:webHidden/>
          </w:rPr>
        </w:r>
        <w:r>
          <w:rPr>
            <w:webHidden/>
          </w:rPr>
          <w:fldChar w:fldCharType="separate"/>
        </w:r>
        <w:r w:rsidR="00EE4DB5">
          <w:rPr>
            <w:webHidden/>
          </w:rPr>
          <w:t>3</w:t>
        </w:r>
        <w:r>
          <w:rPr>
            <w:webHidden/>
          </w:rPr>
          <w:fldChar w:fldCharType="end"/>
        </w:r>
      </w:hyperlink>
    </w:p>
    <w:p w14:paraId="299CE50A" w14:textId="1A8CD060" w:rsidR="00C27286" w:rsidRDefault="00C27286">
      <w:pPr>
        <w:pStyle w:val="TOC2"/>
        <w:rPr>
          <w:rFonts w:asciiTheme="minorHAnsi" w:eastAsiaTheme="minorEastAsia" w:hAnsiTheme="minorHAnsi" w:cstheme="minorBidi"/>
          <w:b w:val="0"/>
          <w:bCs w:val="0"/>
          <w:kern w:val="2"/>
          <w:sz w:val="24"/>
          <w14:ligatures w14:val="standardContextual"/>
        </w:rPr>
      </w:pPr>
      <w:hyperlink w:anchor="_Toc198540677" w:history="1">
        <w:r w:rsidRPr="000E4B6D">
          <w:rPr>
            <w:rStyle w:val="Hyperlink"/>
            <w:lang w:val="es-MX"/>
          </w:rPr>
          <w:t>Referencias</w:t>
        </w:r>
        <w:r>
          <w:rPr>
            <w:webHidden/>
          </w:rPr>
          <w:tab/>
        </w:r>
        <w:r>
          <w:rPr>
            <w:webHidden/>
          </w:rPr>
          <w:fldChar w:fldCharType="begin"/>
        </w:r>
        <w:r>
          <w:rPr>
            <w:webHidden/>
          </w:rPr>
          <w:instrText xml:space="preserve"> PAGEREF _Toc198540677 \h </w:instrText>
        </w:r>
        <w:r>
          <w:rPr>
            <w:webHidden/>
          </w:rPr>
        </w:r>
        <w:r>
          <w:rPr>
            <w:webHidden/>
          </w:rPr>
          <w:fldChar w:fldCharType="separate"/>
        </w:r>
        <w:r w:rsidR="00EE4DB5">
          <w:rPr>
            <w:webHidden/>
          </w:rPr>
          <w:t>3</w:t>
        </w:r>
        <w:r>
          <w:rPr>
            <w:webHidden/>
          </w:rPr>
          <w:fldChar w:fldCharType="end"/>
        </w:r>
      </w:hyperlink>
    </w:p>
    <w:p w14:paraId="030B73F1" w14:textId="790F4873" w:rsidR="00C27286" w:rsidRDefault="00C27286">
      <w:pPr>
        <w:pStyle w:val="TOC1"/>
        <w:rPr>
          <w:rFonts w:asciiTheme="minorHAnsi" w:eastAsiaTheme="minorEastAsia" w:hAnsiTheme="minorHAnsi" w:cstheme="minorBidi"/>
          <w:kern w:val="2"/>
          <w:sz w:val="24"/>
          <w:szCs w:val="24"/>
          <w14:ligatures w14:val="standardContextual"/>
        </w:rPr>
      </w:pPr>
      <w:hyperlink w:anchor="_Toc198540678" w:history="1">
        <w:r w:rsidRPr="000E4B6D">
          <w:rPr>
            <w:rStyle w:val="Hyperlink"/>
            <w:lang w:val="es-CL"/>
          </w:rPr>
          <w:t>Criterios de elegibilidad</w:t>
        </w:r>
        <w:r>
          <w:rPr>
            <w:webHidden/>
          </w:rPr>
          <w:tab/>
        </w:r>
        <w:r>
          <w:rPr>
            <w:webHidden/>
          </w:rPr>
          <w:fldChar w:fldCharType="begin"/>
        </w:r>
        <w:r>
          <w:rPr>
            <w:webHidden/>
          </w:rPr>
          <w:instrText xml:space="preserve"> PAGEREF _Toc198540678 \h </w:instrText>
        </w:r>
        <w:r>
          <w:rPr>
            <w:webHidden/>
          </w:rPr>
        </w:r>
        <w:r>
          <w:rPr>
            <w:webHidden/>
          </w:rPr>
          <w:fldChar w:fldCharType="separate"/>
        </w:r>
        <w:r w:rsidR="00EE4DB5">
          <w:rPr>
            <w:webHidden/>
          </w:rPr>
          <w:t>4</w:t>
        </w:r>
        <w:r>
          <w:rPr>
            <w:webHidden/>
          </w:rPr>
          <w:fldChar w:fldCharType="end"/>
        </w:r>
      </w:hyperlink>
    </w:p>
    <w:p w14:paraId="696B9481" w14:textId="7BE70AA8" w:rsidR="00C27286" w:rsidRDefault="00C27286">
      <w:pPr>
        <w:pStyle w:val="TOC2"/>
        <w:rPr>
          <w:rFonts w:asciiTheme="minorHAnsi" w:eastAsiaTheme="minorEastAsia" w:hAnsiTheme="minorHAnsi" w:cstheme="minorBidi"/>
          <w:b w:val="0"/>
          <w:bCs w:val="0"/>
          <w:kern w:val="2"/>
          <w:sz w:val="24"/>
          <w14:ligatures w14:val="standardContextual"/>
        </w:rPr>
      </w:pPr>
      <w:hyperlink w:anchor="_Toc198540679" w:history="1">
        <w:r w:rsidRPr="000E4B6D">
          <w:rPr>
            <w:rStyle w:val="Hyperlink"/>
            <w:lang w:val="es-CL"/>
          </w:rPr>
          <w:t>Elegibilidad</w:t>
        </w:r>
        <w:r>
          <w:rPr>
            <w:webHidden/>
          </w:rPr>
          <w:tab/>
        </w:r>
        <w:r>
          <w:rPr>
            <w:webHidden/>
          </w:rPr>
          <w:fldChar w:fldCharType="begin"/>
        </w:r>
        <w:r>
          <w:rPr>
            <w:webHidden/>
          </w:rPr>
          <w:instrText xml:space="preserve"> PAGEREF _Toc198540679 \h </w:instrText>
        </w:r>
        <w:r>
          <w:rPr>
            <w:webHidden/>
          </w:rPr>
        </w:r>
        <w:r>
          <w:rPr>
            <w:webHidden/>
          </w:rPr>
          <w:fldChar w:fldCharType="separate"/>
        </w:r>
        <w:r w:rsidR="00EE4DB5">
          <w:rPr>
            <w:webHidden/>
          </w:rPr>
          <w:t>4</w:t>
        </w:r>
        <w:r>
          <w:rPr>
            <w:webHidden/>
          </w:rPr>
          <w:fldChar w:fldCharType="end"/>
        </w:r>
      </w:hyperlink>
    </w:p>
    <w:p w14:paraId="5F2CFC4B" w14:textId="7190B7F4" w:rsidR="00C27286" w:rsidRDefault="00C27286">
      <w:pPr>
        <w:pStyle w:val="TOC1"/>
        <w:rPr>
          <w:rFonts w:asciiTheme="minorHAnsi" w:eastAsiaTheme="minorEastAsia" w:hAnsiTheme="minorHAnsi" w:cstheme="minorBidi"/>
          <w:kern w:val="2"/>
          <w:sz w:val="24"/>
          <w:szCs w:val="24"/>
          <w14:ligatures w14:val="standardContextual"/>
        </w:rPr>
      </w:pPr>
      <w:hyperlink w:anchor="_Toc198540680" w:history="1">
        <w:r w:rsidRPr="000E4B6D">
          <w:rPr>
            <w:rStyle w:val="Hyperlink"/>
            <w:lang w:val="es-CL"/>
          </w:rPr>
          <w:t>Construcción y Mantenimiento del índice</w:t>
        </w:r>
        <w:r>
          <w:rPr>
            <w:webHidden/>
          </w:rPr>
          <w:tab/>
        </w:r>
        <w:r>
          <w:rPr>
            <w:webHidden/>
          </w:rPr>
          <w:fldChar w:fldCharType="begin"/>
        </w:r>
        <w:r>
          <w:rPr>
            <w:webHidden/>
          </w:rPr>
          <w:instrText xml:space="preserve"> PAGEREF _Toc198540680 \h </w:instrText>
        </w:r>
        <w:r>
          <w:rPr>
            <w:webHidden/>
          </w:rPr>
        </w:r>
        <w:r>
          <w:rPr>
            <w:webHidden/>
          </w:rPr>
          <w:fldChar w:fldCharType="separate"/>
        </w:r>
        <w:r w:rsidR="00EE4DB5">
          <w:rPr>
            <w:webHidden/>
          </w:rPr>
          <w:t>5</w:t>
        </w:r>
        <w:r>
          <w:rPr>
            <w:webHidden/>
          </w:rPr>
          <w:fldChar w:fldCharType="end"/>
        </w:r>
      </w:hyperlink>
    </w:p>
    <w:p w14:paraId="5BD7BB83" w14:textId="62B94A3F" w:rsidR="00C27286" w:rsidRDefault="00C27286">
      <w:pPr>
        <w:pStyle w:val="TOC2"/>
        <w:rPr>
          <w:rFonts w:asciiTheme="minorHAnsi" w:eastAsiaTheme="minorEastAsia" w:hAnsiTheme="minorHAnsi" w:cstheme="minorBidi"/>
          <w:b w:val="0"/>
          <w:bCs w:val="0"/>
          <w:kern w:val="2"/>
          <w:sz w:val="24"/>
          <w14:ligatures w14:val="standardContextual"/>
        </w:rPr>
      </w:pPr>
      <w:hyperlink w:anchor="_Toc198540681" w:history="1">
        <w:r w:rsidRPr="000E4B6D">
          <w:rPr>
            <w:rStyle w:val="Hyperlink"/>
            <w:lang w:val="es-MX"/>
          </w:rPr>
          <w:t>Dow Jones Industrial Average™, Dow Jones Transportation Average™ y Dow Jones Utility Average™</w:t>
        </w:r>
        <w:r>
          <w:rPr>
            <w:webHidden/>
          </w:rPr>
          <w:tab/>
        </w:r>
        <w:r>
          <w:rPr>
            <w:webHidden/>
          </w:rPr>
          <w:fldChar w:fldCharType="begin"/>
        </w:r>
        <w:r>
          <w:rPr>
            <w:webHidden/>
          </w:rPr>
          <w:instrText xml:space="preserve"> PAGEREF _Toc198540681 \h </w:instrText>
        </w:r>
        <w:r>
          <w:rPr>
            <w:webHidden/>
          </w:rPr>
        </w:r>
        <w:r>
          <w:rPr>
            <w:webHidden/>
          </w:rPr>
          <w:fldChar w:fldCharType="separate"/>
        </w:r>
        <w:r w:rsidR="00EE4DB5">
          <w:rPr>
            <w:webHidden/>
          </w:rPr>
          <w:t>5</w:t>
        </w:r>
        <w:r>
          <w:rPr>
            <w:webHidden/>
          </w:rPr>
          <w:fldChar w:fldCharType="end"/>
        </w:r>
      </w:hyperlink>
    </w:p>
    <w:p w14:paraId="7E416A80" w14:textId="47494282" w:rsidR="00C27286" w:rsidRDefault="00C27286">
      <w:pPr>
        <w:pStyle w:val="TOC2"/>
        <w:rPr>
          <w:rFonts w:asciiTheme="minorHAnsi" w:eastAsiaTheme="minorEastAsia" w:hAnsiTheme="minorHAnsi" w:cstheme="minorBidi"/>
          <w:b w:val="0"/>
          <w:bCs w:val="0"/>
          <w:kern w:val="2"/>
          <w:sz w:val="24"/>
          <w14:ligatures w14:val="standardContextual"/>
        </w:rPr>
      </w:pPr>
      <w:hyperlink w:anchor="_Toc198540682" w:history="1">
        <w:r w:rsidRPr="000E4B6D">
          <w:rPr>
            <w:rStyle w:val="Hyperlink"/>
          </w:rPr>
          <w:t>Dow Jones Industrial Average Yield Weighted</w:t>
        </w:r>
        <w:r>
          <w:rPr>
            <w:webHidden/>
          </w:rPr>
          <w:tab/>
        </w:r>
        <w:r>
          <w:rPr>
            <w:webHidden/>
          </w:rPr>
          <w:fldChar w:fldCharType="begin"/>
        </w:r>
        <w:r>
          <w:rPr>
            <w:webHidden/>
          </w:rPr>
          <w:instrText xml:space="preserve"> PAGEREF _Toc198540682 \h </w:instrText>
        </w:r>
        <w:r>
          <w:rPr>
            <w:webHidden/>
          </w:rPr>
        </w:r>
        <w:r>
          <w:rPr>
            <w:webHidden/>
          </w:rPr>
          <w:fldChar w:fldCharType="separate"/>
        </w:r>
        <w:r w:rsidR="00EE4DB5">
          <w:rPr>
            <w:webHidden/>
          </w:rPr>
          <w:t>5</w:t>
        </w:r>
        <w:r>
          <w:rPr>
            <w:webHidden/>
          </w:rPr>
          <w:fldChar w:fldCharType="end"/>
        </w:r>
      </w:hyperlink>
    </w:p>
    <w:p w14:paraId="2E9FAF81" w14:textId="0F184BF0" w:rsidR="00C27286" w:rsidRDefault="00C27286">
      <w:pPr>
        <w:pStyle w:val="TOC2"/>
        <w:rPr>
          <w:rFonts w:asciiTheme="minorHAnsi" w:eastAsiaTheme="minorEastAsia" w:hAnsiTheme="minorHAnsi" w:cstheme="minorBidi"/>
          <w:b w:val="0"/>
          <w:bCs w:val="0"/>
          <w:kern w:val="2"/>
          <w:sz w:val="24"/>
          <w14:ligatures w14:val="standardContextual"/>
        </w:rPr>
      </w:pPr>
      <w:hyperlink w:anchor="_Toc198540683" w:history="1">
        <w:r w:rsidRPr="000E4B6D">
          <w:rPr>
            <w:rStyle w:val="Hyperlink"/>
          </w:rPr>
          <w:t>Dow Jones Industrial Average Equal Weight Index</w:t>
        </w:r>
        <w:r>
          <w:rPr>
            <w:webHidden/>
          </w:rPr>
          <w:tab/>
        </w:r>
        <w:r>
          <w:rPr>
            <w:webHidden/>
          </w:rPr>
          <w:fldChar w:fldCharType="begin"/>
        </w:r>
        <w:r>
          <w:rPr>
            <w:webHidden/>
          </w:rPr>
          <w:instrText xml:space="preserve"> PAGEREF _Toc198540683 \h </w:instrText>
        </w:r>
        <w:r>
          <w:rPr>
            <w:webHidden/>
          </w:rPr>
        </w:r>
        <w:r>
          <w:rPr>
            <w:webHidden/>
          </w:rPr>
          <w:fldChar w:fldCharType="separate"/>
        </w:r>
        <w:r w:rsidR="00EE4DB5">
          <w:rPr>
            <w:webHidden/>
          </w:rPr>
          <w:t>5</w:t>
        </w:r>
        <w:r>
          <w:rPr>
            <w:webHidden/>
          </w:rPr>
          <w:fldChar w:fldCharType="end"/>
        </w:r>
      </w:hyperlink>
    </w:p>
    <w:p w14:paraId="3F1CBD35" w14:textId="72F7F6A2" w:rsidR="00C27286" w:rsidRDefault="00C27286">
      <w:pPr>
        <w:pStyle w:val="TOC2"/>
        <w:rPr>
          <w:rFonts w:asciiTheme="minorHAnsi" w:eastAsiaTheme="minorEastAsia" w:hAnsiTheme="minorHAnsi" w:cstheme="minorBidi"/>
          <w:b w:val="0"/>
          <w:bCs w:val="0"/>
          <w:kern w:val="2"/>
          <w:sz w:val="24"/>
          <w14:ligatures w14:val="standardContextual"/>
        </w:rPr>
      </w:pPr>
      <w:hyperlink w:anchor="_Toc198540684" w:history="1">
        <w:r w:rsidRPr="000E4B6D">
          <w:rPr>
            <w:rStyle w:val="Hyperlink"/>
            <w:lang w:val="es-CL"/>
          </w:rPr>
          <w:t>Ponderación de Componentes</w:t>
        </w:r>
        <w:r>
          <w:rPr>
            <w:webHidden/>
          </w:rPr>
          <w:tab/>
        </w:r>
        <w:r>
          <w:rPr>
            <w:webHidden/>
          </w:rPr>
          <w:fldChar w:fldCharType="begin"/>
        </w:r>
        <w:r>
          <w:rPr>
            <w:webHidden/>
          </w:rPr>
          <w:instrText xml:space="preserve"> PAGEREF _Toc198540684 \h </w:instrText>
        </w:r>
        <w:r>
          <w:rPr>
            <w:webHidden/>
          </w:rPr>
        </w:r>
        <w:r>
          <w:rPr>
            <w:webHidden/>
          </w:rPr>
          <w:fldChar w:fldCharType="separate"/>
        </w:r>
        <w:r w:rsidR="00EE4DB5">
          <w:rPr>
            <w:webHidden/>
          </w:rPr>
          <w:t>7</w:t>
        </w:r>
        <w:r>
          <w:rPr>
            <w:webHidden/>
          </w:rPr>
          <w:fldChar w:fldCharType="end"/>
        </w:r>
      </w:hyperlink>
    </w:p>
    <w:p w14:paraId="4C936FD2" w14:textId="60469243" w:rsidR="00C27286" w:rsidRDefault="00C27286">
      <w:pPr>
        <w:pStyle w:val="TOC2"/>
        <w:rPr>
          <w:rFonts w:asciiTheme="minorHAnsi" w:eastAsiaTheme="minorEastAsia" w:hAnsiTheme="minorHAnsi" w:cstheme="minorBidi"/>
          <w:b w:val="0"/>
          <w:bCs w:val="0"/>
          <w:kern w:val="2"/>
          <w:sz w:val="24"/>
          <w14:ligatures w14:val="standardContextual"/>
        </w:rPr>
      </w:pPr>
      <w:hyperlink w:anchor="_Toc198540685" w:history="1">
        <w:r w:rsidRPr="000E4B6D">
          <w:rPr>
            <w:rStyle w:val="Hyperlink"/>
            <w:lang w:val="es-MX"/>
          </w:rPr>
          <w:t>La tabla a continuación describe el enfoque de ponderación de cada índice.</w:t>
        </w:r>
        <w:r>
          <w:rPr>
            <w:webHidden/>
          </w:rPr>
          <w:tab/>
        </w:r>
        <w:r>
          <w:rPr>
            <w:webHidden/>
          </w:rPr>
          <w:fldChar w:fldCharType="begin"/>
        </w:r>
        <w:r>
          <w:rPr>
            <w:webHidden/>
          </w:rPr>
          <w:instrText xml:space="preserve"> PAGEREF _Toc198540685 \h </w:instrText>
        </w:r>
        <w:r>
          <w:rPr>
            <w:webHidden/>
          </w:rPr>
        </w:r>
        <w:r>
          <w:rPr>
            <w:webHidden/>
          </w:rPr>
          <w:fldChar w:fldCharType="separate"/>
        </w:r>
        <w:r w:rsidR="00EE4DB5">
          <w:rPr>
            <w:webHidden/>
          </w:rPr>
          <w:t>7</w:t>
        </w:r>
        <w:r>
          <w:rPr>
            <w:webHidden/>
          </w:rPr>
          <w:fldChar w:fldCharType="end"/>
        </w:r>
      </w:hyperlink>
    </w:p>
    <w:p w14:paraId="4F35B5C3" w14:textId="78B3FDC4" w:rsidR="00C27286" w:rsidRDefault="00C27286">
      <w:pPr>
        <w:pStyle w:val="TOC2"/>
        <w:rPr>
          <w:rFonts w:asciiTheme="minorHAnsi" w:eastAsiaTheme="minorEastAsia" w:hAnsiTheme="minorHAnsi" w:cstheme="minorBidi"/>
          <w:b w:val="0"/>
          <w:bCs w:val="0"/>
          <w:kern w:val="2"/>
          <w:sz w:val="24"/>
          <w14:ligatures w14:val="standardContextual"/>
        </w:rPr>
      </w:pPr>
      <w:hyperlink w:anchor="_Toc198540686" w:history="1">
        <w:r w:rsidRPr="000E4B6D">
          <w:rPr>
            <w:rStyle w:val="Hyperlink"/>
            <w:lang w:val="es-CL"/>
          </w:rPr>
          <w:t>Eventos Corporativos</w:t>
        </w:r>
        <w:r>
          <w:rPr>
            <w:webHidden/>
          </w:rPr>
          <w:tab/>
        </w:r>
        <w:r>
          <w:rPr>
            <w:webHidden/>
          </w:rPr>
          <w:fldChar w:fldCharType="begin"/>
        </w:r>
        <w:r>
          <w:rPr>
            <w:webHidden/>
          </w:rPr>
          <w:instrText xml:space="preserve"> PAGEREF _Toc198540686 \h </w:instrText>
        </w:r>
        <w:r>
          <w:rPr>
            <w:webHidden/>
          </w:rPr>
        </w:r>
        <w:r>
          <w:rPr>
            <w:webHidden/>
          </w:rPr>
          <w:fldChar w:fldCharType="separate"/>
        </w:r>
        <w:r w:rsidR="00EE4DB5">
          <w:rPr>
            <w:webHidden/>
          </w:rPr>
          <w:t>7</w:t>
        </w:r>
        <w:r>
          <w:rPr>
            <w:webHidden/>
          </w:rPr>
          <w:fldChar w:fldCharType="end"/>
        </w:r>
      </w:hyperlink>
    </w:p>
    <w:p w14:paraId="5A8AD7F3" w14:textId="2CD83990" w:rsidR="00C27286" w:rsidRDefault="00C27286">
      <w:pPr>
        <w:pStyle w:val="TOC2"/>
        <w:rPr>
          <w:rFonts w:asciiTheme="minorHAnsi" w:eastAsiaTheme="minorEastAsia" w:hAnsiTheme="minorHAnsi" w:cstheme="minorBidi"/>
          <w:b w:val="0"/>
          <w:bCs w:val="0"/>
          <w:kern w:val="2"/>
          <w:sz w:val="24"/>
          <w14:ligatures w14:val="standardContextual"/>
        </w:rPr>
      </w:pPr>
      <w:hyperlink w:anchor="_Toc198540687" w:history="1">
        <w:r w:rsidRPr="000E4B6D">
          <w:rPr>
            <w:rStyle w:val="Hyperlink"/>
            <w:lang w:val="es-MX"/>
          </w:rPr>
          <w:t>Moneda de cálculo y versiones adicionales de índices según el tipo de retorno</w:t>
        </w:r>
        <w:r>
          <w:rPr>
            <w:webHidden/>
          </w:rPr>
          <w:tab/>
        </w:r>
        <w:r>
          <w:rPr>
            <w:webHidden/>
          </w:rPr>
          <w:fldChar w:fldCharType="begin"/>
        </w:r>
        <w:r>
          <w:rPr>
            <w:webHidden/>
          </w:rPr>
          <w:instrText xml:space="preserve"> PAGEREF _Toc198540687 \h </w:instrText>
        </w:r>
        <w:r>
          <w:rPr>
            <w:webHidden/>
          </w:rPr>
        </w:r>
        <w:r>
          <w:rPr>
            <w:webHidden/>
          </w:rPr>
          <w:fldChar w:fldCharType="separate"/>
        </w:r>
        <w:r w:rsidR="00EE4DB5">
          <w:rPr>
            <w:webHidden/>
          </w:rPr>
          <w:t>8</w:t>
        </w:r>
        <w:r>
          <w:rPr>
            <w:webHidden/>
          </w:rPr>
          <w:fldChar w:fldCharType="end"/>
        </w:r>
      </w:hyperlink>
    </w:p>
    <w:p w14:paraId="1B8B6484" w14:textId="6F9799CC" w:rsidR="00C27286" w:rsidRDefault="00C27286">
      <w:pPr>
        <w:pStyle w:val="TOC2"/>
        <w:rPr>
          <w:rFonts w:asciiTheme="minorHAnsi" w:eastAsiaTheme="minorEastAsia" w:hAnsiTheme="minorHAnsi" w:cstheme="minorBidi"/>
          <w:b w:val="0"/>
          <w:bCs w:val="0"/>
          <w:kern w:val="2"/>
          <w:sz w:val="24"/>
          <w14:ligatures w14:val="standardContextual"/>
        </w:rPr>
      </w:pPr>
      <w:hyperlink w:anchor="_Toc198540688" w:history="1">
        <w:r w:rsidRPr="000E4B6D">
          <w:rPr>
            <w:rStyle w:val="Hyperlink"/>
            <w:lang w:val="es-CL"/>
          </w:rPr>
          <w:t>Múltiples Series Accionarias</w:t>
        </w:r>
        <w:r>
          <w:rPr>
            <w:webHidden/>
          </w:rPr>
          <w:tab/>
        </w:r>
        <w:r>
          <w:rPr>
            <w:webHidden/>
          </w:rPr>
          <w:fldChar w:fldCharType="begin"/>
        </w:r>
        <w:r>
          <w:rPr>
            <w:webHidden/>
          </w:rPr>
          <w:instrText xml:space="preserve"> PAGEREF _Toc198540688 \h </w:instrText>
        </w:r>
        <w:r>
          <w:rPr>
            <w:webHidden/>
          </w:rPr>
        </w:r>
        <w:r>
          <w:rPr>
            <w:webHidden/>
          </w:rPr>
          <w:fldChar w:fldCharType="separate"/>
        </w:r>
        <w:r w:rsidR="00EE4DB5">
          <w:rPr>
            <w:webHidden/>
          </w:rPr>
          <w:t>8</w:t>
        </w:r>
        <w:r>
          <w:rPr>
            <w:webHidden/>
          </w:rPr>
          <w:fldChar w:fldCharType="end"/>
        </w:r>
      </w:hyperlink>
    </w:p>
    <w:p w14:paraId="4D9BCA42" w14:textId="20FCCC2D" w:rsidR="00C27286" w:rsidRDefault="00C27286">
      <w:pPr>
        <w:pStyle w:val="TOC2"/>
        <w:rPr>
          <w:rFonts w:asciiTheme="minorHAnsi" w:eastAsiaTheme="minorEastAsia" w:hAnsiTheme="minorHAnsi" w:cstheme="minorBidi"/>
          <w:b w:val="0"/>
          <w:bCs w:val="0"/>
          <w:kern w:val="2"/>
          <w:sz w:val="24"/>
          <w14:ligatures w14:val="standardContextual"/>
        </w:rPr>
      </w:pPr>
      <w:hyperlink w:anchor="_Toc198540689" w:history="1">
        <w:r w:rsidRPr="000E4B6D">
          <w:rPr>
            <w:rStyle w:val="Hyperlink"/>
            <w:lang w:val="es-MX"/>
          </w:rPr>
          <w:t>Otros ajustes</w:t>
        </w:r>
        <w:r>
          <w:rPr>
            <w:webHidden/>
          </w:rPr>
          <w:tab/>
        </w:r>
        <w:r>
          <w:rPr>
            <w:webHidden/>
          </w:rPr>
          <w:fldChar w:fldCharType="begin"/>
        </w:r>
        <w:r>
          <w:rPr>
            <w:webHidden/>
          </w:rPr>
          <w:instrText xml:space="preserve"> PAGEREF _Toc198540689 \h </w:instrText>
        </w:r>
        <w:r>
          <w:rPr>
            <w:webHidden/>
          </w:rPr>
        </w:r>
        <w:r>
          <w:rPr>
            <w:webHidden/>
          </w:rPr>
          <w:fldChar w:fldCharType="separate"/>
        </w:r>
        <w:r w:rsidR="00EE4DB5">
          <w:rPr>
            <w:webHidden/>
          </w:rPr>
          <w:t>9</w:t>
        </w:r>
        <w:r>
          <w:rPr>
            <w:webHidden/>
          </w:rPr>
          <w:fldChar w:fldCharType="end"/>
        </w:r>
      </w:hyperlink>
    </w:p>
    <w:p w14:paraId="6CAB298E" w14:textId="138A6D43" w:rsidR="00C27286" w:rsidRDefault="00C27286">
      <w:pPr>
        <w:pStyle w:val="TOC2"/>
        <w:rPr>
          <w:rFonts w:asciiTheme="minorHAnsi" w:eastAsiaTheme="minorEastAsia" w:hAnsiTheme="minorHAnsi" w:cstheme="minorBidi"/>
          <w:b w:val="0"/>
          <w:bCs w:val="0"/>
          <w:kern w:val="2"/>
          <w:sz w:val="24"/>
          <w14:ligatures w14:val="standardContextual"/>
        </w:rPr>
      </w:pPr>
      <w:hyperlink w:anchor="_Toc198540690" w:history="1">
        <w:r w:rsidRPr="000E4B6D">
          <w:rPr>
            <w:rStyle w:val="Hyperlink"/>
            <w:lang w:val="es-CL"/>
          </w:rPr>
          <w:t>Cálculo de los índices</w:t>
        </w:r>
        <w:r>
          <w:rPr>
            <w:webHidden/>
          </w:rPr>
          <w:tab/>
        </w:r>
        <w:r>
          <w:rPr>
            <w:webHidden/>
          </w:rPr>
          <w:fldChar w:fldCharType="begin"/>
        </w:r>
        <w:r>
          <w:rPr>
            <w:webHidden/>
          </w:rPr>
          <w:instrText xml:space="preserve"> PAGEREF _Toc198540690 \h </w:instrText>
        </w:r>
        <w:r>
          <w:rPr>
            <w:webHidden/>
          </w:rPr>
        </w:r>
        <w:r>
          <w:rPr>
            <w:webHidden/>
          </w:rPr>
          <w:fldChar w:fldCharType="separate"/>
        </w:r>
        <w:r w:rsidR="00EE4DB5">
          <w:rPr>
            <w:webHidden/>
          </w:rPr>
          <w:t>9</w:t>
        </w:r>
        <w:r>
          <w:rPr>
            <w:webHidden/>
          </w:rPr>
          <w:fldChar w:fldCharType="end"/>
        </w:r>
      </w:hyperlink>
    </w:p>
    <w:p w14:paraId="7D6615C8" w14:textId="338AD4B9" w:rsidR="00C27286" w:rsidRDefault="00C27286">
      <w:pPr>
        <w:pStyle w:val="TOC2"/>
        <w:rPr>
          <w:rFonts w:asciiTheme="minorHAnsi" w:eastAsiaTheme="minorEastAsia" w:hAnsiTheme="minorHAnsi" w:cstheme="minorBidi"/>
          <w:b w:val="0"/>
          <w:bCs w:val="0"/>
          <w:kern w:val="2"/>
          <w:sz w:val="24"/>
          <w14:ligatures w14:val="standardContextual"/>
        </w:rPr>
      </w:pPr>
      <w:hyperlink w:anchor="_Toc198540691" w:history="1">
        <w:r w:rsidRPr="000E4B6D">
          <w:rPr>
            <w:rStyle w:val="Hyperlink"/>
            <w:lang w:val="es-CL"/>
          </w:rPr>
          <w:t>Fechas de referencia y disponibilidad del historial</w:t>
        </w:r>
        <w:r>
          <w:rPr>
            <w:webHidden/>
          </w:rPr>
          <w:tab/>
        </w:r>
        <w:r>
          <w:rPr>
            <w:webHidden/>
          </w:rPr>
          <w:fldChar w:fldCharType="begin"/>
        </w:r>
        <w:r>
          <w:rPr>
            <w:webHidden/>
          </w:rPr>
          <w:instrText xml:space="preserve"> PAGEREF _Toc198540691 \h </w:instrText>
        </w:r>
        <w:r>
          <w:rPr>
            <w:webHidden/>
          </w:rPr>
        </w:r>
        <w:r>
          <w:rPr>
            <w:webHidden/>
          </w:rPr>
          <w:fldChar w:fldCharType="separate"/>
        </w:r>
        <w:r w:rsidR="00EE4DB5">
          <w:rPr>
            <w:webHidden/>
          </w:rPr>
          <w:t>9</w:t>
        </w:r>
        <w:r>
          <w:rPr>
            <w:webHidden/>
          </w:rPr>
          <w:fldChar w:fldCharType="end"/>
        </w:r>
      </w:hyperlink>
    </w:p>
    <w:p w14:paraId="505E9AC2" w14:textId="1F7BEC0B" w:rsidR="00C27286" w:rsidRDefault="00C27286">
      <w:pPr>
        <w:pStyle w:val="TOC1"/>
        <w:rPr>
          <w:rFonts w:asciiTheme="minorHAnsi" w:eastAsiaTheme="minorEastAsia" w:hAnsiTheme="minorHAnsi" w:cstheme="minorBidi"/>
          <w:kern w:val="2"/>
          <w:sz w:val="24"/>
          <w:szCs w:val="24"/>
          <w14:ligatures w14:val="standardContextual"/>
        </w:rPr>
      </w:pPr>
      <w:hyperlink w:anchor="_Toc198540692" w:history="1">
        <w:r w:rsidRPr="000E4B6D">
          <w:rPr>
            <w:rStyle w:val="Hyperlink"/>
            <w:lang w:val="es"/>
          </w:rPr>
          <w:t>Datos del Índice</w:t>
        </w:r>
        <w:r>
          <w:rPr>
            <w:webHidden/>
          </w:rPr>
          <w:tab/>
        </w:r>
        <w:r>
          <w:rPr>
            <w:webHidden/>
          </w:rPr>
          <w:fldChar w:fldCharType="begin"/>
        </w:r>
        <w:r>
          <w:rPr>
            <w:webHidden/>
          </w:rPr>
          <w:instrText xml:space="preserve"> PAGEREF _Toc198540692 \h </w:instrText>
        </w:r>
        <w:r>
          <w:rPr>
            <w:webHidden/>
          </w:rPr>
        </w:r>
        <w:r>
          <w:rPr>
            <w:webHidden/>
          </w:rPr>
          <w:fldChar w:fldCharType="separate"/>
        </w:r>
        <w:r w:rsidR="00EE4DB5">
          <w:rPr>
            <w:webHidden/>
          </w:rPr>
          <w:t>10</w:t>
        </w:r>
        <w:r>
          <w:rPr>
            <w:webHidden/>
          </w:rPr>
          <w:fldChar w:fldCharType="end"/>
        </w:r>
      </w:hyperlink>
    </w:p>
    <w:p w14:paraId="5863DD1E" w14:textId="5E9160E6" w:rsidR="00C27286" w:rsidRDefault="00C27286">
      <w:pPr>
        <w:pStyle w:val="TOC2"/>
        <w:rPr>
          <w:rFonts w:asciiTheme="minorHAnsi" w:eastAsiaTheme="minorEastAsia" w:hAnsiTheme="minorHAnsi" w:cstheme="minorBidi"/>
          <w:b w:val="0"/>
          <w:bCs w:val="0"/>
          <w:kern w:val="2"/>
          <w:sz w:val="24"/>
          <w14:ligatures w14:val="standardContextual"/>
        </w:rPr>
      </w:pPr>
      <w:hyperlink w:anchor="_Toc198540693" w:history="1">
        <w:r w:rsidRPr="000E4B6D">
          <w:rPr>
            <w:rStyle w:val="Hyperlink"/>
            <w:lang w:val="es-MX"/>
          </w:rPr>
          <w:t>Cálculo por Tipo de Retorno</w:t>
        </w:r>
        <w:r>
          <w:rPr>
            <w:webHidden/>
          </w:rPr>
          <w:tab/>
        </w:r>
        <w:r>
          <w:rPr>
            <w:webHidden/>
          </w:rPr>
          <w:fldChar w:fldCharType="begin"/>
        </w:r>
        <w:r>
          <w:rPr>
            <w:webHidden/>
          </w:rPr>
          <w:instrText xml:space="preserve"> PAGEREF _Toc198540693 \h </w:instrText>
        </w:r>
        <w:r>
          <w:rPr>
            <w:webHidden/>
          </w:rPr>
        </w:r>
        <w:r>
          <w:rPr>
            <w:webHidden/>
          </w:rPr>
          <w:fldChar w:fldCharType="separate"/>
        </w:r>
        <w:r w:rsidR="00EE4DB5">
          <w:rPr>
            <w:webHidden/>
          </w:rPr>
          <w:t>10</w:t>
        </w:r>
        <w:r>
          <w:rPr>
            <w:webHidden/>
          </w:rPr>
          <w:fldChar w:fldCharType="end"/>
        </w:r>
      </w:hyperlink>
    </w:p>
    <w:p w14:paraId="0A269D2C" w14:textId="35793FD0" w:rsidR="00C27286" w:rsidRDefault="00C27286">
      <w:pPr>
        <w:pStyle w:val="TOC1"/>
        <w:rPr>
          <w:rFonts w:asciiTheme="minorHAnsi" w:eastAsiaTheme="minorEastAsia" w:hAnsiTheme="minorHAnsi" w:cstheme="minorBidi"/>
          <w:kern w:val="2"/>
          <w:sz w:val="24"/>
          <w:szCs w:val="24"/>
          <w14:ligatures w14:val="standardContextual"/>
        </w:rPr>
      </w:pPr>
      <w:hyperlink w:anchor="_Toc198540694" w:history="1">
        <w:r w:rsidRPr="000E4B6D">
          <w:rPr>
            <w:rStyle w:val="Hyperlink"/>
            <w:lang w:val="es-CL"/>
          </w:rPr>
          <w:t>Gobierno del índice</w:t>
        </w:r>
        <w:r>
          <w:rPr>
            <w:webHidden/>
          </w:rPr>
          <w:tab/>
        </w:r>
        <w:r>
          <w:rPr>
            <w:webHidden/>
          </w:rPr>
          <w:fldChar w:fldCharType="begin"/>
        </w:r>
        <w:r>
          <w:rPr>
            <w:webHidden/>
          </w:rPr>
          <w:instrText xml:space="preserve"> PAGEREF _Toc198540694 \h </w:instrText>
        </w:r>
        <w:r>
          <w:rPr>
            <w:webHidden/>
          </w:rPr>
        </w:r>
        <w:r>
          <w:rPr>
            <w:webHidden/>
          </w:rPr>
          <w:fldChar w:fldCharType="separate"/>
        </w:r>
        <w:r w:rsidR="00EE4DB5">
          <w:rPr>
            <w:webHidden/>
          </w:rPr>
          <w:t>11</w:t>
        </w:r>
        <w:r>
          <w:rPr>
            <w:webHidden/>
          </w:rPr>
          <w:fldChar w:fldCharType="end"/>
        </w:r>
      </w:hyperlink>
    </w:p>
    <w:p w14:paraId="0668493A" w14:textId="01D2DD03" w:rsidR="00C27286" w:rsidRDefault="00C27286">
      <w:pPr>
        <w:pStyle w:val="TOC2"/>
        <w:rPr>
          <w:rFonts w:asciiTheme="minorHAnsi" w:eastAsiaTheme="minorEastAsia" w:hAnsiTheme="minorHAnsi" w:cstheme="minorBidi"/>
          <w:b w:val="0"/>
          <w:bCs w:val="0"/>
          <w:kern w:val="2"/>
          <w:sz w:val="24"/>
          <w14:ligatures w14:val="standardContextual"/>
        </w:rPr>
      </w:pPr>
      <w:hyperlink w:anchor="_Toc198540695" w:history="1">
        <w:r w:rsidRPr="000E4B6D">
          <w:rPr>
            <w:rStyle w:val="Hyperlink"/>
            <w:lang w:val="es-CL"/>
          </w:rPr>
          <w:t>Comités de los Índices</w:t>
        </w:r>
        <w:r>
          <w:rPr>
            <w:webHidden/>
          </w:rPr>
          <w:tab/>
        </w:r>
        <w:r>
          <w:rPr>
            <w:webHidden/>
          </w:rPr>
          <w:fldChar w:fldCharType="begin"/>
        </w:r>
        <w:r>
          <w:rPr>
            <w:webHidden/>
          </w:rPr>
          <w:instrText xml:space="preserve"> PAGEREF _Toc198540695 \h </w:instrText>
        </w:r>
        <w:r>
          <w:rPr>
            <w:webHidden/>
          </w:rPr>
        </w:r>
        <w:r>
          <w:rPr>
            <w:webHidden/>
          </w:rPr>
          <w:fldChar w:fldCharType="separate"/>
        </w:r>
        <w:r w:rsidR="00EE4DB5">
          <w:rPr>
            <w:webHidden/>
          </w:rPr>
          <w:t>11</w:t>
        </w:r>
        <w:r>
          <w:rPr>
            <w:webHidden/>
          </w:rPr>
          <w:fldChar w:fldCharType="end"/>
        </w:r>
      </w:hyperlink>
    </w:p>
    <w:p w14:paraId="69CDD7F0" w14:textId="5E93FE63" w:rsidR="00C27286" w:rsidRDefault="00C27286">
      <w:pPr>
        <w:pStyle w:val="TOC1"/>
        <w:rPr>
          <w:rFonts w:asciiTheme="minorHAnsi" w:eastAsiaTheme="minorEastAsia" w:hAnsiTheme="minorHAnsi" w:cstheme="minorBidi"/>
          <w:kern w:val="2"/>
          <w:sz w:val="24"/>
          <w:szCs w:val="24"/>
          <w14:ligatures w14:val="standardContextual"/>
        </w:rPr>
      </w:pPr>
      <w:hyperlink w:anchor="_Toc198540696" w:history="1">
        <w:r w:rsidRPr="000E4B6D">
          <w:rPr>
            <w:rStyle w:val="Hyperlink"/>
            <w:lang w:val="es-CL"/>
          </w:rPr>
          <w:t>Política del índice</w:t>
        </w:r>
        <w:r>
          <w:rPr>
            <w:webHidden/>
          </w:rPr>
          <w:tab/>
        </w:r>
        <w:r>
          <w:rPr>
            <w:webHidden/>
          </w:rPr>
          <w:fldChar w:fldCharType="begin"/>
        </w:r>
        <w:r>
          <w:rPr>
            <w:webHidden/>
          </w:rPr>
          <w:instrText xml:space="preserve"> PAGEREF _Toc198540696 \h </w:instrText>
        </w:r>
        <w:r>
          <w:rPr>
            <w:webHidden/>
          </w:rPr>
        </w:r>
        <w:r>
          <w:rPr>
            <w:webHidden/>
          </w:rPr>
          <w:fldChar w:fldCharType="separate"/>
        </w:r>
        <w:r w:rsidR="00EE4DB5">
          <w:rPr>
            <w:webHidden/>
          </w:rPr>
          <w:t>12</w:t>
        </w:r>
        <w:r>
          <w:rPr>
            <w:webHidden/>
          </w:rPr>
          <w:fldChar w:fldCharType="end"/>
        </w:r>
      </w:hyperlink>
    </w:p>
    <w:p w14:paraId="18E1EFED" w14:textId="190BF911" w:rsidR="00C27286" w:rsidRDefault="00C27286">
      <w:pPr>
        <w:pStyle w:val="TOC2"/>
        <w:rPr>
          <w:rFonts w:asciiTheme="minorHAnsi" w:eastAsiaTheme="minorEastAsia" w:hAnsiTheme="minorHAnsi" w:cstheme="minorBidi"/>
          <w:b w:val="0"/>
          <w:bCs w:val="0"/>
          <w:kern w:val="2"/>
          <w:sz w:val="24"/>
          <w14:ligatures w14:val="standardContextual"/>
        </w:rPr>
      </w:pPr>
      <w:hyperlink w:anchor="_Toc198540697" w:history="1">
        <w:r w:rsidRPr="000E4B6D">
          <w:rPr>
            <w:rStyle w:val="Hyperlink"/>
            <w:lang w:val="es-CL"/>
          </w:rPr>
          <w:t>Anuncios</w:t>
        </w:r>
        <w:r>
          <w:rPr>
            <w:webHidden/>
          </w:rPr>
          <w:tab/>
        </w:r>
        <w:r>
          <w:rPr>
            <w:webHidden/>
          </w:rPr>
          <w:fldChar w:fldCharType="begin"/>
        </w:r>
        <w:r>
          <w:rPr>
            <w:webHidden/>
          </w:rPr>
          <w:instrText xml:space="preserve"> PAGEREF _Toc198540697 \h </w:instrText>
        </w:r>
        <w:r>
          <w:rPr>
            <w:webHidden/>
          </w:rPr>
        </w:r>
        <w:r>
          <w:rPr>
            <w:webHidden/>
          </w:rPr>
          <w:fldChar w:fldCharType="separate"/>
        </w:r>
        <w:r w:rsidR="00EE4DB5">
          <w:rPr>
            <w:webHidden/>
          </w:rPr>
          <w:t>12</w:t>
        </w:r>
        <w:r>
          <w:rPr>
            <w:webHidden/>
          </w:rPr>
          <w:fldChar w:fldCharType="end"/>
        </w:r>
      </w:hyperlink>
    </w:p>
    <w:p w14:paraId="2EBE137E" w14:textId="7F390ED0" w:rsidR="00C27286" w:rsidRDefault="00C27286">
      <w:pPr>
        <w:pStyle w:val="TOC2"/>
        <w:rPr>
          <w:rFonts w:asciiTheme="minorHAnsi" w:eastAsiaTheme="minorEastAsia" w:hAnsiTheme="minorHAnsi" w:cstheme="minorBidi"/>
          <w:b w:val="0"/>
          <w:bCs w:val="0"/>
          <w:kern w:val="2"/>
          <w:sz w:val="24"/>
          <w14:ligatures w14:val="standardContextual"/>
        </w:rPr>
      </w:pPr>
      <w:hyperlink w:anchor="_Toc198540698" w:history="1">
        <w:r w:rsidRPr="000E4B6D">
          <w:rPr>
            <w:rStyle w:val="Hyperlink"/>
            <w:lang w:val="es-CL"/>
          </w:rPr>
          <w:t>Archivos proforma</w:t>
        </w:r>
        <w:r>
          <w:rPr>
            <w:webHidden/>
          </w:rPr>
          <w:tab/>
        </w:r>
        <w:r>
          <w:rPr>
            <w:webHidden/>
          </w:rPr>
          <w:fldChar w:fldCharType="begin"/>
        </w:r>
        <w:r>
          <w:rPr>
            <w:webHidden/>
          </w:rPr>
          <w:instrText xml:space="preserve"> PAGEREF _Toc198540698 \h </w:instrText>
        </w:r>
        <w:r>
          <w:rPr>
            <w:webHidden/>
          </w:rPr>
        </w:r>
        <w:r>
          <w:rPr>
            <w:webHidden/>
          </w:rPr>
          <w:fldChar w:fldCharType="separate"/>
        </w:r>
        <w:r w:rsidR="00EE4DB5">
          <w:rPr>
            <w:webHidden/>
          </w:rPr>
          <w:t>12</w:t>
        </w:r>
        <w:r>
          <w:rPr>
            <w:webHidden/>
          </w:rPr>
          <w:fldChar w:fldCharType="end"/>
        </w:r>
      </w:hyperlink>
    </w:p>
    <w:p w14:paraId="4CFE8BAF" w14:textId="7EC2420C" w:rsidR="00C27286" w:rsidRDefault="00C27286">
      <w:pPr>
        <w:pStyle w:val="TOC2"/>
        <w:rPr>
          <w:rFonts w:asciiTheme="minorHAnsi" w:eastAsiaTheme="minorEastAsia" w:hAnsiTheme="minorHAnsi" w:cstheme="minorBidi"/>
          <w:b w:val="0"/>
          <w:bCs w:val="0"/>
          <w:kern w:val="2"/>
          <w:sz w:val="24"/>
          <w14:ligatures w14:val="standardContextual"/>
        </w:rPr>
      </w:pPr>
      <w:hyperlink w:anchor="_Toc198540699" w:history="1">
        <w:r w:rsidRPr="000E4B6D">
          <w:rPr>
            <w:rStyle w:val="Hyperlink"/>
            <w:lang w:val="es-CL"/>
          </w:rPr>
          <w:t>Cronograma de días festivos</w:t>
        </w:r>
        <w:r>
          <w:rPr>
            <w:webHidden/>
          </w:rPr>
          <w:tab/>
        </w:r>
        <w:r>
          <w:rPr>
            <w:webHidden/>
          </w:rPr>
          <w:fldChar w:fldCharType="begin"/>
        </w:r>
        <w:r>
          <w:rPr>
            <w:webHidden/>
          </w:rPr>
          <w:instrText xml:space="preserve"> PAGEREF _Toc198540699 \h </w:instrText>
        </w:r>
        <w:r>
          <w:rPr>
            <w:webHidden/>
          </w:rPr>
        </w:r>
        <w:r>
          <w:rPr>
            <w:webHidden/>
          </w:rPr>
          <w:fldChar w:fldCharType="separate"/>
        </w:r>
        <w:r w:rsidR="00EE4DB5">
          <w:rPr>
            <w:webHidden/>
          </w:rPr>
          <w:t>12</w:t>
        </w:r>
        <w:r>
          <w:rPr>
            <w:webHidden/>
          </w:rPr>
          <w:fldChar w:fldCharType="end"/>
        </w:r>
      </w:hyperlink>
    </w:p>
    <w:p w14:paraId="5C419A48" w14:textId="52B0E11F" w:rsidR="00C27286" w:rsidRDefault="00C27286">
      <w:pPr>
        <w:pStyle w:val="TOC2"/>
        <w:rPr>
          <w:rFonts w:asciiTheme="minorHAnsi" w:eastAsiaTheme="minorEastAsia" w:hAnsiTheme="minorHAnsi" w:cstheme="minorBidi"/>
          <w:b w:val="0"/>
          <w:bCs w:val="0"/>
          <w:kern w:val="2"/>
          <w:sz w:val="24"/>
          <w14:ligatures w14:val="standardContextual"/>
        </w:rPr>
      </w:pPr>
      <w:hyperlink w:anchor="_Toc198540700" w:history="1">
        <w:r w:rsidRPr="000E4B6D">
          <w:rPr>
            <w:rStyle w:val="Hyperlink"/>
            <w:lang w:val="es-CL"/>
          </w:rPr>
          <w:t>Cierres inesperados en Bolsa</w:t>
        </w:r>
        <w:r>
          <w:rPr>
            <w:webHidden/>
          </w:rPr>
          <w:tab/>
        </w:r>
        <w:r>
          <w:rPr>
            <w:webHidden/>
          </w:rPr>
          <w:fldChar w:fldCharType="begin"/>
        </w:r>
        <w:r>
          <w:rPr>
            <w:webHidden/>
          </w:rPr>
          <w:instrText xml:space="preserve"> PAGEREF _Toc198540700 \h </w:instrText>
        </w:r>
        <w:r>
          <w:rPr>
            <w:webHidden/>
          </w:rPr>
        </w:r>
        <w:r>
          <w:rPr>
            <w:webHidden/>
          </w:rPr>
          <w:fldChar w:fldCharType="separate"/>
        </w:r>
        <w:r w:rsidR="00EE4DB5">
          <w:rPr>
            <w:webHidden/>
          </w:rPr>
          <w:t>12</w:t>
        </w:r>
        <w:r>
          <w:rPr>
            <w:webHidden/>
          </w:rPr>
          <w:fldChar w:fldCharType="end"/>
        </w:r>
      </w:hyperlink>
    </w:p>
    <w:p w14:paraId="5BC89099" w14:textId="6E7F5DDE" w:rsidR="00C27286" w:rsidRDefault="00C27286">
      <w:pPr>
        <w:pStyle w:val="TOC2"/>
        <w:rPr>
          <w:rFonts w:asciiTheme="minorHAnsi" w:eastAsiaTheme="minorEastAsia" w:hAnsiTheme="minorHAnsi" w:cstheme="minorBidi"/>
          <w:b w:val="0"/>
          <w:bCs w:val="0"/>
          <w:kern w:val="2"/>
          <w:sz w:val="24"/>
          <w14:ligatures w14:val="standardContextual"/>
        </w:rPr>
      </w:pPr>
      <w:hyperlink w:anchor="_Toc198540701" w:history="1">
        <w:r w:rsidRPr="000E4B6D">
          <w:rPr>
            <w:rStyle w:val="Hyperlink"/>
            <w:lang w:val="es-CL"/>
          </w:rPr>
          <w:t>Política de recálculo</w:t>
        </w:r>
        <w:r>
          <w:rPr>
            <w:webHidden/>
          </w:rPr>
          <w:tab/>
        </w:r>
        <w:r>
          <w:rPr>
            <w:webHidden/>
          </w:rPr>
          <w:fldChar w:fldCharType="begin"/>
        </w:r>
        <w:r>
          <w:rPr>
            <w:webHidden/>
          </w:rPr>
          <w:instrText xml:space="preserve"> PAGEREF _Toc198540701 \h </w:instrText>
        </w:r>
        <w:r>
          <w:rPr>
            <w:webHidden/>
          </w:rPr>
        </w:r>
        <w:r>
          <w:rPr>
            <w:webHidden/>
          </w:rPr>
          <w:fldChar w:fldCharType="separate"/>
        </w:r>
        <w:r w:rsidR="00EE4DB5">
          <w:rPr>
            <w:webHidden/>
          </w:rPr>
          <w:t>12</w:t>
        </w:r>
        <w:r>
          <w:rPr>
            <w:webHidden/>
          </w:rPr>
          <w:fldChar w:fldCharType="end"/>
        </w:r>
      </w:hyperlink>
    </w:p>
    <w:p w14:paraId="3860329F" w14:textId="0607F295" w:rsidR="00C27286" w:rsidRDefault="00C27286">
      <w:pPr>
        <w:pStyle w:val="TOC2"/>
        <w:rPr>
          <w:rFonts w:asciiTheme="minorHAnsi" w:eastAsiaTheme="minorEastAsia" w:hAnsiTheme="minorHAnsi" w:cstheme="minorBidi"/>
          <w:b w:val="0"/>
          <w:bCs w:val="0"/>
          <w:kern w:val="2"/>
          <w:sz w:val="24"/>
          <w14:ligatures w14:val="standardContextual"/>
        </w:rPr>
      </w:pPr>
      <w:hyperlink w:anchor="_Toc198540702" w:history="1">
        <w:r w:rsidRPr="000E4B6D">
          <w:rPr>
            <w:rStyle w:val="Hyperlink"/>
            <w:lang w:val="es-CL"/>
          </w:rPr>
          <w:t>Cálculos en tiempo real</w:t>
        </w:r>
        <w:r>
          <w:rPr>
            <w:webHidden/>
          </w:rPr>
          <w:tab/>
        </w:r>
        <w:r>
          <w:rPr>
            <w:webHidden/>
          </w:rPr>
          <w:fldChar w:fldCharType="begin"/>
        </w:r>
        <w:r>
          <w:rPr>
            <w:webHidden/>
          </w:rPr>
          <w:instrText xml:space="preserve"> PAGEREF _Toc198540702 \h </w:instrText>
        </w:r>
        <w:r>
          <w:rPr>
            <w:webHidden/>
          </w:rPr>
        </w:r>
        <w:r>
          <w:rPr>
            <w:webHidden/>
          </w:rPr>
          <w:fldChar w:fldCharType="separate"/>
        </w:r>
        <w:r w:rsidR="00EE4DB5">
          <w:rPr>
            <w:webHidden/>
          </w:rPr>
          <w:t>13</w:t>
        </w:r>
        <w:r>
          <w:rPr>
            <w:webHidden/>
          </w:rPr>
          <w:fldChar w:fldCharType="end"/>
        </w:r>
      </w:hyperlink>
    </w:p>
    <w:p w14:paraId="5D82CCF6" w14:textId="53F96005" w:rsidR="00C27286" w:rsidRDefault="00C27286">
      <w:pPr>
        <w:pStyle w:val="TOC2"/>
        <w:rPr>
          <w:rFonts w:asciiTheme="minorHAnsi" w:eastAsiaTheme="minorEastAsia" w:hAnsiTheme="minorHAnsi" w:cstheme="minorBidi"/>
          <w:b w:val="0"/>
          <w:bCs w:val="0"/>
          <w:kern w:val="2"/>
          <w:sz w:val="24"/>
          <w14:ligatures w14:val="standardContextual"/>
        </w:rPr>
      </w:pPr>
      <w:hyperlink w:anchor="_Toc198540703" w:history="1">
        <w:r w:rsidRPr="000E4B6D">
          <w:rPr>
            <w:rStyle w:val="Hyperlink"/>
            <w:lang w:val="es-MX"/>
          </w:rPr>
          <w:t>Información de Contacto</w:t>
        </w:r>
        <w:r>
          <w:rPr>
            <w:webHidden/>
          </w:rPr>
          <w:tab/>
        </w:r>
        <w:r>
          <w:rPr>
            <w:webHidden/>
          </w:rPr>
          <w:fldChar w:fldCharType="begin"/>
        </w:r>
        <w:r>
          <w:rPr>
            <w:webHidden/>
          </w:rPr>
          <w:instrText xml:space="preserve"> PAGEREF _Toc198540703 \h </w:instrText>
        </w:r>
        <w:r>
          <w:rPr>
            <w:webHidden/>
          </w:rPr>
        </w:r>
        <w:r>
          <w:rPr>
            <w:webHidden/>
          </w:rPr>
          <w:fldChar w:fldCharType="separate"/>
        </w:r>
        <w:r w:rsidR="00EE4DB5">
          <w:rPr>
            <w:webHidden/>
          </w:rPr>
          <w:t>13</w:t>
        </w:r>
        <w:r>
          <w:rPr>
            <w:webHidden/>
          </w:rPr>
          <w:fldChar w:fldCharType="end"/>
        </w:r>
      </w:hyperlink>
    </w:p>
    <w:p w14:paraId="7DFDD2FA" w14:textId="1FF462A2" w:rsidR="00C27286" w:rsidRDefault="00C27286">
      <w:pPr>
        <w:pStyle w:val="TOC1"/>
        <w:rPr>
          <w:rFonts w:asciiTheme="minorHAnsi" w:eastAsiaTheme="minorEastAsia" w:hAnsiTheme="minorHAnsi" w:cstheme="minorBidi"/>
          <w:kern w:val="2"/>
          <w:sz w:val="24"/>
          <w:szCs w:val="24"/>
          <w14:ligatures w14:val="standardContextual"/>
        </w:rPr>
      </w:pPr>
      <w:hyperlink w:anchor="_Toc198540704" w:history="1">
        <w:r w:rsidRPr="000E4B6D">
          <w:rPr>
            <w:rStyle w:val="Hyperlink"/>
            <w:lang w:val="es-CL"/>
          </w:rPr>
          <w:t>Difusión del índice</w:t>
        </w:r>
        <w:r>
          <w:rPr>
            <w:webHidden/>
          </w:rPr>
          <w:tab/>
        </w:r>
        <w:r>
          <w:rPr>
            <w:webHidden/>
          </w:rPr>
          <w:fldChar w:fldCharType="begin"/>
        </w:r>
        <w:r>
          <w:rPr>
            <w:webHidden/>
          </w:rPr>
          <w:instrText xml:space="preserve"> PAGEREF _Toc198540704 \h </w:instrText>
        </w:r>
        <w:r>
          <w:rPr>
            <w:webHidden/>
          </w:rPr>
        </w:r>
        <w:r>
          <w:rPr>
            <w:webHidden/>
          </w:rPr>
          <w:fldChar w:fldCharType="separate"/>
        </w:r>
        <w:r w:rsidR="00EE4DB5">
          <w:rPr>
            <w:webHidden/>
          </w:rPr>
          <w:t>14</w:t>
        </w:r>
        <w:r>
          <w:rPr>
            <w:webHidden/>
          </w:rPr>
          <w:fldChar w:fldCharType="end"/>
        </w:r>
      </w:hyperlink>
    </w:p>
    <w:p w14:paraId="0D93CA51" w14:textId="1A8536A6" w:rsidR="00C27286" w:rsidRDefault="00C27286">
      <w:pPr>
        <w:pStyle w:val="TOC2"/>
        <w:rPr>
          <w:rFonts w:asciiTheme="minorHAnsi" w:eastAsiaTheme="minorEastAsia" w:hAnsiTheme="minorHAnsi" w:cstheme="minorBidi"/>
          <w:b w:val="0"/>
          <w:bCs w:val="0"/>
          <w:kern w:val="2"/>
          <w:sz w:val="24"/>
          <w14:ligatures w14:val="standardContextual"/>
        </w:rPr>
      </w:pPr>
      <w:hyperlink w:anchor="_Toc198540705" w:history="1">
        <w:r w:rsidRPr="000E4B6D">
          <w:rPr>
            <w:rStyle w:val="Hyperlink"/>
            <w:lang w:val="es-CL"/>
          </w:rPr>
          <w:t>Tickers</w:t>
        </w:r>
        <w:r>
          <w:rPr>
            <w:webHidden/>
          </w:rPr>
          <w:tab/>
        </w:r>
        <w:r>
          <w:rPr>
            <w:webHidden/>
          </w:rPr>
          <w:fldChar w:fldCharType="begin"/>
        </w:r>
        <w:r>
          <w:rPr>
            <w:webHidden/>
          </w:rPr>
          <w:instrText xml:space="preserve"> PAGEREF _Toc198540705 \h </w:instrText>
        </w:r>
        <w:r>
          <w:rPr>
            <w:webHidden/>
          </w:rPr>
        </w:r>
        <w:r>
          <w:rPr>
            <w:webHidden/>
          </w:rPr>
          <w:fldChar w:fldCharType="separate"/>
        </w:r>
        <w:r w:rsidR="00EE4DB5">
          <w:rPr>
            <w:webHidden/>
          </w:rPr>
          <w:t>14</w:t>
        </w:r>
        <w:r>
          <w:rPr>
            <w:webHidden/>
          </w:rPr>
          <w:fldChar w:fldCharType="end"/>
        </w:r>
      </w:hyperlink>
    </w:p>
    <w:p w14:paraId="79C544E3" w14:textId="040F7531" w:rsidR="00C27286" w:rsidRDefault="00C27286">
      <w:pPr>
        <w:pStyle w:val="TOC2"/>
        <w:rPr>
          <w:rFonts w:asciiTheme="minorHAnsi" w:eastAsiaTheme="minorEastAsia" w:hAnsiTheme="minorHAnsi" w:cstheme="minorBidi"/>
          <w:b w:val="0"/>
          <w:bCs w:val="0"/>
          <w:kern w:val="2"/>
          <w:sz w:val="24"/>
          <w14:ligatures w14:val="standardContextual"/>
        </w:rPr>
      </w:pPr>
      <w:hyperlink w:anchor="_Toc198540706" w:history="1">
        <w:r w:rsidRPr="000E4B6D">
          <w:rPr>
            <w:rStyle w:val="Hyperlink"/>
            <w:lang w:val="es-CL"/>
          </w:rPr>
          <w:t>Datos del índice</w:t>
        </w:r>
        <w:r>
          <w:rPr>
            <w:webHidden/>
          </w:rPr>
          <w:tab/>
        </w:r>
        <w:r>
          <w:rPr>
            <w:webHidden/>
          </w:rPr>
          <w:fldChar w:fldCharType="begin"/>
        </w:r>
        <w:r>
          <w:rPr>
            <w:webHidden/>
          </w:rPr>
          <w:instrText xml:space="preserve"> PAGEREF _Toc198540706 \h </w:instrText>
        </w:r>
        <w:r>
          <w:rPr>
            <w:webHidden/>
          </w:rPr>
        </w:r>
        <w:r>
          <w:rPr>
            <w:webHidden/>
          </w:rPr>
          <w:fldChar w:fldCharType="separate"/>
        </w:r>
        <w:r w:rsidR="00EE4DB5">
          <w:rPr>
            <w:webHidden/>
          </w:rPr>
          <w:t>14</w:t>
        </w:r>
        <w:r>
          <w:rPr>
            <w:webHidden/>
          </w:rPr>
          <w:fldChar w:fldCharType="end"/>
        </w:r>
      </w:hyperlink>
    </w:p>
    <w:p w14:paraId="1FF0B2E6" w14:textId="4D632A09" w:rsidR="00C27286" w:rsidRDefault="00C27286">
      <w:pPr>
        <w:pStyle w:val="TOC2"/>
        <w:rPr>
          <w:rFonts w:asciiTheme="minorHAnsi" w:eastAsiaTheme="minorEastAsia" w:hAnsiTheme="minorHAnsi" w:cstheme="minorBidi"/>
          <w:b w:val="0"/>
          <w:bCs w:val="0"/>
          <w:kern w:val="2"/>
          <w:sz w:val="24"/>
          <w14:ligatures w14:val="standardContextual"/>
        </w:rPr>
      </w:pPr>
      <w:hyperlink w:anchor="_Toc198540707" w:history="1">
        <w:r w:rsidRPr="000E4B6D">
          <w:rPr>
            <w:rStyle w:val="Hyperlink"/>
            <w:lang w:val="es-CL"/>
          </w:rPr>
          <w:t>Sitio web</w:t>
        </w:r>
        <w:r>
          <w:rPr>
            <w:webHidden/>
          </w:rPr>
          <w:tab/>
        </w:r>
        <w:r>
          <w:rPr>
            <w:webHidden/>
          </w:rPr>
          <w:fldChar w:fldCharType="begin"/>
        </w:r>
        <w:r>
          <w:rPr>
            <w:webHidden/>
          </w:rPr>
          <w:instrText xml:space="preserve"> PAGEREF _Toc198540707 \h </w:instrText>
        </w:r>
        <w:r>
          <w:rPr>
            <w:webHidden/>
          </w:rPr>
        </w:r>
        <w:r>
          <w:rPr>
            <w:webHidden/>
          </w:rPr>
          <w:fldChar w:fldCharType="separate"/>
        </w:r>
        <w:r w:rsidR="00EE4DB5">
          <w:rPr>
            <w:webHidden/>
          </w:rPr>
          <w:t>14</w:t>
        </w:r>
        <w:r>
          <w:rPr>
            <w:webHidden/>
          </w:rPr>
          <w:fldChar w:fldCharType="end"/>
        </w:r>
      </w:hyperlink>
    </w:p>
    <w:p w14:paraId="700BF3E6" w14:textId="5BF3EA76" w:rsidR="00C27286" w:rsidRDefault="00C27286">
      <w:pPr>
        <w:pStyle w:val="TOC1"/>
        <w:rPr>
          <w:rFonts w:asciiTheme="minorHAnsi" w:eastAsiaTheme="minorEastAsia" w:hAnsiTheme="minorHAnsi" w:cstheme="minorBidi"/>
          <w:kern w:val="2"/>
          <w:sz w:val="24"/>
          <w:szCs w:val="24"/>
          <w14:ligatures w14:val="standardContextual"/>
        </w:rPr>
      </w:pPr>
      <w:hyperlink w:anchor="_Toc198540708" w:history="1">
        <w:r w:rsidRPr="000E4B6D">
          <w:rPr>
            <w:rStyle w:val="Hyperlink"/>
          </w:rPr>
          <w:t>Apéndice A</w:t>
        </w:r>
        <w:r>
          <w:rPr>
            <w:webHidden/>
          </w:rPr>
          <w:tab/>
        </w:r>
        <w:r>
          <w:rPr>
            <w:webHidden/>
          </w:rPr>
          <w:fldChar w:fldCharType="begin"/>
        </w:r>
        <w:r>
          <w:rPr>
            <w:webHidden/>
          </w:rPr>
          <w:instrText xml:space="preserve"> PAGEREF _Toc198540708 \h </w:instrText>
        </w:r>
        <w:r>
          <w:rPr>
            <w:webHidden/>
          </w:rPr>
        </w:r>
        <w:r>
          <w:rPr>
            <w:webHidden/>
          </w:rPr>
          <w:fldChar w:fldCharType="separate"/>
        </w:r>
        <w:r w:rsidR="00EE4DB5">
          <w:rPr>
            <w:webHidden/>
          </w:rPr>
          <w:t>15</w:t>
        </w:r>
        <w:r>
          <w:rPr>
            <w:webHidden/>
          </w:rPr>
          <w:fldChar w:fldCharType="end"/>
        </w:r>
      </w:hyperlink>
    </w:p>
    <w:p w14:paraId="1598B04C" w14:textId="5A270E40" w:rsidR="00C27286" w:rsidRDefault="00C27286">
      <w:pPr>
        <w:pStyle w:val="TOC2"/>
        <w:rPr>
          <w:rFonts w:asciiTheme="minorHAnsi" w:eastAsiaTheme="minorEastAsia" w:hAnsiTheme="minorHAnsi" w:cstheme="minorBidi"/>
          <w:b w:val="0"/>
          <w:bCs w:val="0"/>
          <w:kern w:val="2"/>
          <w:sz w:val="24"/>
          <w14:ligatures w14:val="standardContextual"/>
        </w:rPr>
      </w:pPr>
      <w:hyperlink w:anchor="_Toc198540709" w:history="1">
        <w:r w:rsidRPr="000E4B6D">
          <w:rPr>
            <w:rStyle w:val="Hyperlink"/>
          </w:rPr>
          <w:t>DJIA JPY Hedged Index (T-1 TTM)</w:t>
        </w:r>
        <w:r>
          <w:rPr>
            <w:webHidden/>
          </w:rPr>
          <w:tab/>
        </w:r>
        <w:r>
          <w:rPr>
            <w:webHidden/>
          </w:rPr>
          <w:fldChar w:fldCharType="begin"/>
        </w:r>
        <w:r>
          <w:rPr>
            <w:webHidden/>
          </w:rPr>
          <w:instrText xml:space="preserve"> PAGEREF _Toc198540709 \h </w:instrText>
        </w:r>
        <w:r>
          <w:rPr>
            <w:webHidden/>
          </w:rPr>
        </w:r>
        <w:r>
          <w:rPr>
            <w:webHidden/>
          </w:rPr>
          <w:fldChar w:fldCharType="separate"/>
        </w:r>
        <w:r w:rsidR="00EE4DB5">
          <w:rPr>
            <w:webHidden/>
          </w:rPr>
          <w:t>15</w:t>
        </w:r>
        <w:r>
          <w:rPr>
            <w:webHidden/>
          </w:rPr>
          <w:fldChar w:fldCharType="end"/>
        </w:r>
      </w:hyperlink>
    </w:p>
    <w:p w14:paraId="1DB02343" w14:textId="5AF6E13F" w:rsidR="00C27286" w:rsidRDefault="00C27286">
      <w:pPr>
        <w:pStyle w:val="TOC1"/>
        <w:rPr>
          <w:rFonts w:asciiTheme="minorHAnsi" w:eastAsiaTheme="minorEastAsia" w:hAnsiTheme="minorHAnsi" w:cstheme="minorBidi"/>
          <w:kern w:val="2"/>
          <w:sz w:val="24"/>
          <w:szCs w:val="24"/>
          <w14:ligatures w14:val="standardContextual"/>
        </w:rPr>
      </w:pPr>
      <w:hyperlink w:anchor="_Toc198540710" w:history="1">
        <w:r w:rsidRPr="000E4B6D">
          <w:rPr>
            <w:rStyle w:val="Hyperlink"/>
            <w:lang w:val="es-MX"/>
          </w:rPr>
          <w:t>Apéndice B</w:t>
        </w:r>
        <w:r>
          <w:rPr>
            <w:webHidden/>
          </w:rPr>
          <w:tab/>
        </w:r>
        <w:r>
          <w:rPr>
            <w:webHidden/>
          </w:rPr>
          <w:fldChar w:fldCharType="begin"/>
        </w:r>
        <w:r>
          <w:rPr>
            <w:webHidden/>
          </w:rPr>
          <w:instrText xml:space="preserve"> PAGEREF _Toc198540710 \h </w:instrText>
        </w:r>
        <w:r>
          <w:rPr>
            <w:webHidden/>
          </w:rPr>
        </w:r>
        <w:r>
          <w:rPr>
            <w:webHidden/>
          </w:rPr>
          <w:fldChar w:fldCharType="separate"/>
        </w:r>
        <w:r w:rsidR="00EE4DB5">
          <w:rPr>
            <w:webHidden/>
          </w:rPr>
          <w:t>16</w:t>
        </w:r>
        <w:r>
          <w:rPr>
            <w:webHidden/>
          </w:rPr>
          <w:fldChar w:fldCharType="end"/>
        </w:r>
      </w:hyperlink>
    </w:p>
    <w:p w14:paraId="0945780B" w14:textId="4FF7BED4" w:rsidR="00C27286" w:rsidRDefault="00C27286">
      <w:pPr>
        <w:pStyle w:val="TOC2"/>
        <w:rPr>
          <w:rFonts w:asciiTheme="minorHAnsi" w:eastAsiaTheme="minorEastAsia" w:hAnsiTheme="minorHAnsi" w:cstheme="minorBidi"/>
          <w:b w:val="0"/>
          <w:bCs w:val="0"/>
          <w:kern w:val="2"/>
          <w:sz w:val="24"/>
          <w14:ligatures w14:val="standardContextual"/>
        </w:rPr>
      </w:pPr>
      <w:hyperlink w:anchor="_Toc198540711" w:history="1">
        <w:r w:rsidRPr="000E4B6D">
          <w:rPr>
            <w:rStyle w:val="Hyperlink"/>
            <w:lang w:val="es-MX"/>
          </w:rPr>
          <w:t>Cambios en la Metodología</w:t>
        </w:r>
        <w:r>
          <w:rPr>
            <w:webHidden/>
          </w:rPr>
          <w:tab/>
        </w:r>
        <w:r>
          <w:rPr>
            <w:webHidden/>
          </w:rPr>
          <w:fldChar w:fldCharType="begin"/>
        </w:r>
        <w:r>
          <w:rPr>
            <w:webHidden/>
          </w:rPr>
          <w:instrText xml:space="preserve"> PAGEREF _Toc198540711 \h </w:instrText>
        </w:r>
        <w:r>
          <w:rPr>
            <w:webHidden/>
          </w:rPr>
        </w:r>
        <w:r>
          <w:rPr>
            <w:webHidden/>
          </w:rPr>
          <w:fldChar w:fldCharType="separate"/>
        </w:r>
        <w:r w:rsidR="00EE4DB5">
          <w:rPr>
            <w:webHidden/>
          </w:rPr>
          <w:t>16</w:t>
        </w:r>
        <w:r>
          <w:rPr>
            <w:webHidden/>
          </w:rPr>
          <w:fldChar w:fldCharType="end"/>
        </w:r>
      </w:hyperlink>
    </w:p>
    <w:p w14:paraId="491AE209" w14:textId="0D6A6E2E" w:rsidR="00C27286" w:rsidRDefault="00C27286">
      <w:pPr>
        <w:pStyle w:val="TOC1"/>
        <w:rPr>
          <w:rFonts w:asciiTheme="minorHAnsi" w:eastAsiaTheme="minorEastAsia" w:hAnsiTheme="minorHAnsi" w:cstheme="minorBidi"/>
          <w:kern w:val="2"/>
          <w:sz w:val="24"/>
          <w:szCs w:val="24"/>
          <w14:ligatures w14:val="standardContextual"/>
        </w:rPr>
      </w:pPr>
      <w:hyperlink w:anchor="_Toc198540712" w:history="1">
        <w:r w:rsidRPr="000E4B6D">
          <w:rPr>
            <w:rStyle w:val="Hyperlink"/>
            <w:lang w:val="es-MX"/>
          </w:rPr>
          <w:t>Exención de Responsabilidades de S&amp;P Dow Jones Indices</w:t>
        </w:r>
        <w:r>
          <w:rPr>
            <w:webHidden/>
          </w:rPr>
          <w:tab/>
        </w:r>
        <w:r>
          <w:rPr>
            <w:webHidden/>
          </w:rPr>
          <w:fldChar w:fldCharType="begin"/>
        </w:r>
        <w:r>
          <w:rPr>
            <w:webHidden/>
          </w:rPr>
          <w:instrText xml:space="preserve"> PAGEREF _Toc198540712 \h </w:instrText>
        </w:r>
        <w:r>
          <w:rPr>
            <w:webHidden/>
          </w:rPr>
        </w:r>
        <w:r>
          <w:rPr>
            <w:webHidden/>
          </w:rPr>
          <w:fldChar w:fldCharType="separate"/>
        </w:r>
        <w:r w:rsidR="00EE4DB5">
          <w:rPr>
            <w:webHidden/>
          </w:rPr>
          <w:t>17</w:t>
        </w:r>
        <w:r>
          <w:rPr>
            <w:webHidden/>
          </w:rPr>
          <w:fldChar w:fldCharType="end"/>
        </w:r>
      </w:hyperlink>
    </w:p>
    <w:p w14:paraId="275E5B46" w14:textId="0A3A7A13" w:rsidR="00C27286" w:rsidRDefault="00C27286">
      <w:pPr>
        <w:pStyle w:val="TOC2"/>
        <w:rPr>
          <w:rFonts w:asciiTheme="minorHAnsi" w:eastAsiaTheme="minorEastAsia" w:hAnsiTheme="minorHAnsi" w:cstheme="minorBidi"/>
          <w:b w:val="0"/>
          <w:bCs w:val="0"/>
          <w:kern w:val="2"/>
          <w:sz w:val="24"/>
          <w14:ligatures w14:val="standardContextual"/>
        </w:rPr>
      </w:pPr>
      <w:hyperlink w:anchor="_Toc198540713" w:history="1">
        <w:r w:rsidRPr="000E4B6D">
          <w:rPr>
            <w:rStyle w:val="Hyperlink"/>
            <w:lang w:val="es-MX"/>
          </w:rPr>
          <w:t>Divulgación de Rendimiento / Testeo empleando Datos Retrospectivos</w:t>
        </w:r>
        <w:r>
          <w:rPr>
            <w:webHidden/>
          </w:rPr>
          <w:tab/>
        </w:r>
        <w:r>
          <w:rPr>
            <w:webHidden/>
          </w:rPr>
          <w:fldChar w:fldCharType="begin"/>
        </w:r>
        <w:r>
          <w:rPr>
            <w:webHidden/>
          </w:rPr>
          <w:instrText xml:space="preserve"> PAGEREF _Toc198540713 \h </w:instrText>
        </w:r>
        <w:r>
          <w:rPr>
            <w:webHidden/>
          </w:rPr>
        </w:r>
        <w:r>
          <w:rPr>
            <w:webHidden/>
          </w:rPr>
          <w:fldChar w:fldCharType="separate"/>
        </w:r>
        <w:r w:rsidR="00EE4DB5">
          <w:rPr>
            <w:webHidden/>
          </w:rPr>
          <w:t>17</w:t>
        </w:r>
        <w:r>
          <w:rPr>
            <w:webHidden/>
          </w:rPr>
          <w:fldChar w:fldCharType="end"/>
        </w:r>
      </w:hyperlink>
    </w:p>
    <w:p w14:paraId="69E04466" w14:textId="79B5B333" w:rsidR="00C27286" w:rsidRDefault="00C27286">
      <w:pPr>
        <w:pStyle w:val="TOC2"/>
        <w:rPr>
          <w:rFonts w:asciiTheme="minorHAnsi" w:eastAsiaTheme="minorEastAsia" w:hAnsiTheme="minorHAnsi" w:cstheme="minorBidi"/>
          <w:b w:val="0"/>
          <w:bCs w:val="0"/>
          <w:kern w:val="2"/>
          <w:sz w:val="24"/>
          <w14:ligatures w14:val="standardContextual"/>
        </w:rPr>
      </w:pPr>
      <w:hyperlink w:anchor="_Toc198540714" w:history="1">
        <w:r w:rsidRPr="000E4B6D">
          <w:rPr>
            <w:rStyle w:val="Hyperlink"/>
            <w:lang w:val="es-MX"/>
          </w:rPr>
          <w:t>Aviso Legal sobre la Propiedad Intelectual</w:t>
        </w:r>
        <w:r>
          <w:rPr>
            <w:webHidden/>
          </w:rPr>
          <w:tab/>
        </w:r>
        <w:r>
          <w:rPr>
            <w:webHidden/>
          </w:rPr>
          <w:fldChar w:fldCharType="begin"/>
        </w:r>
        <w:r>
          <w:rPr>
            <w:webHidden/>
          </w:rPr>
          <w:instrText xml:space="preserve"> PAGEREF _Toc198540714 \h </w:instrText>
        </w:r>
        <w:r>
          <w:rPr>
            <w:webHidden/>
          </w:rPr>
        </w:r>
        <w:r>
          <w:rPr>
            <w:webHidden/>
          </w:rPr>
          <w:fldChar w:fldCharType="separate"/>
        </w:r>
        <w:r w:rsidR="00EE4DB5">
          <w:rPr>
            <w:webHidden/>
          </w:rPr>
          <w:t>18</w:t>
        </w:r>
        <w:r>
          <w:rPr>
            <w:webHidden/>
          </w:rPr>
          <w:fldChar w:fldCharType="end"/>
        </w:r>
      </w:hyperlink>
    </w:p>
    <w:p w14:paraId="5BACF131" w14:textId="41869F73" w:rsidR="00C27286" w:rsidRDefault="00C27286">
      <w:pPr>
        <w:pStyle w:val="TOC2"/>
        <w:rPr>
          <w:rFonts w:asciiTheme="minorHAnsi" w:eastAsiaTheme="minorEastAsia" w:hAnsiTheme="minorHAnsi" w:cstheme="minorBidi"/>
          <w:b w:val="0"/>
          <w:bCs w:val="0"/>
          <w:kern w:val="2"/>
          <w:sz w:val="24"/>
          <w14:ligatures w14:val="standardContextual"/>
        </w:rPr>
      </w:pPr>
      <w:hyperlink w:anchor="_Toc198540715" w:history="1">
        <w:r w:rsidRPr="000E4B6D">
          <w:rPr>
            <w:rStyle w:val="Hyperlink"/>
            <w:lang w:val="es-MX"/>
          </w:rPr>
          <w:t>Descargo de responsabilidad sobre índices ESG</w:t>
        </w:r>
        <w:r>
          <w:rPr>
            <w:webHidden/>
          </w:rPr>
          <w:tab/>
        </w:r>
        <w:r>
          <w:rPr>
            <w:webHidden/>
          </w:rPr>
          <w:fldChar w:fldCharType="begin"/>
        </w:r>
        <w:r>
          <w:rPr>
            <w:webHidden/>
          </w:rPr>
          <w:instrText xml:space="preserve"> PAGEREF _Toc198540715 \h </w:instrText>
        </w:r>
        <w:r>
          <w:rPr>
            <w:webHidden/>
          </w:rPr>
        </w:r>
        <w:r>
          <w:rPr>
            <w:webHidden/>
          </w:rPr>
          <w:fldChar w:fldCharType="separate"/>
        </w:r>
        <w:r w:rsidR="00EE4DB5">
          <w:rPr>
            <w:webHidden/>
          </w:rPr>
          <w:t>20</w:t>
        </w:r>
        <w:r>
          <w:rPr>
            <w:webHidden/>
          </w:rPr>
          <w:fldChar w:fldCharType="end"/>
        </w:r>
      </w:hyperlink>
    </w:p>
    <w:p w14:paraId="0AE3A547" w14:textId="14ADD379" w:rsidR="00CB703A" w:rsidRPr="005D17EB" w:rsidRDefault="00CB703A" w:rsidP="00F54275">
      <w:pPr>
        <w:pStyle w:val="BodyTextIndent"/>
        <w:spacing w:before="240"/>
        <w:ind w:left="2160" w:right="720"/>
        <w:rPr>
          <w:lang w:val="es-CL"/>
        </w:rPr>
        <w:sectPr w:rsidR="00CB703A" w:rsidRPr="005D17EB" w:rsidSect="009C6A6C">
          <w:pgSz w:w="12240" w:h="15840"/>
          <w:pgMar w:top="1440" w:right="720" w:bottom="720" w:left="720" w:header="720" w:footer="720" w:gutter="0"/>
          <w:cols w:space="720"/>
          <w:docGrid w:linePitch="360"/>
        </w:sectPr>
      </w:pPr>
      <w:r w:rsidRPr="005D17EB">
        <w:rPr>
          <w:lang w:val="es-CL"/>
        </w:rPr>
        <w:fldChar w:fldCharType="end"/>
      </w:r>
    </w:p>
    <w:p w14:paraId="5A484DAA" w14:textId="77777777" w:rsidR="00CB703A" w:rsidRDefault="00974B34" w:rsidP="009B5CA0">
      <w:pPr>
        <w:pStyle w:val="Heading1"/>
        <w:ind w:left="720"/>
        <w:rPr>
          <w:rFonts w:ascii="Arial" w:hAnsi="Arial" w:cs="Arial"/>
          <w:lang w:val="es-CL"/>
        </w:rPr>
      </w:pPr>
      <w:bookmarkStart w:id="2" w:name="_Toc198540675"/>
      <w:r w:rsidRPr="00E75536">
        <w:rPr>
          <w:rFonts w:ascii="Arial" w:hAnsi="Arial" w:cs="Arial"/>
          <w:lang w:val="es-CL"/>
        </w:rPr>
        <w:t>Introducción</w:t>
      </w:r>
      <w:bookmarkEnd w:id="2"/>
    </w:p>
    <w:p w14:paraId="22D8476E" w14:textId="77777777" w:rsidR="00F95423" w:rsidRDefault="00F95423" w:rsidP="00F95423">
      <w:pPr>
        <w:pStyle w:val="Heading2"/>
        <w:ind w:left="720"/>
        <w:rPr>
          <w:rFonts w:ascii="Arial" w:hAnsi="Arial" w:cs="Arial"/>
          <w:sz w:val="20"/>
          <w:lang w:val="es-CL"/>
        </w:rPr>
      </w:pPr>
      <w:bookmarkStart w:id="3" w:name="_Toc198540676"/>
      <w:r>
        <w:rPr>
          <w:rFonts w:ascii="Arial" w:hAnsi="Arial" w:cs="Arial"/>
          <w:sz w:val="20"/>
          <w:lang w:val="es-CL"/>
        </w:rPr>
        <w:t>Objetivo del Índice y Puntos Destacados</w:t>
      </w:r>
      <w:bookmarkEnd w:id="3"/>
    </w:p>
    <w:p w14:paraId="4C621B8C" w14:textId="7674C43C" w:rsidR="00865195" w:rsidRDefault="00F95423" w:rsidP="00865195">
      <w:pPr>
        <w:ind w:left="720" w:right="720"/>
        <w:rPr>
          <w:rFonts w:ascii="Arial" w:hAnsi="Arial" w:cs="Arial"/>
          <w:sz w:val="20"/>
          <w:lang w:val="es-CL"/>
        </w:rPr>
      </w:pPr>
      <w:r w:rsidRPr="00865195">
        <w:rPr>
          <w:rFonts w:ascii="Arial" w:hAnsi="Arial" w:cs="Arial"/>
          <w:b/>
          <w:sz w:val="20"/>
          <w:lang w:val="es-CL"/>
        </w:rPr>
        <w:t>Dow Jones Industrial Average.</w:t>
      </w:r>
      <w:r w:rsidRPr="00865195">
        <w:rPr>
          <w:rFonts w:ascii="Arial" w:hAnsi="Arial" w:cs="Arial"/>
          <w:sz w:val="20"/>
          <w:lang w:val="es-CL"/>
        </w:rPr>
        <w:t xml:space="preserve">  Este í</w:t>
      </w:r>
      <w:r w:rsidR="00614953" w:rsidRPr="00865195">
        <w:rPr>
          <w:rFonts w:ascii="Arial" w:hAnsi="Arial" w:cs="Arial"/>
          <w:sz w:val="20"/>
          <w:lang w:val="es-CL"/>
        </w:rPr>
        <w:t>ndice está ponderado por precio</w:t>
      </w:r>
      <w:r w:rsidRPr="00865195">
        <w:rPr>
          <w:rFonts w:ascii="Arial" w:hAnsi="Arial" w:cs="Arial"/>
          <w:sz w:val="20"/>
          <w:lang w:val="es-CL"/>
        </w:rPr>
        <w:t xml:space="preserve">, reflejando la evolución de </w:t>
      </w:r>
      <w:r w:rsidR="005D7387">
        <w:rPr>
          <w:rFonts w:ascii="Arial" w:hAnsi="Arial" w:cs="Arial"/>
          <w:sz w:val="20"/>
          <w:lang w:val="es-CL"/>
        </w:rPr>
        <w:t xml:space="preserve">un grupo de </w:t>
      </w:r>
      <w:r w:rsidRPr="00865195">
        <w:rPr>
          <w:rFonts w:ascii="Arial" w:hAnsi="Arial" w:cs="Arial"/>
          <w:sz w:val="20"/>
          <w:lang w:val="es-CL"/>
        </w:rPr>
        <w:t xml:space="preserve">30 empresas estadounidenses </w:t>
      </w:r>
      <w:r w:rsidR="005D7387">
        <w:rPr>
          <w:rFonts w:ascii="Arial" w:hAnsi="Arial" w:cs="Arial"/>
          <w:sz w:val="20"/>
          <w:lang w:val="es-CL"/>
        </w:rPr>
        <w:t xml:space="preserve">seleccionadas entre el segmento de las </w:t>
      </w:r>
      <w:r w:rsidRPr="00865195">
        <w:rPr>
          <w:rFonts w:ascii="Arial" w:hAnsi="Arial" w:cs="Arial"/>
          <w:sz w:val="20"/>
          <w:lang w:val="es-CL"/>
        </w:rPr>
        <w:t xml:space="preserve">más importantes, según su capitalización de mercado. </w:t>
      </w:r>
      <w:r w:rsidR="009C33C5" w:rsidRPr="009C33C5">
        <w:rPr>
          <w:rFonts w:ascii="Arial" w:hAnsi="Arial" w:cs="Arial"/>
          <w:sz w:val="20"/>
          <w:lang w:val="es-CL"/>
        </w:rPr>
        <w:t>Con excepción del Grupo Industrial de Transporte y del Sector de Servicios Públicos de GICS, que están cubiertos por el Dow Jones Transportation Average y el Dow Jones Utility Average, respectivamente, el índice incluye corporaciones de una variedad de sectores.</w:t>
      </w:r>
    </w:p>
    <w:p w14:paraId="7F1F7FBF" w14:textId="77777777" w:rsidR="009C33C5" w:rsidRPr="00865195" w:rsidRDefault="009C33C5" w:rsidP="00865195">
      <w:pPr>
        <w:ind w:left="720" w:right="720"/>
        <w:rPr>
          <w:rFonts w:ascii="Arial" w:hAnsi="Arial" w:cs="Arial"/>
          <w:sz w:val="20"/>
          <w:lang w:val="es-CL"/>
        </w:rPr>
      </w:pPr>
    </w:p>
    <w:p w14:paraId="6AC7A498" w14:textId="77777777" w:rsidR="002D1A44" w:rsidRDefault="002D1A44" w:rsidP="00614953">
      <w:pPr>
        <w:pStyle w:val="MethodologyText"/>
        <w:spacing w:after="200"/>
        <w:ind w:left="720"/>
        <w:rPr>
          <w:rFonts w:ascii="Arial" w:hAnsi="Arial" w:cs="Arial"/>
          <w:sz w:val="20"/>
          <w:lang w:val="es-CL"/>
        </w:rPr>
      </w:pPr>
      <w:r w:rsidRPr="00CA0A25">
        <w:rPr>
          <w:rFonts w:ascii="Arial" w:hAnsi="Arial" w:cs="Arial"/>
          <w:b/>
          <w:sz w:val="20"/>
          <w:lang w:val="es-CL"/>
        </w:rPr>
        <w:t xml:space="preserve">Dow Jones </w:t>
      </w:r>
      <w:r>
        <w:rPr>
          <w:rFonts w:ascii="Arial" w:hAnsi="Arial" w:cs="Arial"/>
          <w:b/>
          <w:sz w:val="20"/>
          <w:szCs w:val="19"/>
          <w:lang w:val="es-CL"/>
        </w:rPr>
        <w:t>Transportation Average</w:t>
      </w:r>
      <w:r w:rsidRPr="00CA0A25">
        <w:rPr>
          <w:rFonts w:ascii="Arial" w:hAnsi="Arial" w:cs="Arial"/>
          <w:b/>
          <w:sz w:val="20"/>
          <w:lang w:val="es-CL"/>
        </w:rPr>
        <w:t>.</w:t>
      </w:r>
      <w:r w:rsidRPr="00CA0A25">
        <w:rPr>
          <w:rFonts w:ascii="Arial" w:hAnsi="Arial" w:cs="Arial"/>
          <w:sz w:val="20"/>
          <w:lang w:val="es-CL"/>
        </w:rPr>
        <w:t xml:space="preserve"> </w:t>
      </w:r>
      <w:r w:rsidR="00614953">
        <w:rPr>
          <w:rFonts w:ascii="Arial" w:hAnsi="Arial" w:cs="Arial"/>
          <w:sz w:val="20"/>
          <w:lang w:val="es-CL"/>
        </w:rPr>
        <w:t xml:space="preserve">El Dow Jones Transportation Average es un índice ponderado por precio y constituido por 20 empresas. Replica el comportamiento de algunas de las emisoras más grandes de la industria de transportación de los EE.UU. </w:t>
      </w:r>
    </w:p>
    <w:p w14:paraId="08025A27" w14:textId="77777777" w:rsidR="00614953" w:rsidRDefault="00614953" w:rsidP="00614953">
      <w:pPr>
        <w:pStyle w:val="MethodologyText"/>
        <w:spacing w:after="200"/>
        <w:ind w:left="720"/>
        <w:rPr>
          <w:rStyle w:val="sm"/>
          <w:rFonts w:ascii="Arial" w:hAnsi="Arial" w:cs="Arial"/>
          <w:sz w:val="20"/>
          <w:lang w:val="es-CL"/>
        </w:rPr>
      </w:pPr>
      <w:r w:rsidRPr="00BD52C3">
        <w:rPr>
          <w:rFonts w:ascii="Arial" w:hAnsi="Arial" w:cs="Arial"/>
          <w:b/>
          <w:sz w:val="20"/>
          <w:lang w:val="es-CL"/>
        </w:rPr>
        <w:t xml:space="preserve">Dow Jones </w:t>
      </w:r>
      <w:r>
        <w:rPr>
          <w:rFonts w:ascii="Arial" w:hAnsi="Arial" w:cs="Arial"/>
          <w:b/>
          <w:sz w:val="20"/>
          <w:szCs w:val="19"/>
          <w:lang w:val="es-CL"/>
        </w:rPr>
        <w:t>Utility Average</w:t>
      </w:r>
      <w:r w:rsidRPr="00BD52C3">
        <w:rPr>
          <w:rFonts w:ascii="Arial" w:hAnsi="Arial" w:cs="Arial"/>
          <w:b/>
          <w:sz w:val="20"/>
          <w:lang w:val="es-CL"/>
        </w:rPr>
        <w:t>.</w:t>
      </w:r>
      <w:r>
        <w:rPr>
          <w:rFonts w:ascii="Arial" w:hAnsi="Arial" w:cs="Arial"/>
          <w:sz w:val="20"/>
          <w:lang w:val="es-CL"/>
        </w:rPr>
        <w:t xml:space="preserve"> Este índice </w:t>
      </w:r>
      <w:r>
        <w:rPr>
          <w:rStyle w:val="sm"/>
          <w:rFonts w:ascii="Arial" w:hAnsi="Arial" w:cs="Arial"/>
          <w:sz w:val="20"/>
          <w:lang w:val="es-CL"/>
        </w:rPr>
        <w:t>está ponderado por precio y replica el desempeño de algunas de las 15 empresas con mayor capitalización de mercado dentro del sector de servicios públicos estadounidense.</w:t>
      </w:r>
    </w:p>
    <w:p w14:paraId="5D493241" w14:textId="77777777" w:rsidR="00614953" w:rsidRDefault="00614953" w:rsidP="00614953">
      <w:pPr>
        <w:pStyle w:val="MethodologyText"/>
        <w:spacing w:after="200"/>
        <w:ind w:left="720"/>
        <w:rPr>
          <w:rFonts w:ascii="Arial" w:hAnsi="Arial" w:cs="Arial"/>
          <w:sz w:val="20"/>
          <w:lang w:val="es-CL"/>
        </w:rPr>
      </w:pPr>
      <w:r w:rsidRPr="00A647CF">
        <w:rPr>
          <w:rFonts w:ascii="Arial" w:hAnsi="Arial" w:cs="Arial"/>
          <w:b/>
          <w:sz w:val="20"/>
          <w:lang w:val="es-CL"/>
        </w:rPr>
        <w:t xml:space="preserve">Dow Jones </w:t>
      </w:r>
      <w:r w:rsidRPr="00A647CF">
        <w:rPr>
          <w:rFonts w:ascii="Arial" w:hAnsi="Arial" w:cs="Arial"/>
          <w:b/>
          <w:sz w:val="20"/>
          <w:szCs w:val="19"/>
          <w:lang w:val="es-CL"/>
        </w:rPr>
        <w:t>Composite Average™</w:t>
      </w:r>
      <w:r w:rsidRPr="00A647CF">
        <w:rPr>
          <w:rFonts w:ascii="Arial" w:hAnsi="Arial" w:cs="Arial"/>
          <w:b/>
          <w:sz w:val="20"/>
          <w:lang w:val="es-CL"/>
        </w:rPr>
        <w:t>.</w:t>
      </w:r>
      <w:r w:rsidRPr="00A647CF">
        <w:rPr>
          <w:rFonts w:ascii="Arial" w:hAnsi="Arial" w:cs="Arial"/>
          <w:sz w:val="20"/>
          <w:lang w:val="es-CL"/>
        </w:rPr>
        <w:t xml:space="preserve"> </w:t>
      </w:r>
      <w:r>
        <w:rPr>
          <w:rStyle w:val="sm"/>
          <w:rFonts w:ascii="Arial" w:hAnsi="Arial" w:cs="Arial"/>
          <w:sz w:val="20"/>
          <w:lang w:val="es-CL"/>
        </w:rPr>
        <w:t xml:space="preserve">Este índice consta de 65 acciones ponderadas por precio e incluye todos los componentes </w:t>
      </w:r>
      <w:r w:rsidRPr="00435E1C">
        <w:rPr>
          <w:rStyle w:val="sm"/>
          <w:rFonts w:ascii="Arial" w:hAnsi="Arial" w:cs="Arial"/>
          <w:sz w:val="20"/>
          <w:lang w:val="es-CL"/>
        </w:rPr>
        <w:t>del</w:t>
      </w:r>
      <w:r>
        <w:rPr>
          <w:rStyle w:val="sm"/>
          <w:rFonts w:ascii="Arial" w:hAnsi="Arial" w:cs="Arial"/>
          <w:sz w:val="20"/>
          <w:lang w:val="es-CL"/>
        </w:rPr>
        <w:t xml:space="preserve"> Dow Jones Industrial Average</w:t>
      </w:r>
      <w:r w:rsidRPr="00A647CF">
        <w:rPr>
          <w:rStyle w:val="sm"/>
          <w:rFonts w:ascii="Arial" w:hAnsi="Arial" w:cs="Arial"/>
          <w:sz w:val="20"/>
          <w:lang w:val="es-CL"/>
        </w:rPr>
        <w:t>™</w:t>
      </w:r>
      <w:r w:rsidRPr="00A647CF">
        <w:rPr>
          <w:rFonts w:ascii="Arial" w:hAnsi="Arial" w:cs="Arial"/>
          <w:sz w:val="20"/>
          <w:lang w:val="es-CL"/>
        </w:rPr>
        <w:t xml:space="preserve">, </w:t>
      </w:r>
      <w:r>
        <w:rPr>
          <w:rFonts w:ascii="Arial" w:hAnsi="Arial" w:cs="Arial"/>
          <w:sz w:val="20"/>
          <w:lang w:val="es-CL"/>
        </w:rPr>
        <w:t xml:space="preserve">el </w:t>
      </w:r>
      <w:r w:rsidRPr="00A647CF">
        <w:rPr>
          <w:rFonts w:ascii="Arial" w:hAnsi="Arial" w:cs="Arial"/>
          <w:sz w:val="20"/>
          <w:lang w:val="es-CL"/>
        </w:rPr>
        <w:t>Dow Jones Transportation Average</w:t>
      </w:r>
      <w:r w:rsidRPr="00A647CF">
        <w:rPr>
          <w:rStyle w:val="sm"/>
          <w:rFonts w:ascii="Arial" w:hAnsi="Arial" w:cs="Arial"/>
          <w:sz w:val="20"/>
          <w:lang w:val="es-CL"/>
        </w:rPr>
        <w:t>™</w:t>
      </w:r>
      <w:r w:rsidRPr="00A647CF">
        <w:rPr>
          <w:rFonts w:ascii="Arial" w:hAnsi="Arial" w:cs="Arial"/>
          <w:sz w:val="20"/>
          <w:lang w:val="es-CL"/>
        </w:rPr>
        <w:t xml:space="preserve"> </w:t>
      </w:r>
      <w:r>
        <w:rPr>
          <w:rFonts w:ascii="Arial" w:hAnsi="Arial" w:cs="Arial"/>
          <w:sz w:val="20"/>
          <w:lang w:val="es-CL"/>
        </w:rPr>
        <w:t>y el</w:t>
      </w:r>
      <w:r w:rsidRPr="00A647CF">
        <w:rPr>
          <w:rFonts w:ascii="Arial" w:hAnsi="Arial" w:cs="Arial"/>
          <w:sz w:val="20"/>
          <w:lang w:val="es-CL"/>
        </w:rPr>
        <w:t xml:space="preserve"> Dow Jones Utility Average</w:t>
      </w:r>
      <w:r w:rsidRPr="00A647CF">
        <w:rPr>
          <w:rStyle w:val="sm"/>
          <w:rFonts w:ascii="Arial" w:hAnsi="Arial" w:cs="Arial"/>
          <w:sz w:val="20"/>
          <w:lang w:val="es-CL"/>
        </w:rPr>
        <w:t>™</w:t>
      </w:r>
      <w:r w:rsidRPr="00A647CF">
        <w:rPr>
          <w:rFonts w:ascii="Arial" w:hAnsi="Arial" w:cs="Arial"/>
          <w:sz w:val="20"/>
          <w:lang w:val="es-CL"/>
        </w:rPr>
        <w:t>.</w:t>
      </w:r>
    </w:p>
    <w:p w14:paraId="6424E50B" w14:textId="77777777" w:rsidR="00405535" w:rsidRDefault="00405535" w:rsidP="00405535">
      <w:pPr>
        <w:pStyle w:val="MethodologyText"/>
        <w:spacing w:after="200"/>
        <w:ind w:left="720"/>
        <w:rPr>
          <w:rFonts w:ascii="Arial" w:hAnsi="Arial" w:cs="Arial"/>
          <w:sz w:val="20"/>
          <w:lang w:val="es-CL"/>
        </w:rPr>
      </w:pPr>
      <w:r w:rsidRPr="002D15E9">
        <w:rPr>
          <w:rFonts w:ascii="Arial" w:hAnsi="Arial" w:cs="Arial"/>
          <w:b/>
          <w:sz w:val="20"/>
          <w:szCs w:val="19"/>
        </w:rPr>
        <w:t>Dow Jones Industrial Average Yield Weighted</w:t>
      </w:r>
      <w:r w:rsidRPr="002D15E9">
        <w:rPr>
          <w:rFonts w:ascii="Arial" w:hAnsi="Arial" w:cs="Arial"/>
          <w:b/>
          <w:sz w:val="20"/>
        </w:rPr>
        <w:t>.</w:t>
      </w:r>
      <w:r w:rsidRPr="002D15E9">
        <w:rPr>
          <w:rFonts w:ascii="Arial" w:hAnsi="Arial" w:cs="Arial"/>
          <w:sz w:val="20"/>
        </w:rPr>
        <w:t xml:space="preserve"> </w:t>
      </w:r>
      <w:r>
        <w:rPr>
          <w:rFonts w:ascii="Arial" w:hAnsi="Arial" w:cs="Arial"/>
          <w:sz w:val="20"/>
          <w:lang w:val="es-CL"/>
        </w:rPr>
        <w:t>Este índice, incluye todos los constituyentes del Dow Jones Industrial Average</w:t>
      </w:r>
      <w:r w:rsidRPr="00E53AD0">
        <w:rPr>
          <w:rFonts w:ascii="Arial" w:hAnsi="Arial" w:cs="Arial"/>
          <w:sz w:val="20"/>
          <w:szCs w:val="19"/>
          <w:lang w:val="es-CL"/>
        </w:rPr>
        <w:t>™</w:t>
      </w:r>
      <w:r>
        <w:rPr>
          <w:rFonts w:ascii="Arial" w:hAnsi="Arial" w:cs="Arial"/>
          <w:sz w:val="20"/>
          <w:lang w:val="es-CL"/>
        </w:rPr>
        <w:t xml:space="preserve"> con pago de dividendos. En cada rebalanceo, los componentes son ponderados en base a la </w:t>
      </w:r>
      <w:r w:rsidRPr="00BE677B">
        <w:rPr>
          <w:rFonts w:ascii="Arial" w:hAnsi="Arial" w:cs="Arial"/>
          <w:sz w:val="20"/>
          <w:lang w:val="es-CL"/>
        </w:rPr>
        <w:t xml:space="preserve">tasa </w:t>
      </w:r>
      <w:r>
        <w:rPr>
          <w:rFonts w:ascii="Arial" w:hAnsi="Arial" w:cs="Arial"/>
          <w:sz w:val="20"/>
          <w:lang w:val="es-CL"/>
        </w:rPr>
        <w:t xml:space="preserve">indicada </w:t>
      </w:r>
      <w:r w:rsidRPr="00BE677B">
        <w:rPr>
          <w:rFonts w:ascii="Arial" w:hAnsi="Arial" w:cs="Arial"/>
          <w:sz w:val="20"/>
          <w:lang w:val="es-CL"/>
        </w:rPr>
        <w:t xml:space="preserve">de dividendo </w:t>
      </w:r>
      <w:r>
        <w:rPr>
          <w:rFonts w:ascii="Arial" w:hAnsi="Arial" w:cs="Arial"/>
          <w:sz w:val="20"/>
          <w:lang w:val="es-CL"/>
        </w:rPr>
        <w:t>pagada en el año.</w:t>
      </w:r>
      <w:r w:rsidRPr="00E53AD0">
        <w:rPr>
          <w:rFonts w:ascii="Arial" w:hAnsi="Arial" w:cs="Arial"/>
          <w:sz w:val="20"/>
          <w:lang w:val="es-CL"/>
        </w:rPr>
        <w:t xml:space="preserve"> </w:t>
      </w:r>
    </w:p>
    <w:p w14:paraId="7673B900" w14:textId="77777777" w:rsidR="00405535" w:rsidRDefault="00405535" w:rsidP="00405535">
      <w:pPr>
        <w:pStyle w:val="MethodologyText"/>
        <w:spacing w:after="200"/>
        <w:ind w:left="720"/>
        <w:rPr>
          <w:rFonts w:ascii="Arial" w:hAnsi="Arial" w:cs="Arial"/>
          <w:sz w:val="20"/>
          <w:lang w:val="es-MX"/>
        </w:rPr>
      </w:pPr>
      <w:r>
        <w:rPr>
          <w:rFonts w:ascii="Arial" w:hAnsi="Arial" w:cs="Arial"/>
          <w:b/>
          <w:sz w:val="20"/>
          <w:szCs w:val="19"/>
        </w:rPr>
        <w:t>Dow Jones Industrial Average Equal Weight Index.</w:t>
      </w:r>
      <w:r w:rsidRPr="006532B4">
        <w:rPr>
          <w:rFonts w:ascii="Arial" w:hAnsi="Arial" w:cs="Arial"/>
          <w:sz w:val="20"/>
        </w:rPr>
        <w:t xml:space="preserve"> </w:t>
      </w:r>
      <w:r w:rsidR="00CA07B2">
        <w:rPr>
          <w:rFonts w:ascii="Arial" w:hAnsi="Arial" w:cs="Arial"/>
          <w:sz w:val="20"/>
          <w:lang w:val="es-MX"/>
        </w:rPr>
        <w:t>Este</w:t>
      </w:r>
      <w:r>
        <w:rPr>
          <w:rFonts w:ascii="Arial" w:hAnsi="Arial" w:cs="Arial"/>
          <w:sz w:val="20"/>
          <w:lang w:val="es-MX"/>
        </w:rPr>
        <w:t xml:space="preserve"> índice se constituye de</w:t>
      </w:r>
      <w:r w:rsidRPr="006532B4">
        <w:rPr>
          <w:rFonts w:ascii="Arial" w:hAnsi="Arial" w:cs="Arial"/>
          <w:sz w:val="20"/>
          <w:lang w:val="es-MX"/>
        </w:rPr>
        <w:t xml:space="preserve"> todos los componentes del Dow Jones Utility Average™.</w:t>
      </w:r>
      <w:r>
        <w:rPr>
          <w:rFonts w:ascii="Arial" w:hAnsi="Arial" w:cs="Arial"/>
          <w:sz w:val="20"/>
          <w:lang w:val="es-MX"/>
        </w:rPr>
        <w:t xml:space="preserve"> En cada rebalanceo, los componentes se ponderan equitativamente.</w:t>
      </w:r>
    </w:p>
    <w:p w14:paraId="508D2551" w14:textId="77777777" w:rsidR="00CA07B2" w:rsidRPr="009A36F5" w:rsidRDefault="00CA07B2" w:rsidP="00CA07B2">
      <w:pPr>
        <w:pStyle w:val="Heading2"/>
        <w:ind w:left="720"/>
        <w:rPr>
          <w:rFonts w:ascii="Arial" w:hAnsi="Arial" w:cs="Arial"/>
          <w:sz w:val="20"/>
          <w:lang w:val="es-MX"/>
        </w:rPr>
      </w:pPr>
      <w:bookmarkStart w:id="4" w:name="_Toc513474473"/>
      <w:bookmarkStart w:id="5" w:name="_Toc198540677"/>
      <w:r w:rsidRPr="009A36F5">
        <w:rPr>
          <w:rFonts w:ascii="Arial" w:hAnsi="Arial" w:cs="Arial"/>
          <w:sz w:val="20"/>
          <w:lang w:val="es-MX"/>
        </w:rPr>
        <w:t>Referencias</w:t>
      </w:r>
      <w:bookmarkEnd w:id="4"/>
      <w:bookmarkEnd w:id="5"/>
    </w:p>
    <w:p w14:paraId="51DD790E" w14:textId="77777777" w:rsidR="00CA07B2" w:rsidRDefault="00CA07B2" w:rsidP="00CA07B2">
      <w:pPr>
        <w:pStyle w:val="MethodologyText"/>
        <w:ind w:left="720"/>
        <w:rPr>
          <w:rFonts w:ascii="Arial" w:hAnsi="Arial" w:cs="Arial"/>
          <w:sz w:val="20"/>
          <w:lang w:val="es-MX"/>
        </w:rPr>
      </w:pPr>
      <w:r w:rsidRPr="00B803E8">
        <w:rPr>
          <w:rFonts w:ascii="Arial" w:hAnsi="Arial" w:cs="Arial"/>
          <w:sz w:val="20"/>
          <w:lang w:val="es-MX"/>
        </w:rPr>
        <w:t>Esta metodología debe leerse conjuntamente con otros documentos para comprender mejor las políticas, procedimientos y cálculos cubiertos. La tabla a continuación enumera los documentos de referencia para esta metodología con sus respectivos hipervínculos:</w:t>
      </w:r>
    </w:p>
    <w:p w14:paraId="3879E5C1" w14:textId="77777777" w:rsidR="00CA07B2" w:rsidRDefault="00CA07B2" w:rsidP="00CA07B2">
      <w:pPr>
        <w:pStyle w:val="MethodologyText"/>
        <w:ind w:left="720"/>
        <w:rPr>
          <w:rFonts w:ascii="Arial" w:hAnsi="Arial" w:cs="Arial"/>
          <w:sz w:val="20"/>
          <w:lang w:val="es-MX"/>
        </w:rPr>
      </w:pPr>
    </w:p>
    <w:tbl>
      <w:tblPr>
        <w:tblW w:w="9187" w:type="dxa"/>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4"/>
        <w:gridCol w:w="4573"/>
      </w:tblGrid>
      <w:tr w:rsidR="00CA07B2" w:rsidRPr="00424BA8" w14:paraId="1271D55A" w14:textId="77777777" w:rsidTr="00076F06">
        <w:tc>
          <w:tcPr>
            <w:tcW w:w="4614" w:type="dxa"/>
            <w:shd w:val="clear" w:color="auto" w:fill="000000"/>
            <w:vAlign w:val="center"/>
          </w:tcPr>
          <w:p w14:paraId="376FE485" w14:textId="77777777" w:rsidR="00CA07B2" w:rsidRPr="002E2759" w:rsidRDefault="00CA07B2" w:rsidP="00076F06">
            <w:pPr>
              <w:pStyle w:val="MethodologyText"/>
              <w:ind w:left="0" w:right="0"/>
              <w:jc w:val="center"/>
              <w:rPr>
                <w:rFonts w:ascii="Arial" w:hAnsi="Arial" w:cs="Arial"/>
                <w:b/>
                <w:sz w:val="20"/>
              </w:rPr>
            </w:pPr>
            <w:r>
              <w:rPr>
                <w:rFonts w:ascii="Arial" w:hAnsi="Arial" w:cs="Arial"/>
                <w:b/>
                <w:bCs/>
                <w:color w:val="FFFFFF"/>
                <w:sz w:val="20"/>
                <w:szCs w:val="20"/>
              </w:rPr>
              <w:t>Documentos de Soporte</w:t>
            </w:r>
          </w:p>
        </w:tc>
        <w:tc>
          <w:tcPr>
            <w:tcW w:w="4573" w:type="dxa"/>
            <w:shd w:val="clear" w:color="auto" w:fill="000000"/>
            <w:vAlign w:val="center"/>
          </w:tcPr>
          <w:p w14:paraId="5A9EA020" w14:textId="77777777" w:rsidR="00CA07B2" w:rsidRPr="002E2759" w:rsidRDefault="00CA07B2" w:rsidP="00076F06">
            <w:pPr>
              <w:pStyle w:val="MethodologyText"/>
              <w:ind w:left="0" w:right="0"/>
              <w:jc w:val="center"/>
              <w:rPr>
                <w:rFonts w:ascii="Arial" w:hAnsi="Arial" w:cs="Arial"/>
                <w:b/>
                <w:sz w:val="20"/>
              </w:rPr>
            </w:pPr>
            <w:r>
              <w:rPr>
                <w:rFonts w:ascii="Arial" w:hAnsi="Arial" w:cs="Arial"/>
                <w:b/>
                <w:sz w:val="20"/>
              </w:rPr>
              <w:t>URL</w:t>
            </w:r>
          </w:p>
        </w:tc>
      </w:tr>
      <w:tr w:rsidR="00CA07B2" w:rsidRPr="00D30E3A" w14:paraId="24F279EA" w14:textId="77777777" w:rsidTr="00076F06">
        <w:tc>
          <w:tcPr>
            <w:tcW w:w="4614" w:type="dxa"/>
            <w:shd w:val="clear" w:color="auto" w:fill="auto"/>
            <w:vAlign w:val="center"/>
          </w:tcPr>
          <w:p w14:paraId="34129C7C" w14:textId="77777777" w:rsidR="00CA07B2" w:rsidRPr="00B803E8" w:rsidRDefault="00CA07B2" w:rsidP="00076F06">
            <w:pPr>
              <w:pStyle w:val="MethodologyText"/>
              <w:ind w:left="0" w:right="0"/>
              <w:rPr>
                <w:rFonts w:ascii="Arial" w:hAnsi="Arial" w:cs="Arial"/>
                <w:sz w:val="20"/>
                <w:lang w:val="es-MX"/>
              </w:rPr>
            </w:pPr>
            <w:r w:rsidRPr="00B803E8">
              <w:rPr>
                <w:rFonts w:ascii="Arial" w:hAnsi="Arial" w:cs="Arial"/>
                <w:sz w:val="20"/>
                <w:szCs w:val="20"/>
                <w:lang w:val="es-MX" w:eastAsia="es-PE"/>
              </w:rPr>
              <w:t>Políticas y Prácticas de los índices de Renta Variable de S&amp;P Dow Jones Indices</w:t>
            </w:r>
          </w:p>
        </w:tc>
        <w:tc>
          <w:tcPr>
            <w:tcW w:w="4573" w:type="dxa"/>
            <w:shd w:val="clear" w:color="auto" w:fill="auto"/>
            <w:vAlign w:val="center"/>
          </w:tcPr>
          <w:p w14:paraId="490A2321" w14:textId="50D7DF42" w:rsidR="00CA07B2" w:rsidRPr="00D30E3A" w:rsidRDefault="00CA07B2" w:rsidP="00076F06">
            <w:pPr>
              <w:pStyle w:val="MethodologyText"/>
              <w:ind w:left="0" w:right="0"/>
              <w:rPr>
                <w:rFonts w:ascii="Arial" w:hAnsi="Arial" w:cs="Arial"/>
                <w:sz w:val="20"/>
              </w:rPr>
            </w:pPr>
            <w:hyperlink r:id="rId17" w:history="1">
              <w:r w:rsidRPr="007560E8">
                <w:rPr>
                  <w:rStyle w:val="Hyperlink"/>
                  <w:rFonts w:ascii="Arial" w:hAnsi="Arial" w:cs="Arial"/>
                  <w:sz w:val="20"/>
                </w:rPr>
                <w:t>Equity Indices Policies &amp; Practices (Español)</w:t>
              </w:r>
            </w:hyperlink>
          </w:p>
        </w:tc>
      </w:tr>
      <w:tr w:rsidR="00CA07B2" w:rsidRPr="00D30E3A" w14:paraId="4162219D" w14:textId="77777777" w:rsidTr="00076F06">
        <w:tc>
          <w:tcPr>
            <w:tcW w:w="4614" w:type="dxa"/>
            <w:shd w:val="clear" w:color="auto" w:fill="auto"/>
            <w:vAlign w:val="center"/>
          </w:tcPr>
          <w:p w14:paraId="053BC015" w14:textId="77777777" w:rsidR="00CA07B2" w:rsidRPr="00577C06" w:rsidRDefault="00CA07B2" w:rsidP="00076F06">
            <w:pPr>
              <w:pStyle w:val="MethodologyText"/>
              <w:ind w:left="0" w:right="0"/>
              <w:rPr>
                <w:rFonts w:ascii="Arial" w:hAnsi="Arial" w:cs="Arial"/>
                <w:sz w:val="20"/>
                <w:lang w:val="es-MX"/>
              </w:rPr>
            </w:pPr>
            <w:r w:rsidRPr="00577C06">
              <w:rPr>
                <w:rFonts w:ascii="Arial" w:hAnsi="Arial" w:cs="Arial"/>
                <w:sz w:val="20"/>
                <w:szCs w:val="20"/>
                <w:lang w:val="es-MX" w:eastAsia="es-PE"/>
              </w:rPr>
              <w:t xml:space="preserve">Matemáticas de los Índices S&amp;P Dow Jones </w:t>
            </w:r>
          </w:p>
        </w:tc>
        <w:tc>
          <w:tcPr>
            <w:tcW w:w="4573" w:type="dxa"/>
            <w:shd w:val="clear" w:color="auto" w:fill="auto"/>
            <w:vAlign w:val="center"/>
          </w:tcPr>
          <w:p w14:paraId="60449056" w14:textId="551B12C0" w:rsidR="00CA07B2" w:rsidRPr="00D30E3A" w:rsidRDefault="00CA07B2" w:rsidP="00076F06">
            <w:pPr>
              <w:pStyle w:val="MethodologyText"/>
              <w:ind w:left="0" w:right="0"/>
              <w:rPr>
                <w:rFonts w:ascii="Arial" w:hAnsi="Arial" w:cs="Arial"/>
                <w:sz w:val="20"/>
              </w:rPr>
            </w:pPr>
            <w:hyperlink r:id="rId18" w:history="1">
              <w:r w:rsidRPr="007560E8">
                <w:rPr>
                  <w:rStyle w:val="Hyperlink"/>
                  <w:rFonts w:ascii="Arial" w:hAnsi="Arial" w:cs="Arial"/>
                  <w:sz w:val="20"/>
                </w:rPr>
                <w:t>Index Mathematics Methodology (Español)</w:t>
              </w:r>
            </w:hyperlink>
          </w:p>
        </w:tc>
      </w:tr>
      <w:tr w:rsidR="00CA07B2" w:rsidRPr="00D30E3A" w14:paraId="034CBCA6" w14:textId="77777777" w:rsidTr="00076F06">
        <w:tc>
          <w:tcPr>
            <w:tcW w:w="4614" w:type="dxa"/>
            <w:shd w:val="clear" w:color="auto" w:fill="auto"/>
            <w:vAlign w:val="center"/>
          </w:tcPr>
          <w:p w14:paraId="6CB04CDD" w14:textId="77777777" w:rsidR="00CA07B2" w:rsidRPr="001C0702" w:rsidRDefault="00CA07B2" w:rsidP="00076F06">
            <w:pPr>
              <w:pStyle w:val="MethodologyText"/>
              <w:ind w:left="0" w:right="0"/>
              <w:rPr>
                <w:rFonts w:ascii="Arial" w:hAnsi="Arial" w:cs="Arial"/>
                <w:sz w:val="20"/>
                <w:lang w:val="es-MX"/>
              </w:rPr>
            </w:pPr>
            <w:r w:rsidRPr="001C0702">
              <w:rPr>
                <w:rFonts w:ascii="Arial" w:hAnsi="Arial" w:cs="Arial"/>
                <w:sz w:val="20"/>
                <w:szCs w:val="20"/>
                <w:lang w:val="es-MX" w:eastAsia="es-PE"/>
              </w:rPr>
              <w:t>Clasificación Industrial Global Estándar (GICS®) Metodología</w:t>
            </w:r>
          </w:p>
        </w:tc>
        <w:tc>
          <w:tcPr>
            <w:tcW w:w="4573" w:type="dxa"/>
            <w:shd w:val="clear" w:color="auto" w:fill="auto"/>
            <w:vAlign w:val="center"/>
          </w:tcPr>
          <w:p w14:paraId="4281A967" w14:textId="19F96046" w:rsidR="00CA07B2" w:rsidRPr="00D30E3A" w:rsidRDefault="00CA07B2" w:rsidP="00076F06">
            <w:pPr>
              <w:pStyle w:val="MethodologyText"/>
              <w:ind w:left="0" w:right="0"/>
              <w:rPr>
                <w:rFonts w:ascii="Arial" w:hAnsi="Arial" w:cs="Arial"/>
                <w:sz w:val="20"/>
              </w:rPr>
            </w:pPr>
            <w:hyperlink r:id="rId19" w:history="1">
              <w:r w:rsidRPr="007560E8">
                <w:rPr>
                  <w:rStyle w:val="Hyperlink"/>
                  <w:rFonts w:ascii="Arial" w:hAnsi="Arial" w:cs="Arial"/>
                  <w:sz w:val="20"/>
                </w:rPr>
                <w:t>GICS Methodology (Español)</w:t>
              </w:r>
            </w:hyperlink>
          </w:p>
        </w:tc>
      </w:tr>
    </w:tbl>
    <w:p w14:paraId="31EDD2D2" w14:textId="77777777" w:rsidR="00CA07B2" w:rsidRPr="00B803E8" w:rsidRDefault="00CA07B2" w:rsidP="00CA07B2">
      <w:pPr>
        <w:pStyle w:val="MethodologyText"/>
        <w:ind w:left="720"/>
        <w:rPr>
          <w:rFonts w:ascii="Arial" w:hAnsi="Arial" w:cs="Arial"/>
          <w:sz w:val="20"/>
          <w:lang w:val="es-MX"/>
        </w:rPr>
      </w:pPr>
    </w:p>
    <w:p w14:paraId="0BBD83B5" w14:textId="77777777" w:rsidR="00CA07B2" w:rsidRPr="00205616" w:rsidRDefault="00CA07B2" w:rsidP="00CA07B2">
      <w:pPr>
        <w:pStyle w:val="MethodologyText"/>
        <w:ind w:left="720"/>
        <w:rPr>
          <w:rFonts w:ascii="Arial" w:hAnsi="Arial" w:cs="Arial"/>
          <w:sz w:val="20"/>
          <w:lang w:val="es-MX"/>
        </w:rPr>
      </w:pPr>
      <w:r w:rsidRPr="00205616">
        <w:rPr>
          <w:rFonts w:ascii="Arial" w:hAnsi="Arial" w:cs="Arial"/>
          <w:sz w:val="20"/>
          <w:lang w:val="es-MX"/>
        </w:rPr>
        <w:t>La presente metodología ha sido creada con el objetivo de medir el interés subyacente de cada índice</w:t>
      </w:r>
    </w:p>
    <w:p w14:paraId="007270D4" w14:textId="77777777" w:rsidR="00CA07B2" w:rsidRPr="00205616" w:rsidRDefault="00CA07B2" w:rsidP="00CA07B2">
      <w:pPr>
        <w:pStyle w:val="MethodologyText"/>
        <w:ind w:left="720"/>
        <w:rPr>
          <w:rFonts w:ascii="Arial" w:hAnsi="Arial" w:cs="Arial"/>
          <w:sz w:val="20"/>
          <w:lang w:val="es-MX"/>
        </w:rPr>
      </w:pPr>
      <w:r w:rsidRPr="00205616">
        <w:rPr>
          <w:rFonts w:ascii="Arial" w:hAnsi="Arial" w:cs="Arial"/>
          <w:sz w:val="20"/>
          <w:lang w:val="es-MX"/>
        </w:rPr>
        <w:t xml:space="preserve">regido por </w:t>
      </w:r>
      <w:r>
        <w:rPr>
          <w:rFonts w:ascii="Arial" w:hAnsi="Arial" w:cs="Arial"/>
          <w:sz w:val="20"/>
          <w:lang w:val="es-MX"/>
        </w:rPr>
        <w:t xml:space="preserve">este </w:t>
      </w:r>
      <w:r w:rsidRPr="00205616">
        <w:rPr>
          <w:rFonts w:ascii="Arial" w:hAnsi="Arial" w:cs="Arial"/>
          <w:sz w:val="20"/>
          <w:lang w:val="es-MX"/>
        </w:rPr>
        <w:t>documento. Cualquier cambio a esta metodología será realizado a juicio</w:t>
      </w:r>
    </w:p>
    <w:p w14:paraId="415F1FBA" w14:textId="77777777" w:rsidR="00CA07B2" w:rsidRPr="00065A18" w:rsidRDefault="00CA07B2" w:rsidP="00CA07B2">
      <w:pPr>
        <w:pStyle w:val="MethodologyText"/>
        <w:ind w:left="720"/>
        <w:rPr>
          <w:rFonts w:ascii="Arial" w:hAnsi="Arial" w:cs="Arial"/>
          <w:sz w:val="20"/>
          <w:lang w:val="es-MX"/>
        </w:rPr>
      </w:pPr>
      <w:r w:rsidRPr="00205616">
        <w:rPr>
          <w:rFonts w:ascii="Arial" w:hAnsi="Arial" w:cs="Arial"/>
          <w:sz w:val="20"/>
          <w:lang w:val="es-MX"/>
        </w:rPr>
        <w:t>exclusivo de</w:t>
      </w:r>
      <w:r>
        <w:rPr>
          <w:rFonts w:ascii="Arial" w:hAnsi="Arial" w:cs="Arial"/>
          <w:sz w:val="20"/>
          <w:lang w:val="es-MX"/>
        </w:rPr>
        <w:t xml:space="preserve">l Comité </w:t>
      </w:r>
      <w:r w:rsidRPr="00CA07B2">
        <w:rPr>
          <w:rFonts w:ascii="Arial" w:hAnsi="Arial" w:cs="Arial"/>
          <w:i/>
          <w:sz w:val="20"/>
          <w:lang w:val="es-MX"/>
        </w:rPr>
        <w:t>(Averages Committee)</w:t>
      </w:r>
      <w:r w:rsidRPr="00205616">
        <w:rPr>
          <w:rFonts w:ascii="Arial" w:hAnsi="Arial" w:cs="Arial"/>
          <w:sz w:val="20"/>
          <w:lang w:val="es-MX"/>
        </w:rPr>
        <w:t xml:space="preserve"> para garantizar que el índice continúe alcanzando su objetivo.</w:t>
      </w:r>
    </w:p>
    <w:p w14:paraId="7950EA93" w14:textId="77777777" w:rsidR="00CA07B2" w:rsidRPr="006532B4" w:rsidRDefault="00CA07B2" w:rsidP="00405535">
      <w:pPr>
        <w:pStyle w:val="MethodologyText"/>
        <w:spacing w:after="200"/>
        <w:ind w:left="720"/>
        <w:rPr>
          <w:rFonts w:ascii="Arial" w:hAnsi="Arial" w:cs="Arial"/>
          <w:sz w:val="20"/>
          <w:lang w:val="es-MX"/>
        </w:rPr>
      </w:pPr>
    </w:p>
    <w:p w14:paraId="30440410" w14:textId="77777777" w:rsidR="00CB703A" w:rsidRPr="005E7296" w:rsidRDefault="00791AA7" w:rsidP="00CA07B2">
      <w:pPr>
        <w:pStyle w:val="Heading1"/>
        <w:ind w:left="720"/>
        <w:rPr>
          <w:rFonts w:ascii="Arial" w:hAnsi="Arial" w:cs="Arial"/>
          <w:lang w:val="es-CL"/>
        </w:rPr>
      </w:pPr>
      <w:bookmarkStart w:id="6" w:name="_Toc198540678"/>
      <w:bookmarkStart w:id="7" w:name="_Toc125539586"/>
      <w:bookmarkStart w:id="8" w:name="_Toc125540167"/>
      <w:r w:rsidRPr="005E7296">
        <w:rPr>
          <w:rFonts w:ascii="Arial" w:hAnsi="Arial" w:cs="Arial"/>
          <w:lang w:val="es-CL"/>
        </w:rPr>
        <w:t>Criterio</w:t>
      </w:r>
      <w:r w:rsidR="000A2F1C">
        <w:rPr>
          <w:rFonts w:ascii="Arial" w:hAnsi="Arial" w:cs="Arial"/>
          <w:lang w:val="es-CL"/>
        </w:rPr>
        <w:t>s</w:t>
      </w:r>
      <w:r w:rsidRPr="005E7296">
        <w:rPr>
          <w:rFonts w:ascii="Arial" w:hAnsi="Arial" w:cs="Arial"/>
          <w:lang w:val="es-CL"/>
        </w:rPr>
        <w:t xml:space="preserve"> de elegibilidad</w:t>
      </w:r>
      <w:bookmarkEnd w:id="6"/>
    </w:p>
    <w:p w14:paraId="3C5C9AA0" w14:textId="77777777" w:rsidR="0060456F" w:rsidRPr="005E7296" w:rsidRDefault="005E7296" w:rsidP="006217B6">
      <w:pPr>
        <w:pStyle w:val="Heading2"/>
        <w:ind w:left="720"/>
        <w:rPr>
          <w:rFonts w:ascii="Arial" w:hAnsi="Arial" w:cs="Arial"/>
          <w:sz w:val="20"/>
          <w:lang w:val="es-CL"/>
        </w:rPr>
      </w:pPr>
      <w:bookmarkStart w:id="9" w:name="_Toc198540679"/>
      <w:r w:rsidRPr="004306D8">
        <w:rPr>
          <w:rFonts w:ascii="Arial" w:hAnsi="Arial" w:cs="Arial"/>
          <w:sz w:val="20"/>
          <w:lang w:val="es-CL"/>
        </w:rPr>
        <w:t>Elegibilidad</w:t>
      </w:r>
      <w:bookmarkEnd w:id="9"/>
    </w:p>
    <w:p w14:paraId="47A4CA89" w14:textId="77777777" w:rsidR="00BF28C5" w:rsidRPr="0010073E" w:rsidRDefault="0010073E" w:rsidP="00DE582C">
      <w:pPr>
        <w:pStyle w:val="MethodologyText"/>
        <w:spacing w:after="200"/>
        <w:ind w:left="720"/>
        <w:rPr>
          <w:rFonts w:ascii="Arial" w:hAnsi="Arial" w:cs="Arial"/>
          <w:sz w:val="20"/>
          <w:lang w:val="es-CL"/>
        </w:rPr>
      </w:pPr>
      <w:r>
        <w:rPr>
          <w:rFonts w:ascii="Arial" w:hAnsi="Arial" w:cs="Arial"/>
          <w:sz w:val="20"/>
          <w:lang w:val="es-CL"/>
        </w:rPr>
        <w:t>A continuación, se describe e</w:t>
      </w:r>
      <w:r w:rsidRPr="0010073E">
        <w:rPr>
          <w:rFonts w:ascii="Arial" w:hAnsi="Arial" w:cs="Arial"/>
          <w:sz w:val="20"/>
          <w:lang w:val="es-CL"/>
        </w:rPr>
        <w:t>l universo</w:t>
      </w:r>
      <w:r w:rsidR="00F33FF2">
        <w:rPr>
          <w:rFonts w:ascii="Arial" w:hAnsi="Arial" w:cs="Arial"/>
          <w:sz w:val="20"/>
          <w:lang w:val="es-CL"/>
        </w:rPr>
        <w:t xml:space="preserve"> elegible</w:t>
      </w:r>
      <w:r w:rsidRPr="0010073E">
        <w:rPr>
          <w:rFonts w:ascii="Arial" w:hAnsi="Arial" w:cs="Arial"/>
          <w:sz w:val="20"/>
          <w:lang w:val="es-CL"/>
        </w:rPr>
        <w:t xml:space="preserve"> de cada índice</w:t>
      </w:r>
      <w:r>
        <w:rPr>
          <w:rFonts w:ascii="Arial" w:hAnsi="Arial" w:cs="Arial"/>
          <w:sz w:val="20"/>
          <w:lang w:val="es-CL"/>
        </w:rPr>
        <w:t>:</w:t>
      </w:r>
    </w:p>
    <w:tbl>
      <w:tblPr>
        <w:tblW w:w="9187" w:type="dxa"/>
        <w:tblInd w:w="835" w:type="dxa"/>
        <w:tblLayout w:type="fixed"/>
        <w:tblLook w:val="04A0" w:firstRow="1" w:lastRow="0" w:firstColumn="1" w:lastColumn="0" w:noHBand="0" w:noVBand="1"/>
      </w:tblPr>
      <w:tblGrid>
        <w:gridCol w:w="4043"/>
        <w:gridCol w:w="5144"/>
      </w:tblGrid>
      <w:tr w:rsidR="002D44FB" w:rsidRPr="005D17EB" w14:paraId="7ED22DCA" w14:textId="77777777" w:rsidTr="006217B6">
        <w:trPr>
          <w:trHeight w:val="288"/>
        </w:trPr>
        <w:tc>
          <w:tcPr>
            <w:tcW w:w="404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17FABE84" w14:textId="77777777" w:rsidR="002D44FB" w:rsidRPr="005D17EB" w:rsidRDefault="00F8319E" w:rsidP="00C632CA">
            <w:pPr>
              <w:jc w:val="center"/>
              <w:rPr>
                <w:rFonts w:ascii="Arial" w:hAnsi="Arial" w:cs="Arial"/>
                <w:b/>
                <w:bCs/>
                <w:color w:val="FFFFFF" w:themeColor="background1"/>
                <w:sz w:val="16"/>
                <w:szCs w:val="17"/>
                <w:lang w:val="es-CL" w:eastAsia="ja-JP"/>
              </w:rPr>
            </w:pPr>
            <w:r>
              <w:rPr>
                <w:rFonts w:ascii="Arial" w:hAnsi="Arial" w:cs="Arial"/>
                <w:b/>
                <w:bCs/>
                <w:color w:val="FFFFFF" w:themeColor="background1"/>
                <w:sz w:val="16"/>
                <w:szCs w:val="17"/>
                <w:lang w:val="es-CL" w:eastAsia="ja-JP"/>
              </w:rPr>
              <w:t>Índice</w:t>
            </w:r>
          </w:p>
        </w:tc>
        <w:tc>
          <w:tcPr>
            <w:tcW w:w="5144" w:type="dxa"/>
            <w:tcBorders>
              <w:top w:val="single" w:sz="4" w:space="0" w:color="auto"/>
              <w:left w:val="nil"/>
              <w:bottom w:val="single" w:sz="4" w:space="0" w:color="auto"/>
              <w:right w:val="single" w:sz="4" w:space="0" w:color="auto"/>
            </w:tcBorders>
            <w:shd w:val="clear" w:color="auto" w:fill="000000" w:themeFill="text1"/>
            <w:vAlign w:val="center"/>
            <w:hideMark/>
          </w:tcPr>
          <w:p w14:paraId="096B9224" w14:textId="77777777" w:rsidR="002D44FB" w:rsidRPr="005D17EB" w:rsidRDefault="00F8319E" w:rsidP="00C632CA">
            <w:pPr>
              <w:jc w:val="center"/>
              <w:rPr>
                <w:rFonts w:ascii="Arial" w:hAnsi="Arial" w:cs="Arial"/>
                <w:b/>
                <w:bCs/>
                <w:color w:val="FFFFFF" w:themeColor="background1"/>
                <w:sz w:val="16"/>
                <w:szCs w:val="17"/>
                <w:lang w:val="es-CL" w:eastAsia="ja-JP"/>
              </w:rPr>
            </w:pPr>
            <w:r>
              <w:rPr>
                <w:rFonts w:ascii="Arial" w:hAnsi="Arial" w:cs="Arial"/>
                <w:b/>
                <w:bCs/>
                <w:color w:val="FFFFFF" w:themeColor="background1"/>
                <w:sz w:val="16"/>
                <w:szCs w:val="17"/>
                <w:lang w:val="es-CL" w:eastAsia="ja-JP"/>
              </w:rPr>
              <w:t>Universo del índice</w:t>
            </w:r>
          </w:p>
        </w:tc>
      </w:tr>
      <w:tr w:rsidR="00482021" w:rsidRPr="00B12CD9" w14:paraId="00C7D7FB" w14:textId="77777777" w:rsidTr="006217B6">
        <w:trPr>
          <w:trHeight w:val="288"/>
        </w:trPr>
        <w:tc>
          <w:tcPr>
            <w:tcW w:w="4043" w:type="dxa"/>
            <w:tcBorders>
              <w:top w:val="single" w:sz="4" w:space="0" w:color="auto"/>
              <w:left w:val="single" w:sz="4" w:space="0" w:color="auto"/>
              <w:bottom w:val="single" w:sz="4" w:space="0" w:color="auto"/>
              <w:right w:val="single" w:sz="4" w:space="0" w:color="auto"/>
            </w:tcBorders>
          </w:tcPr>
          <w:p w14:paraId="60339FDB" w14:textId="77777777" w:rsidR="00482021" w:rsidRPr="00865195" w:rsidRDefault="00482021" w:rsidP="006065F1">
            <w:pPr>
              <w:pStyle w:val="ListParagraph"/>
              <w:numPr>
                <w:ilvl w:val="0"/>
                <w:numId w:val="6"/>
              </w:numPr>
              <w:ind w:left="216" w:hanging="216"/>
              <w:rPr>
                <w:rFonts w:ascii="Arial" w:hAnsi="Arial" w:cs="Arial"/>
                <w:sz w:val="20"/>
                <w:szCs w:val="20"/>
                <w:lang w:val="es-CL" w:eastAsia="ja-JP"/>
              </w:rPr>
            </w:pPr>
            <w:r w:rsidRPr="00865195">
              <w:rPr>
                <w:rFonts w:ascii="Arial" w:hAnsi="Arial" w:cs="Arial"/>
                <w:sz w:val="20"/>
                <w:szCs w:val="20"/>
                <w:lang w:val="es-CL"/>
              </w:rPr>
              <w:t>Dow Jones Industrial Average™</w:t>
            </w:r>
          </w:p>
          <w:p w14:paraId="37888FF7" w14:textId="77777777" w:rsidR="00BF28C5" w:rsidRPr="00865195" w:rsidRDefault="00BF28C5" w:rsidP="006065F1">
            <w:pPr>
              <w:pStyle w:val="ListParagraph"/>
              <w:ind w:left="216"/>
              <w:rPr>
                <w:rFonts w:ascii="Arial" w:hAnsi="Arial" w:cs="Arial"/>
                <w:sz w:val="20"/>
                <w:szCs w:val="20"/>
                <w:lang w:val="es-CL" w:eastAsia="ja-JP"/>
              </w:rPr>
            </w:pPr>
          </w:p>
        </w:tc>
        <w:tc>
          <w:tcPr>
            <w:tcW w:w="5144" w:type="dxa"/>
            <w:tcBorders>
              <w:top w:val="single" w:sz="4" w:space="0" w:color="auto"/>
              <w:left w:val="nil"/>
              <w:right w:val="single" w:sz="4" w:space="0" w:color="auto"/>
            </w:tcBorders>
          </w:tcPr>
          <w:p w14:paraId="0D07D6CB" w14:textId="77777777" w:rsidR="00482021" w:rsidRPr="00865195" w:rsidRDefault="00F33FF2" w:rsidP="002F70A7">
            <w:pPr>
              <w:rPr>
                <w:rFonts w:ascii="Arial" w:hAnsi="Arial" w:cs="Arial"/>
                <w:sz w:val="20"/>
                <w:szCs w:val="20"/>
                <w:lang w:val="es-CL" w:eastAsia="ja-JP"/>
              </w:rPr>
            </w:pPr>
            <w:r w:rsidRPr="00865195">
              <w:rPr>
                <w:rFonts w:ascii="Arial" w:hAnsi="Arial" w:cs="Arial"/>
                <w:sz w:val="20"/>
                <w:szCs w:val="20"/>
                <w:lang w:val="es-CL"/>
              </w:rPr>
              <w:t>Componentes</w:t>
            </w:r>
            <w:r w:rsidR="00CA289B" w:rsidRPr="00865195">
              <w:rPr>
                <w:rFonts w:ascii="Arial" w:hAnsi="Arial" w:cs="Arial"/>
                <w:sz w:val="20"/>
                <w:szCs w:val="20"/>
                <w:lang w:val="es-CL"/>
              </w:rPr>
              <w:t xml:space="preserve"> </w:t>
            </w:r>
            <w:r w:rsidR="002F70A7" w:rsidRPr="00865195">
              <w:rPr>
                <w:rFonts w:ascii="Arial" w:hAnsi="Arial" w:cs="Arial"/>
                <w:sz w:val="20"/>
                <w:szCs w:val="20"/>
                <w:lang w:val="es-CL"/>
              </w:rPr>
              <w:t>d</w:t>
            </w:r>
            <w:r w:rsidR="00CA289B" w:rsidRPr="00865195">
              <w:rPr>
                <w:rFonts w:ascii="Arial" w:hAnsi="Arial" w:cs="Arial"/>
                <w:sz w:val="20"/>
                <w:szCs w:val="20"/>
                <w:lang w:val="es-CL"/>
              </w:rPr>
              <w:t xml:space="preserve">el S&amp;P 500, excluyendo las acciones clasificadas </w:t>
            </w:r>
            <w:r w:rsidR="008F19FE" w:rsidRPr="00865195">
              <w:rPr>
                <w:rFonts w:ascii="Arial" w:hAnsi="Arial" w:cs="Arial"/>
                <w:sz w:val="20"/>
                <w:szCs w:val="20"/>
                <w:lang w:val="es-CL"/>
              </w:rPr>
              <w:t>con</w:t>
            </w:r>
            <w:r w:rsidR="00CA289B" w:rsidRPr="00865195">
              <w:rPr>
                <w:rFonts w:ascii="Arial" w:hAnsi="Arial" w:cs="Arial"/>
                <w:sz w:val="20"/>
                <w:szCs w:val="20"/>
                <w:lang w:val="es-CL"/>
              </w:rPr>
              <w:t xml:space="preserve"> los códigos 2030 (transporte) y 55 (</w:t>
            </w:r>
            <w:r w:rsidR="000617CF" w:rsidRPr="00865195">
              <w:rPr>
                <w:rFonts w:ascii="Arial" w:hAnsi="Arial" w:cs="Arial"/>
                <w:sz w:val="20"/>
                <w:szCs w:val="20"/>
                <w:lang w:val="es-CL"/>
              </w:rPr>
              <w:t>servicios públicos</w:t>
            </w:r>
            <w:r w:rsidR="00CA289B" w:rsidRPr="00865195">
              <w:rPr>
                <w:rFonts w:ascii="Arial" w:hAnsi="Arial" w:cs="Arial"/>
                <w:sz w:val="20"/>
                <w:szCs w:val="20"/>
                <w:lang w:val="es-CL"/>
              </w:rPr>
              <w:t xml:space="preserve">) de </w:t>
            </w:r>
            <w:r w:rsidR="003D1DCC" w:rsidRPr="00865195">
              <w:rPr>
                <w:rFonts w:ascii="Arial" w:hAnsi="Arial" w:cs="Arial"/>
                <w:sz w:val="20"/>
                <w:szCs w:val="20"/>
                <w:lang w:val="es-CL"/>
              </w:rPr>
              <w:t>GICS.</w:t>
            </w:r>
          </w:p>
        </w:tc>
      </w:tr>
      <w:tr w:rsidR="002D44FB" w:rsidRPr="00B12CD9" w14:paraId="1A063306" w14:textId="77777777" w:rsidTr="006217B6">
        <w:trPr>
          <w:trHeight w:val="288"/>
        </w:trPr>
        <w:tc>
          <w:tcPr>
            <w:tcW w:w="4043" w:type="dxa"/>
            <w:tcBorders>
              <w:top w:val="single" w:sz="4" w:space="0" w:color="auto"/>
              <w:left w:val="single" w:sz="4" w:space="0" w:color="auto"/>
              <w:bottom w:val="single" w:sz="4" w:space="0" w:color="auto"/>
              <w:right w:val="single" w:sz="4" w:space="0" w:color="auto"/>
            </w:tcBorders>
          </w:tcPr>
          <w:p w14:paraId="0DB56E6F" w14:textId="77777777" w:rsidR="002D44FB" w:rsidRPr="00865195" w:rsidRDefault="002D44FB" w:rsidP="006065F1">
            <w:pPr>
              <w:pStyle w:val="ListParagraph"/>
              <w:numPr>
                <w:ilvl w:val="0"/>
                <w:numId w:val="5"/>
              </w:numPr>
              <w:ind w:left="216" w:hanging="216"/>
              <w:rPr>
                <w:rFonts w:ascii="Arial" w:hAnsi="Arial" w:cs="Arial"/>
                <w:sz w:val="20"/>
                <w:szCs w:val="20"/>
                <w:lang w:val="es-CL" w:eastAsia="ja-JP"/>
              </w:rPr>
            </w:pPr>
            <w:r w:rsidRPr="00865195">
              <w:rPr>
                <w:rFonts w:ascii="Arial" w:hAnsi="Arial" w:cs="Arial"/>
                <w:sz w:val="20"/>
                <w:szCs w:val="20"/>
                <w:lang w:val="es-CL"/>
              </w:rPr>
              <w:t>Dow Jones Transportation Average™</w:t>
            </w:r>
          </w:p>
        </w:tc>
        <w:tc>
          <w:tcPr>
            <w:tcW w:w="5144" w:type="dxa"/>
            <w:tcBorders>
              <w:top w:val="single" w:sz="4" w:space="0" w:color="auto"/>
              <w:left w:val="nil"/>
              <w:bottom w:val="single" w:sz="4" w:space="0" w:color="auto"/>
              <w:right w:val="single" w:sz="4" w:space="0" w:color="auto"/>
            </w:tcBorders>
          </w:tcPr>
          <w:p w14:paraId="045A5F49" w14:textId="77777777" w:rsidR="002D44FB" w:rsidRPr="00865195" w:rsidRDefault="00EE22E5" w:rsidP="006A7DA4">
            <w:pPr>
              <w:rPr>
                <w:rFonts w:ascii="Arial" w:hAnsi="Arial" w:cs="Arial"/>
                <w:sz w:val="20"/>
                <w:szCs w:val="20"/>
                <w:lang w:val="es-CL" w:eastAsia="ja-JP"/>
              </w:rPr>
            </w:pPr>
            <w:r w:rsidRPr="00865195">
              <w:rPr>
                <w:rFonts w:ascii="Arial" w:hAnsi="Arial" w:cs="Arial"/>
                <w:sz w:val="20"/>
                <w:szCs w:val="20"/>
                <w:lang w:val="es-CL"/>
              </w:rPr>
              <w:t>Componentes</w:t>
            </w:r>
            <w:r w:rsidR="00D27CED" w:rsidRPr="00865195">
              <w:rPr>
                <w:rFonts w:ascii="Arial" w:hAnsi="Arial" w:cs="Arial"/>
                <w:sz w:val="20"/>
                <w:szCs w:val="20"/>
                <w:lang w:val="es-CL"/>
              </w:rPr>
              <w:t xml:space="preserve"> </w:t>
            </w:r>
            <w:r w:rsidR="00B34FBD" w:rsidRPr="00865195">
              <w:rPr>
                <w:rFonts w:ascii="Arial" w:hAnsi="Arial" w:cs="Arial"/>
                <w:sz w:val="20"/>
                <w:szCs w:val="20"/>
                <w:lang w:val="es-CL"/>
              </w:rPr>
              <w:t>del</w:t>
            </w:r>
            <w:r w:rsidR="00E50B19" w:rsidRPr="00865195">
              <w:rPr>
                <w:rFonts w:ascii="Arial" w:hAnsi="Arial" w:cs="Arial"/>
                <w:sz w:val="20"/>
                <w:szCs w:val="20"/>
                <w:lang w:val="es-CL"/>
              </w:rPr>
              <w:t xml:space="preserve"> S&amp;P Total Market Index </w:t>
            </w:r>
            <w:r w:rsidR="00B34FBD" w:rsidRPr="00865195">
              <w:rPr>
                <w:rFonts w:ascii="Arial" w:hAnsi="Arial" w:cs="Arial"/>
                <w:sz w:val="20"/>
                <w:szCs w:val="20"/>
                <w:lang w:val="es-CL"/>
              </w:rPr>
              <w:t>con código 2030 del GICS.</w:t>
            </w:r>
          </w:p>
        </w:tc>
      </w:tr>
      <w:tr w:rsidR="002D44FB" w:rsidRPr="00B12CD9" w14:paraId="10487F2A" w14:textId="77777777" w:rsidTr="006217B6">
        <w:trPr>
          <w:trHeight w:val="288"/>
        </w:trPr>
        <w:tc>
          <w:tcPr>
            <w:tcW w:w="4043" w:type="dxa"/>
            <w:tcBorders>
              <w:top w:val="nil"/>
              <w:left w:val="single" w:sz="4" w:space="0" w:color="auto"/>
              <w:bottom w:val="single" w:sz="4" w:space="0" w:color="auto"/>
              <w:right w:val="single" w:sz="4" w:space="0" w:color="auto"/>
            </w:tcBorders>
          </w:tcPr>
          <w:p w14:paraId="7AE0318C" w14:textId="77777777" w:rsidR="002D44FB" w:rsidRPr="00865195" w:rsidRDefault="002D44FB" w:rsidP="006065F1">
            <w:pPr>
              <w:pStyle w:val="ListParagraph"/>
              <w:numPr>
                <w:ilvl w:val="0"/>
                <w:numId w:val="5"/>
              </w:numPr>
              <w:ind w:left="216" w:hanging="216"/>
              <w:rPr>
                <w:rFonts w:ascii="Arial" w:hAnsi="Arial" w:cs="Arial"/>
                <w:sz w:val="20"/>
                <w:szCs w:val="20"/>
                <w:lang w:val="es-CL" w:eastAsia="ja-JP"/>
              </w:rPr>
            </w:pPr>
            <w:r w:rsidRPr="00865195">
              <w:rPr>
                <w:rFonts w:ascii="Arial" w:hAnsi="Arial" w:cs="Arial"/>
                <w:sz w:val="20"/>
                <w:szCs w:val="20"/>
                <w:lang w:val="es-CL"/>
              </w:rPr>
              <w:t>Dow Jones Utility Average™</w:t>
            </w:r>
          </w:p>
        </w:tc>
        <w:tc>
          <w:tcPr>
            <w:tcW w:w="5144" w:type="dxa"/>
            <w:tcBorders>
              <w:top w:val="single" w:sz="4" w:space="0" w:color="auto"/>
              <w:left w:val="nil"/>
              <w:bottom w:val="single" w:sz="4" w:space="0" w:color="auto"/>
              <w:right w:val="single" w:sz="4" w:space="0" w:color="auto"/>
            </w:tcBorders>
          </w:tcPr>
          <w:p w14:paraId="05D9D18B" w14:textId="77777777" w:rsidR="002D44FB" w:rsidRPr="00865195" w:rsidRDefault="00EE22E5" w:rsidP="003D0401">
            <w:pPr>
              <w:rPr>
                <w:rFonts w:ascii="Arial" w:hAnsi="Arial" w:cs="Arial"/>
                <w:sz w:val="20"/>
                <w:szCs w:val="20"/>
                <w:lang w:val="es-CL" w:eastAsia="ja-JP"/>
              </w:rPr>
            </w:pPr>
            <w:r w:rsidRPr="00865195">
              <w:rPr>
                <w:rFonts w:ascii="Arial" w:hAnsi="Arial" w:cs="Arial"/>
                <w:sz w:val="20"/>
                <w:szCs w:val="20"/>
                <w:lang w:val="es-CL"/>
              </w:rPr>
              <w:t>Componentes</w:t>
            </w:r>
            <w:r w:rsidR="002316A2" w:rsidRPr="00865195">
              <w:rPr>
                <w:rFonts w:ascii="Arial" w:hAnsi="Arial" w:cs="Arial"/>
                <w:sz w:val="20"/>
                <w:szCs w:val="20"/>
                <w:lang w:val="es-CL"/>
              </w:rPr>
              <w:t xml:space="preserve"> del </w:t>
            </w:r>
            <w:r w:rsidR="003D0401" w:rsidRPr="00865195">
              <w:rPr>
                <w:rFonts w:ascii="Arial" w:hAnsi="Arial" w:cs="Arial"/>
                <w:sz w:val="20"/>
                <w:szCs w:val="20"/>
                <w:lang w:val="es-CL"/>
              </w:rPr>
              <w:t>S&amp;P Total Market Index con código 55 del GICS.</w:t>
            </w:r>
          </w:p>
        </w:tc>
      </w:tr>
      <w:tr w:rsidR="002D44FB" w:rsidRPr="00B12CD9" w14:paraId="18BFA80B" w14:textId="77777777" w:rsidTr="006217B6">
        <w:trPr>
          <w:trHeight w:val="288"/>
        </w:trPr>
        <w:tc>
          <w:tcPr>
            <w:tcW w:w="4043" w:type="dxa"/>
            <w:tcBorders>
              <w:top w:val="nil"/>
              <w:left w:val="single" w:sz="4" w:space="0" w:color="auto"/>
              <w:bottom w:val="single" w:sz="4" w:space="0" w:color="auto"/>
              <w:right w:val="single" w:sz="4" w:space="0" w:color="auto"/>
            </w:tcBorders>
          </w:tcPr>
          <w:p w14:paraId="4843348A" w14:textId="77777777" w:rsidR="002D44FB" w:rsidRPr="00865195" w:rsidRDefault="002D44FB" w:rsidP="006065F1">
            <w:pPr>
              <w:pStyle w:val="ListParagraph"/>
              <w:numPr>
                <w:ilvl w:val="0"/>
                <w:numId w:val="4"/>
              </w:numPr>
              <w:ind w:left="216" w:hanging="216"/>
              <w:rPr>
                <w:rFonts w:ascii="Arial" w:hAnsi="Arial" w:cs="Arial"/>
                <w:sz w:val="20"/>
                <w:szCs w:val="20"/>
                <w:lang w:val="es-CL" w:eastAsia="ja-JP"/>
              </w:rPr>
            </w:pPr>
            <w:r w:rsidRPr="00865195">
              <w:rPr>
                <w:rFonts w:ascii="Arial" w:hAnsi="Arial" w:cs="Arial"/>
                <w:sz w:val="20"/>
                <w:szCs w:val="20"/>
                <w:lang w:val="es-CL"/>
              </w:rPr>
              <w:t>Dow Jones Composite Average™</w:t>
            </w:r>
          </w:p>
        </w:tc>
        <w:tc>
          <w:tcPr>
            <w:tcW w:w="5144" w:type="dxa"/>
            <w:tcBorders>
              <w:top w:val="single" w:sz="4" w:space="0" w:color="auto"/>
              <w:left w:val="nil"/>
              <w:bottom w:val="single" w:sz="4" w:space="0" w:color="auto"/>
              <w:right w:val="single" w:sz="4" w:space="0" w:color="auto"/>
            </w:tcBorders>
          </w:tcPr>
          <w:p w14:paraId="55437A82" w14:textId="77777777" w:rsidR="002D44FB" w:rsidRPr="00865195" w:rsidRDefault="006610F7" w:rsidP="007B4257">
            <w:pPr>
              <w:rPr>
                <w:rFonts w:ascii="Arial" w:hAnsi="Arial" w:cs="Arial"/>
                <w:sz w:val="20"/>
                <w:szCs w:val="20"/>
                <w:lang w:val="es-CL" w:eastAsia="ja-JP"/>
              </w:rPr>
            </w:pPr>
            <w:r w:rsidRPr="00865195">
              <w:rPr>
                <w:rFonts w:ascii="Arial" w:hAnsi="Arial" w:cs="Arial"/>
                <w:sz w:val="20"/>
                <w:szCs w:val="20"/>
                <w:lang w:val="es-CL"/>
              </w:rPr>
              <w:t>T</w:t>
            </w:r>
            <w:r w:rsidR="007B4257" w:rsidRPr="00865195">
              <w:rPr>
                <w:rFonts w:ascii="Arial" w:hAnsi="Arial" w:cs="Arial"/>
                <w:sz w:val="20"/>
                <w:szCs w:val="20"/>
                <w:lang w:val="es-CL"/>
              </w:rPr>
              <w:t xml:space="preserve">odos los componentes del Dow Jones Industrial Average </w:t>
            </w:r>
            <w:r w:rsidR="002D44FB" w:rsidRPr="00865195">
              <w:rPr>
                <w:rStyle w:val="sm"/>
                <w:rFonts w:ascii="Arial" w:hAnsi="Arial" w:cs="Arial"/>
                <w:sz w:val="20"/>
                <w:szCs w:val="20"/>
                <w:lang w:val="es-CL"/>
              </w:rPr>
              <w:t>™</w:t>
            </w:r>
            <w:r w:rsidR="002D44FB" w:rsidRPr="00865195">
              <w:rPr>
                <w:rFonts w:ascii="Arial" w:hAnsi="Arial" w:cs="Arial"/>
                <w:sz w:val="20"/>
                <w:szCs w:val="20"/>
                <w:lang w:val="es-CL"/>
              </w:rPr>
              <w:t xml:space="preserve">, </w:t>
            </w:r>
            <w:r w:rsidRPr="00865195">
              <w:rPr>
                <w:rFonts w:ascii="Arial" w:hAnsi="Arial" w:cs="Arial"/>
                <w:sz w:val="20"/>
                <w:szCs w:val="20"/>
                <w:lang w:val="es-CL"/>
              </w:rPr>
              <w:t xml:space="preserve">el </w:t>
            </w:r>
            <w:r w:rsidR="002D44FB" w:rsidRPr="00865195">
              <w:rPr>
                <w:rFonts w:ascii="Arial" w:hAnsi="Arial" w:cs="Arial"/>
                <w:sz w:val="20"/>
                <w:szCs w:val="20"/>
                <w:lang w:val="es-CL"/>
              </w:rPr>
              <w:t>Dow Jones Transportation Average</w:t>
            </w:r>
            <w:r w:rsidR="002D44FB" w:rsidRPr="00865195">
              <w:rPr>
                <w:rStyle w:val="sm"/>
                <w:rFonts w:ascii="Arial" w:hAnsi="Arial" w:cs="Arial"/>
                <w:sz w:val="20"/>
                <w:szCs w:val="20"/>
                <w:lang w:val="es-CL"/>
              </w:rPr>
              <w:t>™</w:t>
            </w:r>
            <w:r w:rsidR="002D44FB" w:rsidRPr="00865195">
              <w:rPr>
                <w:rFonts w:ascii="Arial" w:hAnsi="Arial" w:cs="Arial"/>
                <w:sz w:val="20"/>
                <w:szCs w:val="20"/>
                <w:lang w:val="es-CL"/>
              </w:rPr>
              <w:t xml:space="preserve"> </w:t>
            </w:r>
            <w:r w:rsidR="007B4257" w:rsidRPr="00865195">
              <w:rPr>
                <w:rFonts w:ascii="Arial" w:hAnsi="Arial" w:cs="Arial"/>
                <w:sz w:val="20"/>
                <w:szCs w:val="20"/>
                <w:lang w:val="es-CL"/>
              </w:rPr>
              <w:t>y</w:t>
            </w:r>
            <w:r w:rsidR="002D44FB" w:rsidRPr="00865195">
              <w:rPr>
                <w:rFonts w:ascii="Arial" w:hAnsi="Arial" w:cs="Arial"/>
                <w:sz w:val="20"/>
                <w:szCs w:val="20"/>
                <w:lang w:val="es-CL"/>
              </w:rPr>
              <w:t xml:space="preserve"> </w:t>
            </w:r>
            <w:r w:rsidRPr="00865195">
              <w:rPr>
                <w:rFonts w:ascii="Arial" w:hAnsi="Arial" w:cs="Arial"/>
                <w:sz w:val="20"/>
                <w:szCs w:val="20"/>
                <w:lang w:val="es-CL"/>
              </w:rPr>
              <w:t xml:space="preserve">el </w:t>
            </w:r>
            <w:r w:rsidR="002D44FB" w:rsidRPr="00865195">
              <w:rPr>
                <w:rFonts w:ascii="Arial" w:hAnsi="Arial" w:cs="Arial"/>
                <w:sz w:val="20"/>
                <w:szCs w:val="20"/>
                <w:lang w:val="es-CL"/>
              </w:rPr>
              <w:t>Dow Jones Utility Average</w:t>
            </w:r>
            <w:r w:rsidR="002D44FB" w:rsidRPr="00865195">
              <w:rPr>
                <w:rStyle w:val="sm"/>
                <w:rFonts w:ascii="Arial" w:hAnsi="Arial" w:cs="Arial"/>
                <w:sz w:val="20"/>
                <w:szCs w:val="20"/>
                <w:lang w:val="es-CL"/>
              </w:rPr>
              <w:t>™</w:t>
            </w:r>
            <w:r w:rsidR="002D44FB" w:rsidRPr="00865195">
              <w:rPr>
                <w:rFonts w:ascii="Arial" w:hAnsi="Arial" w:cs="Arial"/>
                <w:sz w:val="20"/>
                <w:szCs w:val="20"/>
                <w:lang w:val="es-CL"/>
              </w:rPr>
              <w:t>.</w:t>
            </w:r>
          </w:p>
        </w:tc>
      </w:tr>
      <w:tr w:rsidR="00482021" w:rsidRPr="00B12CD9" w14:paraId="11398188" w14:textId="77777777" w:rsidTr="006217B6">
        <w:trPr>
          <w:trHeight w:val="288"/>
        </w:trPr>
        <w:tc>
          <w:tcPr>
            <w:tcW w:w="4043" w:type="dxa"/>
            <w:tcBorders>
              <w:top w:val="single" w:sz="4" w:space="0" w:color="auto"/>
              <w:left w:val="single" w:sz="4" w:space="0" w:color="auto"/>
              <w:bottom w:val="single" w:sz="4" w:space="0" w:color="auto"/>
              <w:right w:val="single" w:sz="4" w:space="0" w:color="auto"/>
            </w:tcBorders>
          </w:tcPr>
          <w:p w14:paraId="56E8A6CD" w14:textId="77777777" w:rsidR="00203B0A" w:rsidRPr="00865195" w:rsidRDefault="00203B0A" w:rsidP="006065F1">
            <w:pPr>
              <w:pStyle w:val="ListParagraph"/>
              <w:numPr>
                <w:ilvl w:val="0"/>
                <w:numId w:val="3"/>
              </w:numPr>
              <w:ind w:left="216" w:hanging="216"/>
              <w:rPr>
                <w:rFonts w:ascii="Arial" w:hAnsi="Arial" w:cs="Arial"/>
                <w:sz w:val="20"/>
                <w:szCs w:val="20"/>
                <w:lang w:eastAsia="ja-JP"/>
              </w:rPr>
            </w:pPr>
            <w:r w:rsidRPr="00865195">
              <w:rPr>
                <w:rFonts w:ascii="Arial" w:hAnsi="Arial" w:cs="Arial"/>
                <w:sz w:val="20"/>
                <w:szCs w:val="20"/>
              </w:rPr>
              <w:t>Dow Jones Industrial Average Yield Weighted</w:t>
            </w:r>
          </w:p>
          <w:p w14:paraId="3653D992" w14:textId="77777777" w:rsidR="006532B4" w:rsidRPr="00865195" w:rsidRDefault="006532B4" w:rsidP="006065F1">
            <w:pPr>
              <w:pStyle w:val="ListParagraph"/>
              <w:numPr>
                <w:ilvl w:val="0"/>
                <w:numId w:val="3"/>
              </w:numPr>
              <w:ind w:left="216" w:hanging="216"/>
              <w:rPr>
                <w:rFonts w:ascii="Arial" w:hAnsi="Arial" w:cs="Arial"/>
                <w:sz w:val="20"/>
                <w:szCs w:val="20"/>
                <w:lang w:eastAsia="ja-JP"/>
              </w:rPr>
            </w:pPr>
            <w:r w:rsidRPr="00865195">
              <w:rPr>
                <w:rFonts w:ascii="Arial" w:hAnsi="Arial" w:cs="Arial"/>
                <w:sz w:val="20"/>
                <w:szCs w:val="20"/>
              </w:rPr>
              <w:t>Dow Jones Industrial Average Equal Weight Index</w:t>
            </w:r>
          </w:p>
        </w:tc>
        <w:tc>
          <w:tcPr>
            <w:tcW w:w="5144" w:type="dxa"/>
            <w:tcBorders>
              <w:top w:val="single" w:sz="4" w:space="0" w:color="auto"/>
              <w:left w:val="nil"/>
              <w:bottom w:val="single" w:sz="4" w:space="0" w:color="auto"/>
              <w:right w:val="single" w:sz="4" w:space="0" w:color="auto"/>
            </w:tcBorders>
          </w:tcPr>
          <w:p w14:paraId="49CE7A60" w14:textId="77777777" w:rsidR="00482021" w:rsidRPr="00865195" w:rsidRDefault="00754D7F" w:rsidP="00EE22E5">
            <w:pPr>
              <w:rPr>
                <w:rFonts w:ascii="Arial" w:hAnsi="Arial" w:cs="Arial"/>
                <w:sz w:val="20"/>
                <w:szCs w:val="20"/>
                <w:lang w:val="es-CL" w:eastAsia="ja-JP"/>
              </w:rPr>
            </w:pPr>
            <w:r w:rsidRPr="00865195">
              <w:rPr>
                <w:rFonts w:ascii="Arial" w:hAnsi="Arial" w:cs="Arial"/>
                <w:sz w:val="20"/>
                <w:szCs w:val="20"/>
                <w:lang w:val="es-CL"/>
              </w:rPr>
              <w:t xml:space="preserve">Todos los componentes del </w:t>
            </w:r>
            <w:r w:rsidR="003C47D5" w:rsidRPr="00865195">
              <w:rPr>
                <w:rFonts w:ascii="Arial" w:hAnsi="Arial" w:cs="Arial"/>
                <w:sz w:val="20"/>
                <w:szCs w:val="20"/>
                <w:lang w:val="es-CL"/>
              </w:rPr>
              <w:t>Dow Jones Industrial Average™</w:t>
            </w:r>
          </w:p>
        </w:tc>
      </w:tr>
    </w:tbl>
    <w:p w14:paraId="662AEAE9" w14:textId="77777777" w:rsidR="004F22BB" w:rsidRPr="006532B4" w:rsidRDefault="004F22BB" w:rsidP="00444643">
      <w:pPr>
        <w:pStyle w:val="MethodologyText"/>
        <w:rPr>
          <w:lang w:val="es-MX"/>
        </w:rPr>
        <w:sectPr w:rsidR="004F22BB" w:rsidRPr="006532B4" w:rsidSect="00441EA5">
          <w:pgSz w:w="12240" w:h="15840"/>
          <w:pgMar w:top="1350" w:right="720" w:bottom="720" w:left="720" w:header="720" w:footer="720" w:gutter="0"/>
          <w:cols w:space="720"/>
          <w:docGrid w:linePitch="360"/>
        </w:sectPr>
      </w:pPr>
    </w:p>
    <w:p w14:paraId="1782E8CE" w14:textId="77777777" w:rsidR="00CB703A" w:rsidRPr="00E75536" w:rsidRDefault="00926660" w:rsidP="006217B6">
      <w:pPr>
        <w:pStyle w:val="Heading1"/>
        <w:ind w:left="720"/>
        <w:rPr>
          <w:rFonts w:ascii="Arial" w:hAnsi="Arial" w:cs="Arial"/>
          <w:lang w:val="es-CL"/>
        </w:rPr>
      </w:pPr>
      <w:bookmarkStart w:id="10" w:name="_Toc198540680"/>
      <w:r w:rsidRPr="00E75536">
        <w:rPr>
          <w:rFonts w:ascii="Arial" w:hAnsi="Arial" w:cs="Arial"/>
          <w:lang w:val="es-CL"/>
        </w:rPr>
        <w:t xml:space="preserve">Construcción </w:t>
      </w:r>
      <w:r w:rsidR="00CD4546">
        <w:rPr>
          <w:rFonts w:ascii="Arial" w:hAnsi="Arial" w:cs="Arial"/>
          <w:lang w:val="es-CL"/>
        </w:rPr>
        <w:t xml:space="preserve">y Mantenimiento </w:t>
      </w:r>
      <w:r w:rsidRPr="00E75536">
        <w:rPr>
          <w:rFonts w:ascii="Arial" w:hAnsi="Arial" w:cs="Arial"/>
          <w:lang w:val="es-CL"/>
        </w:rPr>
        <w:t>del índice</w:t>
      </w:r>
      <w:bookmarkEnd w:id="10"/>
    </w:p>
    <w:p w14:paraId="458778E4" w14:textId="77777777" w:rsidR="00CA799F" w:rsidRPr="00421C2A" w:rsidRDefault="00CA799F" w:rsidP="00BF13DB">
      <w:pPr>
        <w:pStyle w:val="Heading2"/>
        <w:ind w:left="720"/>
        <w:rPr>
          <w:rFonts w:ascii="Arial" w:hAnsi="Arial" w:cs="Arial"/>
          <w:sz w:val="20"/>
          <w:lang w:val="es-MX"/>
        </w:rPr>
      </w:pPr>
      <w:bookmarkStart w:id="11" w:name="_Toc198540681"/>
      <w:bookmarkStart w:id="12" w:name="_Toc356987214"/>
      <w:r w:rsidRPr="00421C2A">
        <w:rPr>
          <w:rFonts w:ascii="Arial" w:hAnsi="Arial" w:cs="Arial"/>
          <w:sz w:val="20"/>
          <w:lang w:val="es-MX"/>
        </w:rPr>
        <w:t>Dow Jones Industrial Average™, Dow Jones Transportation Average™ y Dow Jones Utility Average™</w:t>
      </w:r>
      <w:bookmarkEnd w:id="11"/>
    </w:p>
    <w:p w14:paraId="79358CEE" w14:textId="314BD111" w:rsidR="00CA799F" w:rsidRDefault="00CA799F" w:rsidP="00B65752">
      <w:pPr>
        <w:pStyle w:val="MethodologyText"/>
        <w:spacing w:after="200"/>
        <w:ind w:left="720"/>
        <w:rPr>
          <w:rFonts w:ascii="Arial" w:hAnsi="Arial" w:cs="Arial"/>
          <w:sz w:val="20"/>
          <w:szCs w:val="20"/>
          <w:lang w:val="es-CL"/>
        </w:rPr>
      </w:pPr>
      <w:r w:rsidRPr="00CA799F">
        <w:rPr>
          <w:rFonts w:ascii="Arial" w:hAnsi="Arial" w:cs="Arial"/>
          <w:sz w:val="20"/>
          <w:szCs w:val="20"/>
          <w:lang w:val="es-CL"/>
        </w:rPr>
        <w:t xml:space="preserve">Si bien la selección de acciones no se rige por reglas cuantitativas, una acción generalmente se incluye en el índice solo si la empresa posee una excelente reputación, demuestra un crecimiento sostenido y atrae el interés de un gran número de inversionistas. </w:t>
      </w:r>
      <w:r w:rsidR="009E2273">
        <w:rPr>
          <w:rFonts w:ascii="Arial" w:hAnsi="Arial" w:cs="Arial"/>
          <w:sz w:val="20"/>
          <w:szCs w:val="20"/>
          <w:lang w:val="es-CL"/>
        </w:rPr>
        <w:t xml:space="preserve">Debido a que estos índices están poderados por precio, el Comité del Índice evalúa el precio de la acción cuando la emisora es tomada en cuenta para su inclusión. </w:t>
      </w:r>
      <w:r w:rsidR="00506277">
        <w:rPr>
          <w:rFonts w:ascii="Arial" w:hAnsi="Arial" w:cs="Arial"/>
          <w:sz w:val="20"/>
          <w:szCs w:val="20"/>
          <w:lang w:val="es-CL"/>
        </w:rPr>
        <w:t>El Comité del Índice monitorea si</w:t>
      </w:r>
      <w:r w:rsidR="00650F12">
        <w:rPr>
          <w:rFonts w:ascii="Arial" w:hAnsi="Arial" w:cs="Arial"/>
          <w:sz w:val="20"/>
          <w:szCs w:val="20"/>
          <w:lang w:val="es-CL"/>
        </w:rPr>
        <w:t xml:space="preserve"> </w:t>
      </w:r>
      <w:r w:rsidR="00506277">
        <w:rPr>
          <w:rFonts w:ascii="Arial" w:hAnsi="Arial" w:cs="Arial"/>
          <w:sz w:val="20"/>
          <w:szCs w:val="20"/>
          <w:lang w:val="es-CL"/>
        </w:rPr>
        <w:t xml:space="preserve">el precio más alto dentro </w:t>
      </w:r>
      <w:r w:rsidR="00650F12">
        <w:rPr>
          <w:rFonts w:ascii="Arial" w:hAnsi="Arial" w:cs="Arial"/>
          <w:sz w:val="20"/>
          <w:szCs w:val="20"/>
          <w:lang w:val="es-CL"/>
        </w:rPr>
        <w:t xml:space="preserve">de los componentes </w:t>
      </w:r>
      <w:r w:rsidR="00506277">
        <w:rPr>
          <w:rFonts w:ascii="Arial" w:hAnsi="Arial" w:cs="Arial"/>
          <w:sz w:val="20"/>
          <w:szCs w:val="20"/>
          <w:lang w:val="es-CL"/>
        </w:rPr>
        <w:t>del índice es</w:t>
      </w:r>
      <w:r w:rsidR="00650F12">
        <w:rPr>
          <w:rFonts w:ascii="Arial" w:hAnsi="Arial" w:cs="Arial"/>
          <w:sz w:val="20"/>
          <w:szCs w:val="20"/>
          <w:lang w:val="es-CL"/>
        </w:rPr>
        <w:t xml:space="preserve"> </w:t>
      </w:r>
      <w:r w:rsidR="00506277">
        <w:rPr>
          <w:rFonts w:ascii="Arial" w:hAnsi="Arial" w:cs="Arial"/>
          <w:sz w:val="20"/>
          <w:szCs w:val="20"/>
          <w:lang w:val="es-CL"/>
        </w:rPr>
        <w:t xml:space="preserve">10 veces </w:t>
      </w:r>
      <w:r w:rsidR="00650F12">
        <w:rPr>
          <w:rFonts w:ascii="Arial" w:hAnsi="Arial" w:cs="Arial"/>
          <w:sz w:val="20"/>
          <w:szCs w:val="20"/>
          <w:lang w:val="es-CL"/>
        </w:rPr>
        <w:t xml:space="preserve">superior al </w:t>
      </w:r>
      <w:r w:rsidR="00506277">
        <w:rPr>
          <w:rFonts w:ascii="Arial" w:hAnsi="Arial" w:cs="Arial"/>
          <w:sz w:val="20"/>
          <w:szCs w:val="20"/>
          <w:lang w:val="es-CL"/>
        </w:rPr>
        <w:t xml:space="preserve">precio </w:t>
      </w:r>
      <w:r w:rsidR="00650F12">
        <w:rPr>
          <w:rFonts w:ascii="Arial" w:hAnsi="Arial" w:cs="Arial"/>
          <w:sz w:val="20"/>
          <w:szCs w:val="20"/>
          <w:lang w:val="es-CL"/>
        </w:rPr>
        <w:t>mas bajo. Asimismo, la selección de componentes del Dow Jones Industrial Average toma en consideración la continuidad de una adecuada representación sectorial</w:t>
      </w:r>
      <w:r w:rsidR="00B65752">
        <w:rPr>
          <w:rFonts w:ascii="Arial" w:hAnsi="Arial" w:cs="Arial"/>
          <w:sz w:val="20"/>
          <w:szCs w:val="20"/>
          <w:lang w:val="es-CL"/>
        </w:rPr>
        <w:t xml:space="preserve">. </w:t>
      </w:r>
      <w:r w:rsidRPr="00CA799F">
        <w:rPr>
          <w:rFonts w:ascii="Arial" w:hAnsi="Arial" w:cs="Arial"/>
          <w:sz w:val="20"/>
          <w:szCs w:val="20"/>
          <w:lang w:val="es-CL"/>
        </w:rPr>
        <w:t>Los componentes deben estar domiciliados y tener su sede principal en Estados Unidos. Así mismo, la mayoría de sus ingresos deberá generarse en dicho país.</w:t>
      </w:r>
      <w:r>
        <w:rPr>
          <w:rFonts w:ascii="Arial" w:hAnsi="Arial" w:cs="Arial"/>
          <w:sz w:val="20"/>
          <w:szCs w:val="20"/>
          <w:lang w:val="es-CL"/>
        </w:rPr>
        <w:t xml:space="preserve"> </w:t>
      </w:r>
    </w:p>
    <w:p w14:paraId="166C78F4" w14:textId="39F8656A" w:rsidR="00BF13DB" w:rsidRDefault="00BF13DB" w:rsidP="00741B12">
      <w:pPr>
        <w:pStyle w:val="MethodologyText"/>
        <w:spacing w:after="200"/>
        <w:ind w:left="720"/>
        <w:rPr>
          <w:rFonts w:ascii="Arial" w:hAnsi="Arial" w:cs="Arial"/>
          <w:sz w:val="20"/>
          <w:szCs w:val="20"/>
          <w:lang w:val="es-CL"/>
        </w:rPr>
      </w:pPr>
      <w:r w:rsidRPr="00BF13DB">
        <w:rPr>
          <w:rFonts w:ascii="Arial" w:hAnsi="Arial" w:cs="Arial"/>
          <w:sz w:val="20"/>
          <w:szCs w:val="20"/>
          <w:lang w:val="es-CL"/>
        </w:rPr>
        <w:t>Las modificaciones a los índices se realizar</w:t>
      </w:r>
      <w:r w:rsidR="00603E7C">
        <w:rPr>
          <w:rFonts w:ascii="Arial" w:hAnsi="Arial" w:cs="Arial"/>
          <w:sz w:val="20"/>
          <w:szCs w:val="20"/>
          <w:lang w:val="es-CL"/>
        </w:rPr>
        <w:t>á</w:t>
      </w:r>
      <w:r w:rsidRPr="00BF13DB">
        <w:rPr>
          <w:rFonts w:ascii="Arial" w:hAnsi="Arial" w:cs="Arial"/>
          <w:sz w:val="20"/>
          <w:szCs w:val="20"/>
          <w:lang w:val="es-CL"/>
        </w:rPr>
        <w:t>n cuando se considere necesario. No hay reconstitución anual o semestral. En su caso, las modificaciones derivadas de eventos corporativos y condiciones del mercado podrán efectuarse en cualquier momento. Los cambios en la muestra se anuncian normalmente de uno a cinco días antes de su implementación</w:t>
      </w:r>
      <w:r>
        <w:rPr>
          <w:rFonts w:ascii="Arial" w:hAnsi="Arial" w:cs="Arial"/>
          <w:sz w:val="20"/>
          <w:szCs w:val="20"/>
          <w:lang w:val="es-CL"/>
        </w:rPr>
        <w:t>.</w:t>
      </w:r>
    </w:p>
    <w:p w14:paraId="5A68F118" w14:textId="77777777" w:rsidR="00BF13DB" w:rsidRPr="00BF13DB" w:rsidRDefault="00BF13DB" w:rsidP="00BF13DB">
      <w:pPr>
        <w:pStyle w:val="MethodologyText"/>
        <w:spacing w:after="200"/>
        <w:ind w:left="720"/>
        <w:rPr>
          <w:rFonts w:ascii="Arial" w:hAnsi="Arial" w:cs="Arial"/>
          <w:sz w:val="20"/>
          <w:szCs w:val="20"/>
          <w:lang w:val="es-CL"/>
        </w:rPr>
      </w:pPr>
      <w:r w:rsidRPr="00BF13DB">
        <w:rPr>
          <w:rFonts w:ascii="Arial" w:hAnsi="Arial" w:cs="Arial"/>
          <w:sz w:val="20"/>
          <w:szCs w:val="20"/>
          <w:lang w:val="es-CL"/>
        </w:rPr>
        <w:t>Los componentes del Dow Jones Industrial Average, Dow Jones Transportation Average y del Dow Jones Utility Average int</w:t>
      </w:r>
      <w:r>
        <w:rPr>
          <w:rFonts w:ascii="Arial" w:hAnsi="Arial" w:cs="Arial"/>
          <w:sz w:val="20"/>
          <w:szCs w:val="20"/>
          <w:lang w:val="es-CL"/>
        </w:rPr>
        <w:t>e</w:t>
      </w:r>
      <w:r w:rsidRPr="00BF13DB">
        <w:rPr>
          <w:rFonts w:ascii="Arial" w:hAnsi="Arial" w:cs="Arial"/>
          <w:sz w:val="20"/>
          <w:szCs w:val="20"/>
          <w:lang w:val="es-CL"/>
        </w:rPr>
        <w:t>gran el Dow Jones Composite Average</w:t>
      </w:r>
      <w:r>
        <w:rPr>
          <w:rFonts w:ascii="Arial" w:hAnsi="Arial" w:cs="Arial"/>
          <w:sz w:val="20"/>
          <w:szCs w:val="20"/>
          <w:lang w:val="es-CL"/>
        </w:rPr>
        <w:t>.</w:t>
      </w:r>
    </w:p>
    <w:p w14:paraId="6B62EF96" w14:textId="77777777" w:rsidR="00701647" w:rsidRPr="00F86146" w:rsidRDefault="00701647" w:rsidP="00865195">
      <w:pPr>
        <w:pStyle w:val="Heading2"/>
        <w:ind w:left="720"/>
        <w:rPr>
          <w:rFonts w:ascii="Arial" w:hAnsi="Arial" w:cs="Arial"/>
          <w:sz w:val="20"/>
        </w:rPr>
      </w:pPr>
      <w:bookmarkStart w:id="13" w:name="_Toc198540682"/>
      <w:r w:rsidRPr="00F86146">
        <w:rPr>
          <w:rFonts w:ascii="Arial" w:hAnsi="Arial" w:cs="Arial"/>
          <w:sz w:val="20"/>
        </w:rPr>
        <w:t>Dow Jones Industrial Average Yield Weighted</w:t>
      </w:r>
      <w:bookmarkEnd w:id="13"/>
    </w:p>
    <w:p w14:paraId="4D8E4A2C" w14:textId="7ACEAB93" w:rsidR="00701647" w:rsidRDefault="00701647" w:rsidP="00701647">
      <w:pPr>
        <w:pStyle w:val="MethodologyText"/>
        <w:spacing w:after="200"/>
        <w:ind w:left="720"/>
        <w:rPr>
          <w:rFonts w:ascii="Arial" w:hAnsi="Arial" w:cs="Arial"/>
          <w:sz w:val="20"/>
          <w:szCs w:val="20"/>
          <w:lang w:val="es-CL"/>
        </w:rPr>
      </w:pPr>
      <w:r w:rsidRPr="00701647">
        <w:rPr>
          <w:rFonts w:ascii="Arial" w:hAnsi="Arial" w:cs="Arial"/>
          <w:sz w:val="20"/>
          <w:szCs w:val="20"/>
          <w:lang w:val="es-CL"/>
        </w:rPr>
        <w:t>El índice se rebalancea semestralmente</w:t>
      </w:r>
      <w:r>
        <w:rPr>
          <w:rFonts w:ascii="Arial" w:hAnsi="Arial" w:cs="Arial"/>
          <w:sz w:val="20"/>
          <w:szCs w:val="20"/>
          <w:lang w:val="es-CL"/>
        </w:rPr>
        <w:t xml:space="preserve">, con fecha efectiva después del cierre de operaciones del tercer </w:t>
      </w:r>
      <w:r w:rsidR="00866AC3">
        <w:rPr>
          <w:rFonts w:ascii="Arial" w:hAnsi="Arial" w:cs="Arial"/>
          <w:sz w:val="20"/>
          <w:szCs w:val="20"/>
          <w:lang w:val="es-CL"/>
        </w:rPr>
        <w:t>Vvernes</w:t>
      </w:r>
      <w:r>
        <w:rPr>
          <w:rFonts w:ascii="Arial" w:hAnsi="Arial" w:cs="Arial"/>
          <w:sz w:val="20"/>
          <w:szCs w:val="20"/>
          <w:lang w:val="es-CL"/>
        </w:rPr>
        <w:t xml:space="preserve"> de </w:t>
      </w:r>
      <w:r w:rsidR="00866AC3">
        <w:rPr>
          <w:rFonts w:ascii="Arial" w:hAnsi="Arial" w:cs="Arial"/>
          <w:sz w:val="20"/>
          <w:szCs w:val="20"/>
          <w:lang w:val="es-CL"/>
        </w:rPr>
        <w:t>marzo</w:t>
      </w:r>
      <w:r>
        <w:rPr>
          <w:rFonts w:ascii="Arial" w:hAnsi="Arial" w:cs="Arial"/>
          <w:sz w:val="20"/>
          <w:szCs w:val="20"/>
          <w:lang w:val="es-CL"/>
        </w:rPr>
        <w:t xml:space="preserve"> y </w:t>
      </w:r>
      <w:r w:rsidR="00866AC3">
        <w:rPr>
          <w:rFonts w:ascii="Arial" w:hAnsi="Arial" w:cs="Arial"/>
          <w:sz w:val="20"/>
          <w:szCs w:val="20"/>
          <w:lang w:val="es-CL"/>
        </w:rPr>
        <w:t>s</w:t>
      </w:r>
      <w:r>
        <w:rPr>
          <w:rFonts w:ascii="Arial" w:hAnsi="Arial" w:cs="Arial"/>
          <w:sz w:val="20"/>
          <w:szCs w:val="20"/>
          <w:lang w:val="es-CL"/>
        </w:rPr>
        <w:t xml:space="preserve">eptiembre. </w:t>
      </w:r>
      <w:r w:rsidRPr="00701647">
        <w:rPr>
          <w:rFonts w:ascii="Arial" w:hAnsi="Arial" w:cs="Arial"/>
          <w:sz w:val="20"/>
          <w:szCs w:val="20"/>
          <w:lang w:val="es-CL"/>
        </w:rPr>
        <w:t xml:space="preserve"> Las fechas de referencia de cada rebalanceo serán el último día de operación bursátil de </w:t>
      </w:r>
      <w:r w:rsidR="00866AC3">
        <w:rPr>
          <w:rFonts w:ascii="Arial" w:hAnsi="Arial" w:cs="Arial"/>
          <w:sz w:val="20"/>
          <w:szCs w:val="20"/>
          <w:lang w:val="es-CL"/>
        </w:rPr>
        <w:t>f</w:t>
      </w:r>
      <w:r w:rsidRPr="00701647">
        <w:rPr>
          <w:rFonts w:ascii="Arial" w:hAnsi="Arial" w:cs="Arial"/>
          <w:sz w:val="20"/>
          <w:szCs w:val="20"/>
          <w:lang w:val="es-CL"/>
        </w:rPr>
        <w:t xml:space="preserve">ebrero y </w:t>
      </w:r>
      <w:r w:rsidR="00866AC3">
        <w:rPr>
          <w:rFonts w:ascii="Arial" w:hAnsi="Arial" w:cs="Arial"/>
          <w:sz w:val="20"/>
          <w:szCs w:val="20"/>
          <w:lang w:val="es-CL"/>
        </w:rPr>
        <w:t>a</w:t>
      </w:r>
      <w:r w:rsidRPr="00701647">
        <w:rPr>
          <w:rFonts w:ascii="Arial" w:hAnsi="Arial" w:cs="Arial"/>
          <w:sz w:val="20"/>
          <w:szCs w:val="20"/>
          <w:lang w:val="es-CL"/>
        </w:rPr>
        <w:t xml:space="preserve">gosto. </w:t>
      </w:r>
    </w:p>
    <w:p w14:paraId="66C05D6A" w14:textId="77777777" w:rsidR="00701647" w:rsidRDefault="00701647" w:rsidP="00701647">
      <w:pPr>
        <w:pStyle w:val="MethodologyText"/>
        <w:spacing w:after="200"/>
        <w:ind w:left="720"/>
        <w:rPr>
          <w:rFonts w:ascii="Arial" w:hAnsi="Arial" w:cs="Arial"/>
          <w:sz w:val="20"/>
          <w:szCs w:val="20"/>
          <w:lang w:val="es-CL"/>
        </w:rPr>
      </w:pPr>
      <w:r>
        <w:rPr>
          <w:rFonts w:ascii="Arial" w:hAnsi="Arial" w:cs="Arial"/>
          <w:sz w:val="20"/>
          <w:szCs w:val="20"/>
          <w:lang w:val="es-CL"/>
        </w:rPr>
        <w:t>El procedimiento de rebalanceo es el siguiente:</w:t>
      </w:r>
    </w:p>
    <w:p w14:paraId="7CCC86C4" w14:textId="77777777" w:rsidR="00701647" w:rsidRDefault="00701647" w:rsidP="00076F06">
      <w:pPr>
        <w:pStyle w:val="MethodologyText"/>
        <w:numPr>
          <w:ilvl w:val="0"/>
          <w:numId w:val="21"/>
        </w:numPr>
        <w:spacing w:after="200"/>
        <w:rPr>
          <w:rFonts w:ascii="Arial" w:hAnsi="Arial" w:cs="Arial"/>
          <w:sz w:val="20"/>
          <w:szCs w:val="20"/>
          <w:lang w:val="es-CL"/>
        </w:rPr>
      </w:pPr>
      <w:r>
        <w:rPr>
          <w:rFonts w:ascii="Arial" w:hAnsi="Arial" w:cs="Arial"/>
          <w:sz w:val="20"/>
          <w:szCs w:val="20"/>
          <w:lang w:val="es-CL"/>
        </w:rPr>
        <w:t>El índice incluye todos los componentes del Dow Jones Industrial Average</w:t>
      </w:r>
      <w:r w:rsidRPr="00701647">
        <w:rPr>
          <w:rFonts w:ascii="Arial" w:hAnsi="Arial" w:cs="Arial"/>
          <w:sz w:val="20"/>
          <w:szCs w:val="20"/>
          <w:lang w:val="es-CL"/>
        </w:rPr>
        <w:t>™</w:t>
      </w:r>
      <w:r>
        <w:rPr>
          <w:rFonts w:ascii="Arial" w:hAnsi="Arial" w:cs="Arial"/>
          <w:sz w:val="20"/>
          <w:szCs w:val="20"/>
          <w:lang w:val="es-CL"/>
        </w:rPr>
        <w:t xml:space="preserve"> que pagan dividendos.</w:t>
      </w:r>
    </w:p>
    <w:p w14:paraId="4D5B168C" w14:textId="476FC6FC" w:rsidR="00701647" w:rsidRDefault="00701647" w:rsidP="00076F06">
      <w:pPr>
        <w:pStyle w:val="MethodologyText"/>
        <w:numPr>
          <w:ilvl w:val="0"/>
          <w:numId w:val="21"/>
        </w:numPr>
        <w:spacing w:after="200"/>
        <w:rPr>
          <w:rFonts w:ascii="Arial" w:hAnsi="Arial" w:cs="Arial"/>
          <w:sz w:val="20"/>
          <w:szCs w:val="20"/>
          <w:lang w:val="es-CL"/>
        </w:rPr>
      </w:pPr>
      <w:r>
        <w:rPr>
          <w:rFonts w:ascii="Arial" w:hAnsi="Arial" w:cs="Arial"/>
          <w:sz w:val="20"/>
          <w:szCs w:val="20"/>
          <w:lang w:val="es-CL"/>
        </w:rPr>
        <w:t xml:space="preserve">El </w:t>
      </w:r>
      <w:r w:rsidR="00076F06">
        <w:rPr>
          <w:rFonts w:ascii="Arial" w:hAnsi="Arial" w:cs="Arial"/>
          <w:sz w:val="20"/>
          <w:szCs w:val="20"/>
          <w:lang w:val="es-CL"/>
        </w:rPr>
        <w:t xml:space="preserve">índice está </w:t>
      </w:r>
      <w:r w:rsidR="00076F06" w:rsidRPr="00076F06">
        <w:rPr>
          <w:rFonts w:ascii="Arial" w:hAnsi="Arial" w:cs="Arial"/>
          <w:sz w:val="20"/>
          <w:szCs w:val="20"/>
          <w:lang w:val="es-CL"/>
        </w:rPr>
        <w:t xml:space="preserve">ponderado por rendimiento, </w:t>
      </w:r>
      <w:r w:rsidR="00076F06">
        <w:rPr>
          <w:rFonts w:ascii="Arial" w:hAnsi="Arial" w:cs="Arial"/>
          <w:sz w:val="20"/>
          <w:szCs w:val="20"/>
          <w:lang w:val="es-CL"/>
        </w:rPr>
        <w:t>según</w:t>
      </w:r>
      <w:r w:rsidR="00076F06" w:rsidRPr="00076F06">
        <w:rPr>
          <w:rFonts w:ascii="Arial" w:hAnsi="Arial" w:cs="Arial"/>
          <w:sz w:val="20"/>
          <w:szCs w:val="20"/>
          <w:lang w:val="es-CL"/>
        </w:rPr>
        <w:t xml:space="preserve"> la tasa de dividendo anual</w:t>
      </w:r>
      <w:r w:rsidR="00076F06">
        <w:rPr>
          <w:rFonts w:ascii="Arial" w:hAnsi="Arial" w:cs="Arial"/>
          <w:sz w:val="20"/>
          <w:szCs w:val="20"/>
          <w:lang w:val="es-CL"/>
        </w:rPr>
        <w:t xml:space="preserve"> indicada a la fecha de referencia del rebalanceo; </w:t>
      </w:r>
      <w:r w:rsidR="00076F06" w:rsidRPr="00076F06">
        <w:rPr>
          <w:rFonts w:ascii="Arial" w:hAnsi="Arial" w:cs="Arial"/>
          <w:sz w:val="20"/>
          <w:szCs w:val="20"/>
          <w:lang w:val="es-CL"/>
        </w:rPr>
        <w:t>que se define como el dividendo anual pagado por una acción (sin incluir ningún dividendo especial), dividido por su precio.</w:t>
      </w:r>
    </w:p>
    <w:p w14:paraId="3A7CD0C0" w14:textId="2876CC7F" w:rsidR="00076F06" w:rsidRPr="00B10822" w:rsidRDefault="00076F06" w:rsidP="00B10822">
      <w:pPr>
        <w:pStyle w:val="MethodologyText"/>
        <w:numPr>
          <w:ilvl w:val="0"/>
          <w:numId w:val="21"/>
        </w:numPr>
        <w:spacing w:after="200"/>
        <w:rPr>
          <w:rFonts w:ascii="Arial" w:hAnsi="Arial" w:cs="Arial"/>
          <w:sz w:val="20"/>
          <w:szCs w:val="20"/>
          <w:lang w:val="es-CL"/>
        </w:rPr>
      </w:pPr>
      <w:r>
        <w:rPr>
          <w:rFonts w:ascii="Arial" w:hAnsi="Arial" w:cs="Arial"/>
          <w:sz w:val="20"/>
          <w:szCs w:val="20"/>
          <w:lang w:val="es-CL"/>
        </w:rPr>
        <w:t xml:space="preserve">El número de acciones o cuenta de acciones se designa con base en los precios al cierre del </w:t>
      </w:r>
      <w:r w:rsidR="008D2088">
        <w:rPr>
          <w:rFonts w:ascii="Arial" w:hAnsi="Arial" w:cs="Arial"/>
          <w:sz w:val="20"/>
          <w:szCs w:val="20"/>
          <w:lang w:val="es-CL"/>
        </w:rPr>
        <w:t xml:space="preserve">miércoles previo al </w:t>
      </w:r>
      <w:r>
        <w:rPr>
          <w:rFonts w:ascii="Arial" w:hAnsi="Arial" w:cs="Arial"/>
          <w:sz w:val="20"/>
          <w:szCs w:val="20"/>
          <w:lang w:val="es-CL"/>
        </w:rPr>
        <w:t xml:space="preserve">segundo </w:t>
      </w:r>
      <w:r w:rsidR="00866AC3">
        <w:rPr>
          <w:rFonts w:ascii="Arial" w:hAnsi="Arial" w:cs="Arial"/>
          <w:sz w:val="20"/>
          <w:szCs w:val="20"/>
          <w:lang w:val="es-ES_tradnl"/>
        </w:rPr>
        <w:t>viernes</w:t>
      </w:r>
      <w:r>
        <w:rPr>
          <w:rFonts w:ascii="Arial" w:hAnsi="Arial" w:cs="Arial"/>
          <w:sz w:val="20"/>
          <w:szCs w:val="20"/>
          <w:lang w:val="es-CL"/>
        </w:rPr>
        <w:t xml:space="preserve"> de los meses de </w:t>
      </w:r>
      <w:r w:rsidR="00866AC3">
        <w:rPr>
          <w:rFonts w:ascii="Arial" w:hAnsi="Arial" w:cs="Arial"/>
          <w:sz w:val="20"/>
          <w:szCs w:val="20"/>
          <w:lang w:val="es-CL"/>
        </w:rPr>
        <w:t>marzo</w:t>
      </w:r>
      <w:r>
        <w:rPr>
          <w:rFonts w:ascii="Arial" w:hAnsi="Arial" w:cs="Arial"/>
          <w:sz w:val="20"/>
          <w:szCs w:val="20"/>
          <w:lang w:val="es-CL"/>
        </w:rPr>
        <w:t xml:space="preserve"> y </w:t>
      </w:r>
      <w:r w:rsidR="00866AC3">
        <w:rPr>
          <w:rFonts w:ascii="Arial" w:hAnsi="Arial" w:cs="Arial"/>
          <w:sz w:val="20"/>
          <w:szCs w:val="20"/>
          <w:lang w:val="es-CL"/>
        </w:rPr>
        <w:t>s</w:t>
      </w:r>
      <w:r w:rsidR="00B65752">
        <w:rPr>
          <w:rFonts w:ascii="Arial" w:hAnsi="Arial" w:cs="Arial"/>
          <w:sz w:val="20"/>
          <w:szCs w:val="20"/>
          <w:lang w:val="es-CL"/>
        </w:rPr>
        <w:t>eptiembre.</w:t>
      </w:r>
    </w:p>
    <w:p w14:paraId="6161320F" w14:textId="3F18AF17" w:rsidR="00701647" w:rsidRPr="003B6873" w:rsidRDefault="00701647" w:rsidP="003B6873">
      <w:pPr>
        <w:pStyle w:val="MethodologyText"/>
        <w:spacing w:after="200"/>
        <w:ind w:left="720"/>
        <w:rPr>
          <w:rFonts w:ascii="Arial" w:hAnsi="Arial" w:cs="Arial"/>
          <w:sz w:val="20"/>
          <w:szCs w:val="20"/>
          <w:lang w:val="es-CL"/>
        </w:rPr>
      </w:pPr>
      <w:r w:rsidRPr="00701647">
        <w:rPr>
          <w:rFonts w:ascii="Arial" w:hAnsi="Arial" w:cs="Arial"/>
          <w:sz w:val="20"/>
          <w:szCs w:val="20"/>
          <w:lang w:val="es-CL"/>
        </w:rPr>
        <w:t>Si se excluyera un componente del Dow Jones Industrial Average™</w:t>
      </w:r>
      <w:r w:rsidR="00076F06">
        <w:rPr>
          <w:rFonts w:ascii="Arial" w:hAnsi="Arial" w:cs="Arial"/>
          <w:sz w:val="20"/>
          <w:szCs w:val="20"/>
          <w:lang w:val="es-CL"/>
        </w:rPr>
        <w:t>, durante el periodo comprendido entre dos rebalanceos semestrales</w:t>
      </w:r>
      <w:r w:rsidRPr="00701647">
        <w:rPr>
          <w:rFonts w:ascii="Arial" w:hAnsi="Arial" w:cs="Arial"/>
          <w:sz w:val="20"/>
          <w:szCs w:val="20"/>
          <w:lang w:val="es-CL"/>
        </w:rPr>
        <w:t>,</w:t>
      </w:r>
      <w:r w:rsidR="00076F06">
        <w:rPr>
          <w:rFonts w:ascii="Arial" w:hAnsi="Arial" w:cs="Arial"/>
          <w:sz w:val="20"/>
          <w:szCs w:val="20"/>
          <w:lang w:val="es-CL"/>
        </w:rPr>
        <w:t xml:space="preserve"> el componente</w:t>
      </w:r>
      <w:r w:rsidRPr="00701647">
        <w:rPr>
          <w:rFonts w:ascii="Arial" w:hAnsi="Arial" w:cs="Arial"/>
          <w:sz w:val="20"/>
          <w:szCs w:val="20"/>
          <w:lang w:val="es-CL"/>
        </w:rPr>
        <w:t xml:space="preserve"> será excluido del presente </w:t>
      </w:r>
      <w:r w:rsidR="00076F06">
        <w:rPr>
          <w:rFonts w:ascii="Arial" w:hAnsi="Arial" w:cs="Arial"/>
          <w:sz w:val="20"/>
          <w:szCs w:val="20"/>
          <w:lang w:val="es-CL"/>
        </w:rPr>
        <w:t xml:space="preserve">índice de manera simultánea. </w:t>
      </w:r>
      <w:r w:rsidR="00076F06" w:rsidRPr="00701647">
        <w:rPr>
          <w:rFonts w:ascii="Arial" w:hAnsi="Arial" w:cs="Arial"/>
          <w:sz w:val="20"/>
          <w:szCs w:val="20"/>
          <w:lang w:val="es-CL"/>
        </w:rPr>
        <w:t>Si un componente cancela su pago de dividendos, se eliminará del índice luego del cierre de operaciones d</w:t>
      </w:r>
      <w:r w:rsidR="00076F06">
        <w:rPr>
          <w:rFonts w:ascii="Arial" w:hAnsi="Arial" w:cs="Arial"/>
          <w:sz w:val="20"/>
          <w:szCs w:val="20"/>
          <w:lang w:val="es-CL"/>
        </w:rPr>
        <w:t xml:space="preserve">el siguiente tercer </w:t>
      </w:r>
      <w:r w:rsidR="00866AC3">
        <w:rPr>
          <w:rFonts w:ascii="Arial" w:hAnsi="Arial" w:cs="Arial"/>
          <w:sz w:val="20"/>
          <w:szCs w:val="20"/>
          <w:lang w:val="es-CL"/>
        </w:rPr>
        <w:t>viernes</w:t>
      </w:r>
      <w:r w:rsidR="00076F06">
        <w:rPr>
          <w:rFonts w:ascii="Arial" w:hAnsi="Arial" w:cs="Arial"/>
          <w:sz w:val="20"/>
          <w:szCs w:val="20"/>
          <w:lang w:val="es-CL"/>
        </w:rPr>
        <w:t xml:space="preserve"> de </w:t>
      </w:r>
      <w:r w:rsidR="00866AC3">
        <w:rPr>
          <w:rFonts w:ascii="Arial" w:hAnsi="Arial" w:cs="Arial"/>
          <w:sz w:val="20"/>
          <w:szCs w:val="20"/>
          <w:lang w:val="es-CL"/>
        </w:rPr>
        <w:t>marzo</w:t>
      </w:r>
      <w:r w:rsidR="00076F06">
        <w:rPr>
          <w:rFonts w:ascii="Arial" w:hAnsi="Arial" w:cs="Arial"/>
          <w:sz w:val="20"/>
          <w:szCs w:val="20"/>
          <w:lang w:val="es-CL"/>
        </w:rPr>
        <w:t xml:space="preserve">, </w:t>
      </w:r>
      <w:r w:rsidR="00866AC3">
        <w:rPr>
          <w:rFonts w:ascii="Arial" w:hAnsi="Arial" w:cs="Arial"/>
          <w:sz w:val="20"/>
          <w:szCs w:val="20"/>
          <w:lang w:val="es-CL"/>
        </w:rPr>
        <w:t>j</w:t>
      </w:r>
      <w:r w:rsidR="00076F06">
        <w:rPr>
          <w:rFonts w:ascii="Arial" w:hAnsi="Arial" w:cs="Arial"/>
          <w:sz w:val="20"/>
          <w:szCs w:val="20"/>
          <w:lang w:val="es-CL"/>
        </w:rPr>
        <w:t xml:space="preserve">unio, </w:t>
      </w:r>
      <w:r w:rsidR="00866AC3">
        <w:rPr>
          <w:rFonts w:ascii="Arial" w:hAnsi="Arial" w:cs="Arial"/>
          <w:sz w:val="20"/>
          <w:szCs w:val="20"/>
          <w:lang w:val="es-CL"/>
        </w:rPr>
        <w:t>s</w:t>
      </w:r>
      <w:r w:rsidR="00076F06">
        <w:rPr>
          <w:rFonts w:ascii="Arial" w:hAnsi="Arial" w:cs="Arial"/>
          <w:sz w:val="20"/>
          <w:szCs w:val="20"/>
          <w:lang w:val="es-CL"/>
        </w:rPr>
        <w:t xml:space="preserve">eptiembre y </w:t>
      </w:r>
      <w:r w:rsidR="00866AC3">
        <w:rPr>
          <w:rFonts w:ascii="Arial" w:hAnsi="Arial" w:cs="Arial"/>
          <w:sz w:val="20"/>
          <w:szCs w:val="20"/>
          <w:lang w:val="es-CL"/>
        </w:rPr>
        <w:t>diciembre</w:t>
      </w:r>
      <w:r w:rsidR="00076F06" w:rsidRPr="00701647">
        <w:rPr>
          <w:rFonts w:ascii="Arial" w:hAnsi="Arial" w:cs="Arial"/>
          <w:sz w:val="20"/>
          <w:szCs w:val="20"/>
          <w:lang w:val="es-CL"/>
        </w:rPr>
        <w:t>.</w:t>
      </w:r>
    </w:p>
    <w:p w14:paraId="68CA6142" w14:textId="77777777" w:rsidR="00701647" w:rsidRDefault="00701647" w:rsidP="00701647">
      <w:pPr>
        <w:pStyle w:val="MethodologyText"/>
        <w:spacing w:after="200"/>
        <w:ind w:left="720"/>
        <w:rPr>
          <w:rFonts w:ascii="Arial" w:hAnsi="Arial" w:cs="Arial"/>
          <w:sz w:val="20"/>
          <w:szCs w:val="20"/>
          <w:lang w:val="es-CL"/>
        </w:rPr>
      </w:pPr>
      <w:r w:rsidRPr="00701647">
        <w:rPr>
          <w:rFonts w:ascii="Arial" w:hAnsi="Arial" w:cs="Arial"/>
          <w:sz w:val="20"/>
          <w:szCs w:val="20"/>
          <w:lang w:val="es-CL"/>
        </w:rPr>
        <w:t>No hay inclusiones al índice entre rebalanceos, excepto en caso de escisión.</w:t>
      </w:r>
    </w:p>
    <w:p w14:paraId="37020BD3" w14:textId="77777777" w:rsidR="00B10822" w:rsidRPr="00F86146" w:rsidRDefault="00B10822" w:rsidP="00865195">
      <w:pPr>
        <w:pStyle w:val="Heading2"/>
        <w:ind w:left="720"/>
        <w:rPr>
          <w:rFonts w:ascii="Arial" w:hAnsi="Arial" w:cs="Arial"/>
          <w:sz w:val="20"/>
        </w:rPr>
      </w:pPr>
      <w:bookmarkStart w:id="14" w:name="_Toc198540683"/>
      <w:r w:rsidRPr="00F86146">
        <w:rPr>
          <w:rFonts w:ascii="Arial" w:hAnsi="Arial" w:cs="Arial"/>
          <w:sz w:val="20"/>
        </w:rPr>
        <w:t>Dow Jones Industrial Average Equal Weight Index</w:t>
      </w:r>
      <w:bookmarkEnd w:id="14"/>
    </w:p>
    <w:p w14:paraId="648C783D" w14:textId="0B82565B" w:rsidR="00B10822" w:rsidRDefault="00B10822" w:rsidP="00B10822">
      <w:pPr>
        <w:pStyle w:val="MethodologyText"/>
        <w:tabs>
          <w:tab w:val="left" w:pos="720"/>
        </w:tabs>
        <w:ind w:left="720"/>
        <w:rPr>
          <w:rFonts w:ascii="Arial" w:hAnsi="Arial" w:cs="Arial"/>
          <w:sz w:val="20"/>
          <w:szCs w:val="20"/>
          <w:lang w:val="es-CL"/>
        </w:rPr>
      </w:pPr>
      <w:r w:rsidRPr="00B10822">
        <w:rPr>
          <w:rFonts w:ascii="Arial" w:hAnsi="Arial" w:cs="Arial"/>
          <w:sz w:val="20"/>
          <w:szCs w:val="20"/>
          <w:lang w:val="es-CL"/>
        </w:rPr>
        <w:t xml:space="preserve">El índice se rebalancea trimestralmente después del cierre del tercer </w:t>
      </w:r>
      <w:r w:rsidR="00866AC3">
        <w:rPr>
          <w:rFonts w:ascii="Arial" w:hAnsi="Arial" w:cs="Arial"/>
          <w:sz w:val="20"/>
          <w:szCs w:val="20"/>
          <w:lang w:val="es-CL"/>
        </w:rPr>
        <w:t>viernes</w:t>
      </w:r>
      <w:r w:rsidRPr="00B10822">
        <w:rPr>
          <w:rFonts w:ascii="Arial" w:hAnsi="Arial" w:cs="Arial"/>
          <w:sz w:val="20"/>
          <w:szCs w:val="20"/>
          <w:lang w:val="es-CL"/>
        </w:rPr>
        <w:t xml:space="preserve"> de los meses de </w:t>
      </w:r>
      <w:r w:rsidR="00866AC3">
        <w:rPr>
          <w:rFonts w:ascii="Arial" w:hAnsi="Arial" w:cs="Arial"/>
          <w:sz w:val="20"/>
          <w:szCs w:val="20"/>
          <w:lang w:val="es-CL"/>
        </w:rPr>
        <w:t>marzo</w:t>
      </w:r>
      <w:r w:rsidRPr="00B10822">
        <w:rPr>
          <w:rFonts w:ascii="Arial" w:hAnsi="Arial" w:cs="Arial"/>
          <w:sz w:val="20"/>
          <w:szCs w:val="20"/>
          <w:lang w:val="es-CL"/>
        </w:rPr>
        <w:t xml:space="preserve">, </w:t>
      </w:r>
      <w:r w:rsidR="00866AC3">
        <w:rPr>
          <w:rFonts w:ascii="Arial" w:hAnsi="Arial" w:cs="Arial"/>
          <w:sz w:val="20"/>
          <w:szCs w:val="20"/>
          <w:lang w:val="es-CL"/>
        </w:rPr>
        <w:t>j</w:t>
      </w:r>
      <w:r w:rsidRPr="00B10822">
        <w:rPr>
          <w:rFonts w:ascii="Arial" w:hAnsi="Arial" w:cs="Arial"/>
          <w:sz w:val="20"/>
          <w:szCs w:val="20"/>
          <w:lang w:val="es-CL"/>
        </w:rPr>
        <w:t xml:space="preserve">unio, </w:t>
      </w:r>
      <w:r w:rsidR="00866AC3">
        <w:rPr>
          <w:rFonts w:ascii="Arial" w:hAnsi="Arial" w:cs="Arial"/>
          <w:sz w:val="20"/>
          <w:szCs w:val="20"/>
          <w:lang w:val="es-CL"/>
        </w:rPr>
        <w:t>s</w:t>
      </w:r>
      <w:r w:rsidRPr="00B10822">
        <w:rPr>
          <w:rFonts w:ascii="Arial" w:hAnsi="Arial" w:cs="Arial"/>
          <w:sz w:val="20"/>
          <w:szCs w:val="20"/>
          <w:lang w:val="es-CL"/>
        </w:rPr>
        <w:t xml:space="preserve">eptiembre y </w:t>
      </w:r>
      <w:r w:rsidR="00866AC3">
        <w:rPr>
          <w:rFonts w:ascii="Arial" w:hAnsi="Arial" w:cs="Arial"/>
          <w:sz w:val="20"/>
          <w:szCs w:val="20"/>
          <w:lang w:val="es-CL"/>
        </w:rPr>
        <w:t>diciembre</w:t>
      </w:r>
      <w:r w:rsidRPr="00B10822">
        <w:rPr>
          <w:rFonts w:ascii="Arial" w:hAnsi="Arial" w:cs="Arial"/>
          <w:sz w:val="20"/>
          <w:szCs w:val="20"/>
          <w:lang w:val="es-CL"/>
        </w:rPr>
        <w:t xml:space="preserve">. </w:t>
      </w:r>
    </w:p>
    <w:p w14:paraId="7BEDAD26" w14:textId="77777777" w:rsidR="00B10822" w:rsidRDefault="00B10822" w:rsidP="00B10822">
      <w:pPr>
        <w:pStyle w:val="MethodologyText"/>
        <w:tabs>
          <w:tab w:val="left" w:pos="720"/>
        </w:tabs>
        <w:ind w:left="720"/>
        <w:rPr>
          <w:rFonts w:ascii="Arial" w:hAnsi="Arial" w:cs="Arial"/>
          <w:sz w:val="20"/>
          <w:szCs w:val="20"/>
          <w:lang w:val="es-CL"/>
        </w:rPr>
      </w:pPr>
    </w:p>
    <w:p w14:paraId="681887B5" w14:textId="77777777" w:rsidR="00B10822" w:rsidRDefault="00B10822" w:rsidP="00B10822">
      <w:pPr>
        <w:pStyle w:val="MethodologyText"/>
        <w:spacing w:after="200"/>
        <w:ind w:left="720"/>
        <w:rPr>
          <w:rFonts w:ascii="Arial" w:hAnsi="Arial" w:cs="Arial"/>
          <w:sz w:val="20"/>
          <w:szCs w:val="20"/>
          <w:lang w:val="es-CL"/>
        </w:rPr>
      </w:pPr>
      <w:r>
        <w:rPr>
          <w:rFonts w:ascii="Arial" w:hAnsi="Arial" w:cs="Arial"/>
          <w:sz w:val="20"/>
          <w:szCs w:val="20"/>
          <w:lang w:val="es-CL"/>
        </w:rPr>
        <w:t>El procedimiento de rebalanceo es el siguiente:</w:t>
      </w:r>
    </w:p>
    <w:p w14:paraId="101B232B" w14:textId="77777777" w:rsidR="00B10822" w:rsidRDefault="00B10822" w:rsidP="00881F7B">
      <w:pPr>
        <w:pStyle w:val="MethodologyText"/>
        <w:numPr>
          <w:ilvl w:val="0"/>
          <w:numId w:val="22"/>
        </w:numPr>
        <w:spacing w:after="200"/>
        <w:rPr>
          <w:rFonts w:ascii="Arial" w:hAnsi="Arial" w:cs="Arial"/>
          <w:sz w:val="20"/>
          <w:szCs w:val="20"/>
          <w:lang w:val="es-CL"/>
        </w:rPr>
      </w:pPr>
      <w:r>
        <w:rPr>
          <w:rFonts w:ascii="Arial" w:hAnsi="Arial" w:cs="Arial"/>
          <w:sz w:val="20"/>
          <w:szCs w:val="20"/>
          <w:lang w:val="es-CL"/>
        </w:rPr>
        <w:t>El índice incluye todos los componentes del Dow Jones Industrial Average</w:t>
      </w:r>
      <w:r w:rsidRPr="00701647">
        <w:rPr>
          <w:rFonts w:ascii="Arial" w:hAnsi="Arial" w:cs="Arial"/>
          <w:sz w:val="20"/>
          <w:szCs w:val="20"/>
          <w:lang w:val="es-CL"/>
        </w:rPr>
        <w:t>™</w:t>
      </w:r>
    </w:p>
    <w:p w14:paraId="7C20D81F" w14:textId="42825060" w:rsidR="00881F7B" w:rsidRDefault="00B10822" w:rsidP="00881F7B">
      <w:pPr>
        <w:pStyle w:val="MethodologyText"/>
        <w:numPr>
          <w:ilvl w:val="0"/>
          <w:numId w:val="22"/>
        </w:numPr>
        <w:spacing w:after="200"/>
        <w:rPr>
          <w:rFonts w:ascii="Arial" w:hAnsi="Arial" w:cs="Arial"/>
          <w:sz w:val="20"/>
          <w:szCs w:val="20"/>
          <w:lang w:val="es-CL"/>
        </w:rPr>
      </w:pPr>
      <w:r w:rsidRPr="00B10822">
        <w:rPr>
          <w:rFonts w:ascii="Arial" w:hAnsi="Arial" w:cs="Arial"/>
          <w:sz w:val="20"/>
          <w:szCs w:val="20"/>
          <w:lang w:val="es-CL"/>
        </w:rPr>
        <w:t>En cada rebalanceo</w:t>
      </w:r>
      <w:r w:rsidR="00881F7B">
        <w:rPr>
          <w:rFonts w:ascii="Arial" w:hAnsi="Arial" w:cs="Arial"/>
          <w:sz w:val="20"/>
          <w:szCs w:val="20"/>
          <w:lang w:val="es-CL"/>
        </w:rPr>
        <w:t xml:space="preserve"> trimestral</w:t>
      </w:r>
      <w:r w:rsidRPr="00B10822">
        <w:rPr>
          <w:rFonts w:ascii="Arial" w:hAnsi="Arial" w:cs="Arial"/>
          <w:sz w:val="20"/>
          <w:szCs w:val="20"/>
          <w:lang w:val="es-CL"/>
        </w:rPr>
        <w:t xml:space="preserve">, </w:t>
      </w:r>
      <w:r w:rsidR="00881F7B">
        <w:rPr>
          <w:rFonts w:ascii="Arial" w:hAnsi="Arial" w:cs="Arial"/>
          <w:sz w:val="20"/>
          <w:szCs w:val="20"/>
          <w:lang w:val="es-CL"/>
        </w:rPr>
        <w:t>los pesos de los componentes del índice se determinan bajo el esquema de ponderación equitativa, usando para tales efectos como precios de referencia los precios al cierre del</w:t>
      </w:r>
      <w:r w:rsidR="008D2088">
        <w:rPr>
          <w:rFonts w:ascii="Arial" w:hAnsi="Arial" w:cs="Arial"/>
          <w:sz w:val="20"/>
          <w:szCs w:val="20"/>
          <w:lang w:val="es-CL"/>
        </w:rPr>
        <w:t xml:space="preserve"> miércoles previo al</w:t>
      </w:r>
      <w:r w:rsidR="00881F7B">
        <w:rPr>
          <w:rFonts w:ascii="Arial" w:hAnsi="Arial" w:cs="Arial"/>
          <w:sz w:val="20"/>
          <w:szCs w:val="20"/>
          <w:lang w:val="es-CL"/>
        </w:rPr>
        <w:t xml:space="preserve"> segundo </w:t>
      </w:r>
      <w:r w:rsidR="00866AC3">
        <w:rPr>
          <w:rFonts w:ascii="Arial" w:hAnsi="Arial" w:cs="Arial"/>
          <w:sz w:val="20"/>
          <w:szCs w:val="20"/>
          <w:lang w:val="es-CL"/>
        </w:rPr>
        <w:t>viernes</w:t>
      </w:r>
      <w:r w:rsidR="00881F7B">
        <w:rPr>
          <w:rFonts w:ascii="Arial" w:hAnsi="Arial" w:cs="Arial"/>
          <w:sz w:val="20"/>
          <w:szCs w:val="20"/>
          <w:lang w:val="es-CL"/>
        </w:rPr>
        <w:t xml:space="preserve"> del último mes del trimestre en cuestión.</w:t>
      </w:r>
    </w:p>
    <w:p w14:paraId="1310239C" w14:textId="77777777" w:rsidR="00B10822" w:rsidRDefault="00881F7B" w:rsidP="00881F7B">
      <w:pPr>
        <w:pStyle w:val="MethodologyText"/>
        <w:spacing w:after="200"/>
        <w:ind w:left="720"/>
        <w:rPr>
          <w:rFonts w:ascii="Arial" w:hAnsi="Arial" w:cs="Arial"/>
          <w:sz w:val="20"/>
          <w:szCs w:val="20"/>
          <w:lang w:val="es-CL"/>
        </w:rPr>
      </w:pPr>
      <w:r w:rsidRPr="00701647">
        <w:rPr>
          <w:rFonts w:ascii="Arial" w:hAnsi="Arial" w:cs="Arial"/>
          <w:sz w:val="20"/>
          <w:szCs w:val="20"/>
          <w:lang w:val="es-CL"/>
        </w:rPr>
        <w:t>Si se excluyera un componente del Dow Jones Industrial Average™</w:t>
      </w:r>
      <w:r>
        <w:rPr>
          <w:rFonts w:ascii="Arial" w:hAnsi="Arial" w:cs="Arial"/>
          <w:sz w:val="20"/>
          <w:szCs w:val="20"/>
          <w:lang w:val="es-CL"/>
        </w:rPr>
        <w:t>, durante el periodo comprendido entre dos rebalanceos trimestrales</w:t>
      </w:r>
      <w:r w:rsidRPr="00701647">
        <w:rPr>
          <w:rFonts w:ascii="Arial" w:hAnsi="Arial" w:cs="Arial"/>
          <w:sz w:val="20"/>
          <w:szCs w:val="20"/>
          <w:lang w:val="es-CL"/>
        </w:rPr>
        <w:t>,</w:t>
      </w:r>
      <w:r>
        <w:rPr>
          <w:rFonts w:ascii="Arial" w:hAnsi="Arial" w:cs="Arial"/>
          <w:sz w:val="20"/>
          <w:szCs w:val="20"/>
          <w:lang w:val="es-CL"/>
        </w:rPr>
        <w:t xml:space="preserve"> el componente</w:t>
      </w:r>
      <w:r w:rsidRPr="00701647">
        <w:rPr>
          <w:rFonts w:ascii="Arial" w:hAnsi="Arial" w:cs="Arial"/>
          <w:sz w:val="20"/>
          <w:szCs w:val="20"/>
          <w:lang w:val="es-CL"/>
        </w:rPr>
        <w:t xml:space="preserve"> será excluido del presente </w:t>
      </w:r>
      <w:r>
        <w:rPr>
          <w:rFonts w:ascii="Arial" w:hAnsi="Arial" w:cs="Arial"/>
          <w:sz w:val="20"/>
          <w:szCs w:val="20"/>
          <w:lang w:val="es-CL"/>
        </w:rPr>
        <w:t xml:space="preserve">índice de manera simultánea. </w:t>
      </w:r>
      <w:r w:rsidR="00B10822" w:rsidRPr="00B10822">
        <w:rPr>
          <w:rFonts w:ascii="Arial" w:hAnsi="Arial" w:cs="Arial"/>
          <w:sz w:val="20"/>
          <w:szCs w:val="20"/>
          <w:lang w:val="es-CL"/>
        </w:rPr>
        <w:t>La acción que reemplaza al componente excluido se agrega tomando la ponderación de este último en el índice.</w:t>
      </w:r>
    </w:p>
    <w:p w14:paraId="6D32E55F" w14:textId="77777777" w:rsidR="0091786E" w:rsidRPr="00F86146" w:rsidRDefault="0091786E">
      <w:pPr>
        <w:rPr>
          <w:rFonts w:ascii="Arial" w:hAnsi="Arial" w:cs="Arial"/>
          <w:b/>
          <w:bCs/>
          <w:sz w:val="20"/>
          <w:lang w:val="es-MX"/>
        </w:rPr>
      </w:pPr>
      <w:r w:rsidRPr="00F86146">
        <w:rPr>
          <w:rFonts w:ascii="Arial" w:hAnsi="Arial" w:cs="Arial"/>
          <w:b/>
          <w:bCs/>
          <w:sz w:val="20"/>
          <w:lang w:val="es-MX"/>
        </w:rPr>
        <w:br w:type="page"/>
      </w:r>
    </w:p>
    <w:p w14:paraId="54965536" w14:textId="77777777" w:rsidR="0091786E" w:rsidRDefault="00881F7B" w:rsidP="00865195">
      <w:pPr>
        <w:pStyle w:val="Heading2"/>
        <w:ind w:left="720"/>
        <w:rPr>
          <w:rFonts w:ascii="Arial" w:hAnsi="Arial" w:cs="Arial"/>
          <w:sz w:val="20"/>
          <w:lang w:val="es-CL"/>
        </w:rPr>
      </w:pPr>
      <w:bookmarkStart w:id="15" w:name="_Toc198540684"/>
      <w:r w:rsidRPr="00865195">
        <w:rPr>
          <w:rFonts w:ascii="Arial" w:hAnsi="Arial" w:cs="Arial"/>
          <w:sz w:val="20"/>
          <w:lang w:val="es-CL"/>
        </w:rPr>
        <w:t>Ponderación de Componentes</w:t>
      </w:r>
      <w:bookmarkEnd w:id="15"/>
    </w:p>
    <w:p w14:paraId="264FE172" w14:textId="77777777" w:rsidR="00BD051E" w:rsidRPr="00BD051E" w:rsidRDefault="00BD051E" w:rsidP="00865195">
      <w:pPr>
        <w:pStyle w:val="Heading2"/>
        <w:ind w:left="720"/>
        <w:rPr>
          <w:rFonts w:ascii="Arial" w:hAnsi="Arial" w:cs="Arial"/>
          <w:b w:val="0"/>
          <w:sz w:val="20"/>
          <w:lang w:val="es-MX"/>
        </w:rPr>
      </w:pPr>
      <w:bookmarkStart w:id="16" w:name="_Toc198540685"/>
      <w:r w:rsidRPr="00BD051E">
        <w:rPr>
          <w:rFonts w:ascii="Arial" w:hAnsi="Arial" w:cs="Arial"/>
          <w:b w:val="0"/>
          <w:sz w:val="20"/>
          <w:lang w:val="es-MX"/>
        </w:rPr>
        <w:t>La tabla a continuación describe el enfoque de ponderación de cada índice.</w:t>
      </w:r>
      <w:bookmarkEnd w:id="16"/>
    </w:p>
    <w:tbl>
      <w:tblPr>
        <w:tblW w:w="9187" w:type="dxa"/>
        <w:tblInd w:w="835" w:type="dxa"/>
        <w:tblLayout w:type="fixed"/>
        <w:tblLook w:val="04A0" w:firstRow="1" w:lastRow="0" w:firstColumn="1" w:lastColumn="0" w:noHBand="0" w:noVBand="1"/>
      </w:tblPr>
      <w:tblGrid>
        <w:gridCol w:w="4593"/>
        <w:gridCol w:w="4594"/>
      </w:tblGrid>
      <w:tr w:rsidR="0091786E" w:rsidRPr="00B12CD9" w14:paraId="7835686F" w14:textId="77777777" w:rsidTr="00716523">
        <w:trPr>
          <w:trHeight w:val="288"/>
        </w:trPr>
        <w:tc>
          <w:tcPr>
            <w:tcW w:w="459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61888A4F" w14:textId="77777777" w:rsidR="0091786E" w:rsidRPr="005D17EB" w:rsidRDefault="0091786E" w:rsidP="00716523">
            <w:pPr>
              <w:jc w:val="center"/>
              <w:rPr>
                <w:rFonts w:ascii="Arial" w:hAnsi="Arial" w:cs="Arial"/>
                <w:b/>
                <w:bCs/>
                <w:color w:val="FFFFFF" w:themeColor="background1"/>
                <w:sz w:val="18"/>
                <w:szCs w:val="18"/>
                <w:lang w:val="es-CL" w:eastAsia="ja-JP"/>
              </w:rPr>
            </w:pPr>
            <w:r>
              <w:rPr>
                <w:rFonts w:ascii="Arial" w:hAnsi="Arial" w:cs="Arial"/>
                <w:b/>
                <w:bCs/>
                <w:color w:val="FFFFFF" w:themeColor="background1"/>
                <w:sz w:val="18"/>
                <w:szCs w:val="18"/>
                <w:lang w:val="es-CL" w:eastAsia="ja-JP"/>
              </w:rPr>
              <w:t>Índice</w:t>
            </w:r>
          </w:p>
        </w:tc>
        <w:tc>
          <w:tcPr>
            <w:tcW w:w="4594" w:type="dxa"/>
            <w:tcBorders>
              <w:top w:val="single" w:sz="4" w:space="0" w:color="auto"/>
              <w:left w:val="nil"/>
              <w:bottom w:val="single" w:sz="4" w:space="0" w:color="auto"/>
              <w:right w:val="single" w:sz="4" w:space="0" w:color="auto"/>
            </w:tcBorders>
            <w:shd w:val="clear" w:color="auto" w:fill="000000" w:themeFill="text1"/>
            <w:vAlign w:val="center"/>
            <w:hideMark/>
          </w:tcPr>
          <w:p w14:paraId="4E2EE5DF" w14:textId="77777777" w:rsidR="0091786E" w:rsidRPr="005D17EB" w:rsidRDefault="0091786E" w:rsidP="00716523">
            <w:pPr>
              <w:jc w:val="center"/>
              <w:rPr>
                <w:rFonts w:ascii="Arial" w:hAnsi="Arial" w:cs="Arial"/>
                <w:b/>
                <w:bCs/>
                <w:color w:val="FFFFFF" w:themeColor="background1"/>
                <w:sz w:val="18"/>
                <w:szCs w:val="18"/>
                <w:lang w:val="es-CL" w:eastAsia="ja-JP"/>
              </w:rPr>
            </w:pPr>
            <w:r>
              <w:rPr>
                <w:rFonts w:ascii="Arial" w:hAnsi="Arial" w:cs="Arial"/>
                <w:b/>
                <w:bCs/>
                <w:color w:val="FFFFFF" w:themeColor="background1"/>
                <w:sz w:val="18"/>
                <w:szCs w:val="18"/>
                <w:lang w:val="es-CL" w:eastAsia="ja-JP"/>
              </w:rPr>
              <w:t>Enfoque de construcción del índice</w:t>
            </w:r>
          </w:p>
        </w:tc>
      </w:tr>
      <w:tr w:rsidR="0091786E" w:rsidRPr="00D825CA" w14:paraId="42300620" w14:textId="77777777" w:rsidTr="00716523">
        <w:trPr>
          <w:trHeight w:val="288"/>
        </w:trPr>
        <w:tc>
          <w:tcPr>
            <w:tcW w:w="4593" w:type="dxa"/>
            <w:tcBorders>
              <w:top w:val="single" w:sz="4" w:space="0" w:color="auto"/>
              <w:left w:val="single" w:sz="4" w:space="0" w:color="auto"/>
              <w:bottom w:val="single" w:sz="4" w:space="0" w:color="auto"/>
              <w:right w:val="single" w:sz="4" w:space="0" w:color="auto"/>
            </w:tcBorders>
          </w:tcPr>
          <w:p w14:paraId="33F47504" w14:textId="77777777" w:rsidR="0091786E" w:rsidRPr="00865195" w:rsidRDefault="0091786E" w:rsidP="00716523">
            <w:pPr>
              <w:pStyle w:val="ListParagraph"/>
              <w:numPr>
                <w:ilvl w:val="0"/>
                <w:numId w:val="6"/>
              </w:numPr>
              <w:ind w:left="216" w:hanging="216"/>
              <w:rPr>
                <w:rFonts w:ascii="Arial" w:hAnsi="Arial" w:cs="Arial"/>
                <w:sz w:val="20"/>
                <w:szCs w:val="20"/>
                <w:lang w:val="es-CL" w:eastAsia="ja-JP"/>
              </w:rPr>
            </w:pPr>
            <w:r w:rsidRPr="00865195">
              <w:rPr>
                <w:rFonts w:ascii="Arial" w:hAnsi="Arial" w:cs="Arial"/>
                <w:sz w:val="20"/>
                <w:szCs w:val="20"/>
                <w:lang w:val="es-CL"/>
              </w:rPr>
              <w:t>Dow Jones Industrial Average™</w:t>
            </w:r>
          </w:p>
          <w:p w14:paraId="4439FCAF" w14:textId="77777777" w:rsidR="0091786E" w:rsidRPr="00865195" w:rsidRDefault="0091786E" w:rsidP="00716523">
            <w:pPr>
              <w:pStyle w:val="ListParagraph"/>
              <w:numPr>
                <w:ilvl w:val="0"/>
                <w:numId w:val="6"/>
              </w:numPr>
              <w:ind w:left="216" w:hanging="216"/>
              <w:rPr>
                <w:rFonts w:ascii="Arial" w:hAnsi="Arial" w:cs="Arial"/>
                <w:sz w:val="20"/>
                <w:szCs w:val="20"/>
                <w:lang w:val="es-CL" w:eastAsia="ja-JP"/>
              </w:rPr>
            </w:pPr>
            <w:r w:rsidRPr="00865195">
              <w:rPr>
                <w:rFonts w:ascii="Arial" w:hAnsi="Arial" w:cs="Arial"/>
                <w:sz w:val="20"/>
                <w:szCs w:val="20"/>
                <w:lang w:val="es-CL"/>
              </w:rPr>
              <w:t>Dow Jones Transportation Average™</w:t>
            </w:r>
          </w:p>
          <w:p w14:paraId="7F9FA46E" w14:textId="77777777" w:rsidR="0091786E" w:rsidRPr="00865195" w:rsidRDefault="0091786E" w:rsidP="00716523">
            <w:pPr>
              <w:pStyle w:val="ListParagraph"/>
              <w:numPr>
                <w:ilvl w:val="0"/>
                <w:numId w:val="6"/>
              </w:numPr>
              <w:ind w:left="216" w:hanging="216"/>
              <w:rPr>
                <w:rFonts w:ascii="Arial" w:hAnsi="Arial" w:cs="Arial"/>
                <w:sz w:val="20"/>
                <w:szCs w:val="20"/>
                <w:lang w:val="es-CL" w:eastAsia="ja-JP"/>
              </w:rPr>
            </w:pPr>
            <w:r w:rsidRPr="00865195">
              <w:rPr>
                <w:rFonts w:ascii="Arial" w:hAnsi="Arial" w:cs="Arial"/>
                <w:sz w:val="20"/>
                <w:szCs w:val="20"/>
                <w:lang w:val="es-CL"/>
              </w:rPr>
              <w:t>Dow Jones Utility Average™</w:t>
            </w:r>
          </w:p>
          <w:p w14:paraId="2A740E84" w14:textId="77777777" w:rsidR="0091786E" w:rsidRPr="00865195" w:rsidRDefault="0091786E" w:rsidP="00716523">
            <w:pPr>
              <w:pStyle w:val="ListParagraph"/>
              <w:numPr>
                <w:ilvl w:val="0"/>
                <w:numId w:val="6"/>
              </w:numPr>
              <w:ind w:left="216" w:hanging="216"/>
              <w:rPr>
                <w:rFonts w:ascii="Arial" w:hAnsi="Arial" w:cs="Arial"/>
                <w:sz w:val="20"/>
                <w:szCs w:val="20"/>
                <w:lang w:val="es-CL" w:eastAsia="ja-JP"/>
              </w:rPr>
            </w:pPr>
            <w:r w:rsidRPr="00865195">
              <w:rPr>
                <w:rFonts w:ascii="Arial" w:hAnsi="Arial" w:cs="Arial"/>
                <w:sz w:val="20"/>
                <w:szCs w:val="20"/>
                <w:lang w:val="es-CL"/>
              </w:rPr>
              <w:t>Dow Jones Composite Average™</w:t>
            </w:r>
          </w:p>
        </w:tc>
        <w:tc>
          <w:tcPr>
            <w:tcW w:w="4594" w:type="dxa"/>
            <w:tcBorders>
              <w:top w:val="single" w:sz="4" w:space="0" w:color="auto"/>
              <w:left w:val="nil"/>
              <w:right w:val="single" w:sz="4" w:space="0" w:color="auto"/>
            </w:tcBorders>
          </w:tcPr>
          <w:p w14:paraId="415DAFDA" w14:textId="77777777" w:rsidR="0091786E" w:rsidRPr="00865195" w:rsidRDefault="0091786E" w:rsidP="00716523">
            <w:pPr>
              <w:rPr>
                <w:rFonts w:ascii="Arial" w:hAnsi="Arial" w:cs="Arial"/>
                <w:sz w:val="20"/>
                <w:szCs w:val="20"/>
                <w:lang w:val="es-CL" w:eastAsia="ja-JP"/>
              </w:rPr>
            </w:pPr>
            <w:r w:rsidRPr="00865195">
              <w:rPr>
                <w:rFonts w:ascii="Arial" w:hAnsi="Arial" w:cs="Arial"/>
                <w:sz w:val="20"/>
                <w:szCs w:val="20"/>
                <w:lang w:val="es-CL"/>
              </w:rPr>
              <w:t>Ponderados por precio.</w:t>
            </w:r>
          </w:p>
        </w:tc>
      </w:tr>
      <w:tr w:rsidR="0091786E" w:rsidRPr="00B12CD9" w14:paraId="7D313A91" w14:textId="77777777" w:rsidTr="00716523">
        <w:trPr>
          <w:trHeight w:val="288"/>
        </w:trPr>
        <w:tc>
          <w:tcPr>
            <w:tcW w:w="4593" w:type="dxa"/>
            <w:tcBorders>
              <w:top w:val="single" w:sz="4" w:space="0" w:color="auto"/>
              <w:left w:val="single" w:sz="4" w:space="0" w:color="auto"/>
              <w:bottom w:val="single" w:sz="4" w:space="0" w:color="auto"/>
              <w:right w:val="single" w:sz="4" w:space="0" w:color="auto"/>
            </w:tcBorders>
          </w:tcPr>
          <w:p w14:paraId="77503512" w14:textId="77777777" w:rsidR="0091786E" w:rsidRPr="00865195" w:rsidRDefault="0091786E" w:rsidP="00716523">
            <w:pPr>
              <w:pStyle w:val="ListParagraph"/>
              <w:numPr>
                <w:ilvl w:val="0"/>
                <w:numId w:val="3"/>
              </w:numPr>
              <w:ind w:left="216" w:hanging="216"/>
              <w:rPr>
                <w:rFonts w:ascii="Arial" w:hAnsi="Arial" w:cs="Arial"/>
                <w:sz w:val="20"/>
                <w:szCs w:val="20"/>
                <w:lang w:eastAsia="ja-JP"/>
              </w:rPr>
            </w:pPr>
            <w:r w:rsidRPr="00865195">
              <w:rPr>
                <w:rFonts w:ascii="Arial" w:hAnsi="Arial" w:cs="Arial"/>
                <w:sz w:val="20"/>
                <w:szCs w:val="20"/>
              </w:rPr>
              <w:t>Dow Jones Industrial Average Equal Weight Index</w:t>
            </w:r>
          </w:p>
          <w:p w14:paraId="5B10DB50" w14:textId="77777777" w:rsidR="0091786E" w:rsidRPr="00865195" w:rsidRDefault="0091786E" w:rsidP="0091786E">
            <w:pPr>
              <w:pStyle w:val="ListParagraph"/>
              <w:ind w:left="216"/>
              <w:rPr>
                <w:rFonts w:ascii="Arial" w:hAnsi="Arial" w:cs="Arial"/>
                <w:sz w:val="20"/>
                <w:szCs w:val="20"/>
                <w:lang w:eastAsia="ja-JP"/>
              </w:rPr>
            </w:pPr>
          </w:p>
        </w:tc>
        <w:tc>
          <w:tcPr>
            <w:tcW w:w="4594" w:type="dxa"/>
            <w:tcBorders>
              <w:top w:val="single" w:sz="4" w:space="0" w:color="auto"/>
              <w:left w:val="nil"/>
              <w:bottom w:val="single" w:sz="4" w:space="0" w:color="auto"/>
              <w:right w:val="single" w:sz="4" w:space="0" w:color="auto"/>
            </w:tcBorders>
          </w:tcPr>
          <w:p w14:paraId="30BA7BEF" w14:textId="77777777" w:rsidR="0091786E" w:rsidRPr="00865195" w:rsidRDefault="0091786E" w:rsidP="0091786E">
            <w:pPr>
              <w:pStyle w:val="MethodologyText"/>
              <w:ind w:left="0" w:right="0"/>
              <w:rPr>
                <w:rFonts w:ascii="Arial" w:hAnsi="Arial" w:cs="Arial"/>
                <w:sz w:val="20"/>
                <w:szCs w:val="20"/>
                <w:lang w:val="es-CL"/>
              </w:rPr>
            </w:pPr>
            <w:r w:rsidRPr="00865195">
              <w:rPr>
                <w:rFonts w:ascii="Arial" w:hAnsi="Arial" w:cs="Arial"/>
                <w:sz w:val="20"/>
                <w:szCs w:val="20"/>
                <w:lang w:val="es-CL"/>
              </w:rPr>
              <w:t>El índice sigue el esquema de ponderación equitativa en dólares.</w:t>
            </w:r>
          </w:p>
        </w:tc>
      </w:tr>
      <w:tr w:rsidR="0091786E" w:rsidRPr="00701647" w14:paraId="5C9BA7A4" w14:textId="77777777" w:rsidTr="00716523">
        <w:trPr>
          <w:trHeight w:val="288"/>
        </w:trPr>
        <w:tc>
          <w:tcPr>
            <w:tcW w:w="4593" w:type="dxa"/>
            <w:tcBorders>
              <w:top w:val="single" w:sz="4" w:space="0" w:color="auto"/>
              <w:left w:val="single" w:sz="4" w:space="0" w:color="auto"/>
              <w:bottom w:val="single" w:sz="4" w:space="0" w:color="auto"/>
              <w:right w:val="single" w:sz="4" w:space="0" w:color="auto"/>
            </w:tcBorders>
          </w:tcPr>
          <w:p w14:paraId="64A0B619" w14:textId="77777777" w:rsidR="0091786E" w:rsidRPr="00865195" w:rsidRDefault="0091786E" w:rsidP="00716523">
            <w:pPr>
              <w:pStyle w:val="ListParagraph"/>
              <w:numPr>
                <w:ilvl w:val="0"/>
                <w:numId w:val="3"/>
              </w:numPr>
              <w:ind w:left="216" w:hanging="216"/>
              <w:rPr>
                <w:rFonts w:ascii="Arial" w:hAnsi="Arial" w:cs="Arial"/>
                <w:sz w:val="20"/>
                <w:szCs w:val="20"/>
              </w:rPr>
            </w:pPr>
            <w:r w:rsidRPr="00865195">
              <w:rPr>
                <w:rFonts w:ascii="Arial" w:hAnsi="Arial" w:cs="Arial"/>
                <w:sz w:val="20"/>
                <w:szCs w:val="20"/>
              </w:rPr>
              <w:t>Dow Jones Industrial Average Yield Weighted</w:t>
            </w:r>
          </w:p>
        </w:tc>
        <w:tc>
          <w:tcPr>
            <w:tcW w:w="4594" w:type="dxa"/>
            <w:tcBorders>
              <w:top w:val="single" w:sz="4" w:space="0" w:color="auto"/>
              <w:left w:val="nil"/>
              <w:bottom w:val="single" w:sz="4" w:space="0" w:color="auto"/>
              <w:right w:val="single" w:sz="4" w:space="0" w:color="auto"/>
            </w:tcBorders>
          </w:tcPr>
          <w:p w14:paraId="0476CCCE" w14:textId="77777777" w:rsidR="0091786E" w:rsidRPr="00865195" w:rsidRDefault="0091786E" w:rsidP="0091786E">
            <w:pPr>
              <w:pStyle w:val="MethodologyText"/>
              <w:ind w:left="0" w:right="0"/>
              <w:rPr>
                <w:rFonts w:ascii="Arial" w:hAnsi="Arial" w:cs="Arial"/>
                <w:sz w:val="20"/>
                <w:szCs w:val="20"/>
                <w:lang w:val="es-CL"/>
              </w:rPr>
            </w:pPr>
            <w:r w:rsidRPr="00865195">
              <w:rPr>
                <w:rFonts w:ascii="Arial" w:hAnsi="Arial" w:cs="Arial"/>
                <w:sz w:val="20"/>
                <w:szCs w:val="20"/>
                <w:lang w:val="es-CL"/>
              </w:rPr>
              <w:t>Ponderado por rendimiento.</w:t>
            </w:r>
          </w:p>
        </w:tc>
      </w:tr>
    </w:tbl>
    <w:p w14:paraId="5A7B303E" w14:textId="77777777" w:rsidR="0091786E" w:rsidRPr="00865195" w:rsidRDefault="0091786E" w:rsidP="00E65404">
      <w:pPr>
        <w:pStyle w:val="Heading2"/>
        <w:ind w:left="720"/>
        <w:rPr>
          <w:rFonts w:ascii="Arial" w:hAnsi="Arial" w:cs="Arial"/>
          <w:sz w:val="20"/>
          <w:lang w:val="es-CL"/>
        </w:rPr>
      </w:pPr>
      <w:bookmarkStart w:id="17" w:name="_Toc198540686"/>
      <w:r w:rsidRPr="00865195">
        <w:rPr>
          <w:rFonts w:ascii="Arial" w:hAnsi="Arial" w:cs="Arial"/>
          <w:sz w:val="20"/>
          <w:lang w:val="es-CL"/>
        </w:rPr>
        <w:t>Eventos Corporativos</w:t>
      </w:r>
      <w:bookmarkEnd w:id="17"/>
    </w:p>
    <w:p w14:paraId="42F6A96B" w14:textId="6AD72D6C" w:rsidR="0091786E" w:rsidRPr="00BB07CB" w:rsidRDefault="0091786E" w:rsidP="00BB07CB">
      <w:pPr>
        <w:pStyle w:val="ListParagraph"/>
        <w:spacing w:after="200"/>
        <w:ind w:right="720"/>
        <w:rPr>
          <w:rFonts w:ascii="Arial" w:hAnsi="Arial" w:cs="Arial"/>
          <w:bCs/>
          <w:sz w:val="20"/>
          <w:lang w:val="es-MX"/>
        </w:rPr>
      </w:pPr>
      <w:r w:rsidRPr="0091786E">
        <w:rPr>
          <w:rFonts w:ascii="Arial" w:hAnsi="Arial" w:cs="Arial"/>
          <w:bCs/>
          <w:sz w:val="20"/>
          <w:lang w:val="es-MX"/>
        </w:rPr>
        <w:t>Para obtener mayor informaci</w:t>
      </w:r>
      <w:r w:rsidR="00BB07CB">
        <w:rPr>
          <w:rFonts w:ascii="Arial" w:hAnsi="Arial" w:cs="Arial"/>
          <w:bCs/>
          <w:sz w:val="20"/>
          <w:lang w:val="es-MX"/>
        </w:rPr>
        <w:t>ón acerca del tratamiento de Eventos Corporativos, consulte las secciones Índices de Ponderación Equitativa e Índices Ponderados por Límites en la Capitalización de Mercado de</w:t>
      </w:r>
      <w:r w:rsidR="00E3182B">
        <w:rPr>
          <w:rFonts w:ascii="Arial" w:hAnsi="Arial" w:cs="Arial"/>
          <w:bCs/>
          <w:sz w:val="20"/>
          <w:lang w:val="es-MX"/>
        </w:rPr>
        <w:t xml:space="preserve"> la</w:t>
      </w:r>
      <w:r w:rsidR="00BB07CB">
        <w:rPr>
          <w:rFonts w:ascii="Arial" w:hAnsi="Arial" w:cs="Arial"/>
          <w:bCs/>
          <w:sz w:val="20"/>
          <w:lang w:val="es-MX"/>
        </w:rPr>
        <w:t xml:space="preserve"> </w:t>
      </w:r>
      <w:r w:rsidR="00E3182B">
        <w:rPr>
          <w:rFonts w:ascii="Arial" w:hAnsi="Arial" w:cs="Arial"/>
          <w:bCs/>
          <w:sz w:val="20"/>
          <w:lang w:val="es-MX"/>
        </w:rPr>
        <w:t>Metodología de las</w:t>
      </w:r>
      <w:r w:rsidR="00BB07CB">
        <w:rPr>
          <w:rFonts w:ascii="Arial" w:hAnsi="Arial" w:cs="Arial"/>
          <w:bCs/>
          <w:sz w:val="20"/>
          <w:lang w:val="es-MX"/>
        </w:rPr>
        <w:t xml:space="preserve"> </w:t>
      </w:r>
      <w:r w:rsidR="00E3182B">
        <w:rPr>
          <w:rFonts w:ascii="Arial" w:hAnsi="Arial" w:cs="Arial"/>
          <w:bCs/>
          <w:sz w:val="20"/>
          <w:lang w:val="es-MX"/>
        </w:rPr>
        <w:t>Políticas y Prácticas de</w:t>
      </w:r>
      <w:r w:rsidR="00BB07CB">
        <w:rPr>
          <w:rFonts w:ascii="Arial" w:hAnsi="Arial" w:cs="Arial"/>
          <w:bCs/>
          <w:sz w:val="20"/>
          <w:lang w:val="es-MX"/>
        </w:rPr>
        <w:t xml:space="preserve"> los Índices de </w:t>
      </w:r>
      <w:r w:rsidR="00E3182B">
        <w:rPr>
          <w:rFonts w:ascii="Arial" w:hAnsi="Arial" w:cs="Arial"/>
          <w:bCs/>
          <w:sz w:val="20"/>
          <w:lang w:val="es-MX"/>
        </w:rPr>
        <w:t xml:space="preserve">Renta Variable de </w:t>
      </w:r>
      <w:r w:rsidR="00BB07CB">
        <w:rPr>
          <w:rFonts w:ascii="Arial" w:hAnsi="Arial" w:cs="Arial"/>
          <w:bCs/>
          <w:sz w:val="20"/>
          <w:lang w:val="es-MX"/>
        </w:rPr>
        <w:t>S&amp;P Dow Jones Indices.</w:t>
      </w:r>
    </w:p>
    <w:p w14:paraId="0BCE411F" w14:textId="77777777" w:rsidR="0091786E" w:rsidRDefault="0091786E" w:rsidP="0091786E">
      <w:pPr>
        <w:pStyle w:val="MethodologyText"/>
        <w:ind w:left="720"/>
        <w:rPr>
          <w:rFonts w:ascii="Arial" w:hAnsi="Arial" w:cs="Arial"/>
          <w:sz w:val="20"/>
          <w:lang w:val="es-CL"/>
        </w:rPr>
      </w:pPr>
      <w:r>
        <w:rPr>
          <w:rFonts w:ascii="Arial" w:hAnsi="Arial" w:cs="Arial"/>
          <w:b/>
          <w:sz w:val="20"/>
          <w:lang w:val="es-CL"/>
        </w:rPr>
        <w:t xml:space="preserve">Escisiones. </w:t>
      </w:r>
      <w:r>
        <w:rPr>
          <w:rFonts w:ascii="Arial" w:hAnsi="Arial" w:cs="Arial"/>
          <w:sz w:val="20"/>
          <w:lang w:val="es-CL"/>
        </w:rPr>
        <w:t>El Comité del Índice evalúa caso por caso cualquier impacto potencial de este evento corporativo en la constitución de los índices.</w:t>
      </w:r>
    </w:p>
    <w:p w14:paraId="02A4EE2C" w14:textId="77777777" w:rsidR="0091786E" w:rsidRPr="007D240B" w:rsidRDefault="0091786E" w:rsidP="0091786E">
      <w:pPr>
        <w:pStyle w:val="MethodologyText"/>
        <w:ind w:left="720"/>
        <w:rPr>
          <w:rFonts w:ascii="Arial" w:hAnsi="Arial" w:cs="Arial"/>
          <w:b/>
          <w:sz w:val="20"/>
          <w:lang w:val="es-ES_tradnl"/>
        </w:rPr>
      </w:pPr>
    </w:p>
    <w:tbl>
      <w:tblPr>
        <w:tblStyle w:val="TableGrid"/>
        <w:tblW w:w="0" w:type="auto"/>
        <w:tblInd w:w="828" w:type="dxa"/>
        <w:tblLook w:val="04A0" w:firstRow="1" w:lastRow="0" w:firstColumn="1" w:lastColumn="0" w:noHBand="0" w:noVBand="1"/>
      </w:tblPr>
      <w:tblGrid>
        <w:gridCol w:w="4410"/>
        <w:gridCol w:w="4770"/>
      </w:tblGrid>
      <w:tr w:rsidR="0091786E" w:rsidRPr="004B0FD6" w14:paraId="5D0D22CE" w14:textId="77777777" w:rsidTr="006D1850">
        <w:trPr>
          <w:tblHeader/>
        </w:trPr>
        <w:tc>
          <w:tcPr>
            <w:tcW w:w="4410" w:type="dxa"/>
            <w:shd w:val="clear" w:color="auto" w:fill="000000" w:themeFill="text1"/>
          </w:tcPr>
          <w:p w14:paraId="0C51D266" w14:textId="77777777" w:rsidR="0091786E" w:rsidRPr="002F5EC9" w:rsidRDefault="0091786E" w:rsidP="00716523">
            <w:pPr>
              <w:pStyle w:val="MethodologyText"/>
              <w:ind w:left="0"/>
              <w:jc w:val="center"/>
              <w:rPr>
                <w:rFonts w:ascii="Arial" w:hAnsi="Arial" w:cs="Arial"/>
                <w:b/>
                <w:color w:val="FFFFFF" w:themeColor="background1"/>
                <w:sz w:val="18"/>
                <w:szCs w:val="22"/>
                <w:lang w:eastAsia="ja-JP"/>
              </w:rPr>
            </w:pPr>
            <w:r w:rsidRPr="007D240B">
              <w:rPr>
                <w:rFonts w:ascii="Arial" w:hAnsi="Arial" w:cs="Arial"/>
                <w:b/>
                <w:color w:val="FFFFFF" w:themeColor="background1"/>
                <w:sz w:val="18"/>
                <w:szCs w:val="22"/>
                <w:lang w:val="es-ES_tradnl" w:eastAsia="ja-JP"/>
              </w:rPr>
              <w:t>Índice</w:t>
            </w:r>
          </w:p>
        </w:tc>
        <w:tc>
          <w:tcPr>
            <w:tcW w:w="4770" w:type="dxa"/>
            <w:shd w:val="clear" w:color="auto" w:fill="000000" w:themeFill="text1"/>
          </w:tcPr>
          <w:p w14:paraId="3A014050" w14:textId="77777777" w:rsidR="0091786E" w:rsidRPr="002F5EC9" w:rsidRDefault="0091786E" w:rsidP="00716523">
            <w:pPr>
              <w:pStyle w:val="MethodologyText"/>
              <w:ind w:left="0"/>
              <w:jc w:val="center"/>
              <w:rPr>
                <w:rFonts w:ascii="Arial" w:hAnsi="Arial" w:cs="Arial"/>
                <w:b/>
                <w:color w:val="FFFFFF" w:themeColor="background1"/>
                <w:sz w:val="18"/>
                <w:szCs w:val="22"/>
                <w:lang w:eastAsia="ja-JP"/>
              </w:rPr>
            </w:pPr>
            <w:r>
              <w:rPr>
                <w:rFonts w:ascii="Arial" w:hAnsi="Arial" w:cs="Arial"/>
                <w:b/>
                <w:color w:val="FFFFFF" w:themeColor="background1"/>
                <w:sz w:val="18"/>
                <w:szCs w:val="22"/>
                <w:lang w:eastAsia="ja-JP"/>
              </w:rPr>
              <w:t>Tratamiento</w:t>
            </w:r>
          </w:p>
        </w:tc>
      </w:tr>
      <w:tr w:rsidR="0091786E" w:rsidRPr="00701647" w14:paraId="06135C42" w14:textId="77777777" w:rsidTr="00E65404">
        <w:tc>
          <w:tcPr>
            <w:tcW w:w="4410" w:type="dxa"/>
          </w:tcPr>
          <w:p w14:paraId="5BFD1D04" w14:textId="77777777" w:rsidR="0091786E" w:rsidRPr="00865195" w:rsidRDefault="0091786E" w:rsidP="00716523">
            <w:pPr>
              <w:pStyle w:val="ListParagraph"/>
              <w:numPr>
                <w:ilvl w:val="0"/>
                <w:numId w:val="18"/>
              </w:numPr>
              <w:spacing w:before="10"/>
              <w:ind w:left="360" w:right="-14"/>
              <w:rPr>
                <w:rFonts w:ascii="Arial" w:eastAsia="Arial" w:hAnsi="Arial" w:cs="Arial"/>
                <w:sz w:val="17"/>
                <w:szCs w:val="17"/>
              </w:rPr>
            </w:pPr>
            <w:r w:rsidRPr="00865195">
              <w:rPr>
                <w:rFonts w:ascii="Arial" w:eastAsia="Arial" w:hAnsi="Arial" w:cs="Arial"/>
                <w:sz w:val="17"/>
                <w:szCs w:val="17"/>
              </w:rPr>
              <w:t>D</w:t>
            </w:r>
            <w:r w:rsidRPr="00865195">
              <w:rPr>
                <w:rFonts w:ascii="Arial" w:eastAsia="Arial" w:hAnsi="Arial" w:cs="Arial"/>
                <w:spacing w:val="2"/>
                <w:sz w:val="17"/>
                <w:szCs w:val="17"/>
              </w:rPr>
              <w:t>o</w:t>
            </w:r>
            <w:r w:rsidRPr="00865195">
              <w:rPr>
                <w:rFonts w:ascii="Arial" w:eastAsia="Arial" w:hAnsi="Arial" w:cs="Arial"/>
                <w:sz w:val="17"/>
                <w:szCs w:val="17"/>
              </w:rPr>
              <w:t>w</w:t>
            </w:r>
            <w:r w:rsidRPr="00865195">
              <w:rPr>
                <w:rFonts w:ascii="Arial" w:eastAsia="Arial" w:hAnsi="Arial" w:cs="Arial"/>
                <w:spacing w:val="-7"/>
                <w:sz w:val="17"/>
                <w:szCs w:val="17"/>
              </w:rPr>
              <w:t xml:space="preserve"> </w:t>
            </w:r>
            <w:r w:rsidRPr="00865195">
              <w:rPr>
                <w:rFonts w:ascii="Arial" w:eastAsia="Arial" w:hAnsi="Arial" w:cs="Arial"/>
                <w:spacing w:val="1"/>
                <w:sz w:val="17"/>
                <w:szCs w:val="17"/>
              </w:rPr>
              <w:t>J</w:t>
            </w:r>
            <w:r w:rsidRPr="00865195">
              <w:rPr>
                <w:rFonts w:ascii="Arial" w:eastAsia="Arial" w:hAnsi="Arial" w:cs="Arial"/>
                <w:sz w:val="17"/>
                <w:szCs w:val="17"/>
              </w:rPr>
              <w:t>o</w:t>
            </w:r>
            <w:r w:rsidRPr="00865195">
              <w:rPr>
                <w:rFonts w:ascii="Arial" w:eastAsia="Arial" w:hAnsi="Arial" w:cs="Arial"/>
                <w:spacing w:val="2"/>
                <w:sz w:val="17"/>
                <w:szCs w:val="17"/>
              </w:rPr>
              <w:t>n</w:t>
            </w:r>
            <w:r w:rsidRPr="00865195">
              <w:rPr>
                <w:rFonts w:ascii="Arial" w:eastAsia="Arial" w:hAnsi="Arial" w:cs="Arial"/>
                <w:sz w:val="17"/>
                <w:szCs w:val="17"/>
              </w:rPr>
              <w:t>es</w:t>
            </w:r>
            <w:r w:rsidRPr="00865195">
              <w:rPr>
                <w:rFonts w:ascii="Arial" w:eastAsia="Arial" w:hAnsi="Arial" w:cs="Arial"/>
                <w:spacing w:val="-4"/>
                <w:sz w:val="17"/>
                <w:szCs w:val="17"/>
              </w:rPr>
              <w:t xml:space="preserve"> </w:t>
            </w:r>
            <w:r w:rsidRPr="00865195">
              <w:rPr>
                <w:rFonts w:ascii="Arial" w:eastAsia="Arial" w:hAnsi="Arial" w:cs="Arial"/>
                <w:sz w:val="17"/>
                <w:szCs w:val="17"/>
              </w:rPr>
              <w:t>In</w:t>
            </w:r>
            <w:r w:rsidRPr="00865195">
              <w:rPr>
                <w:rFonts w:ascii="Arial" w:eastAsia="Arial" w:hAnsi="Arial" w:cs="Arial"/>
                <w:spacing w:val="2"/>
                <w:sz w:val="17"/>
                <w:szCs w:val="17"/>
              </w:rPr>
              <w:t>d</w:t>
            </w:r>
            <w:r w:rsidRPr="00865195">
              <w:rPr>
                <w:rFonts w:ascii="Arial" w:eastAsia="Arial" w:hAnsi="Arial" w:cs="Arial"/>
                <w:sz w:val="17"/>
                <w:szCs w:val="17"/>
              </w:rPr>
              <w:t>u</w:t>
            </w:r>
            <w:r w:rsidRPr="00865195">
              <w:rPr>
                <w:rFonts w:ascii="Arial" w:eastAsia="Arial" w:hAnsi="Arial" w:cs="Arial"/>
                <w:spacing w:val="1"/>
                <w:sz w:val="17"/>
                <w:szCs w:val="17"/>
              </w:rPr>
              <w:t>s</w:t>
            </w:r>
            <w:r w:rsidRPr="00865195">
              <w:rPr>
                <w:rFonts w:ascii="Arial" w:eastAsia="Arial" w:hAnsi="Arial" w:cs="Arial"/>
                <w:sz w:val="17"/>
                <w:szCs w:val="17"/>
              </w:rPr>
              <w:t>t</w:t>
            </w:r>
            <w:r w:rsidRPr="00865195">
              <w:rPr>
                <w:rFonts w:ascii="Arial" w:eastAsia="Arial" w:hAnsi="Arial" w:cs="Arial"/>
                <w:spacing w:val="1"/>
                <w:sz w:val="17"/>
                <w:szCs w:val="17"/>
              </w:rPr>
              <w:t>r</w:t>
            </w:r>
            <w:r w:rsidRPr="00865195">
              <w:rPr>
                <w:rFonts w:ascii="Arial" w:eastAsia="Arial" w:hAnsi="Arial" w:cs="Arial"/>
                <w:spacing w:val="-1"/>
                <w:sz w:val="17"/>
                <w:szCs w:val="17"/>
              </w:rPr>
              <w:t>i</w:t>
            </w:r>
            <w:r w:rsidRPr="00865195">
              <w:rPr>
                <w:rFonts w:ascii="Arial" w:eastAsia="Arial" w:hAnsi="Arial" w:cs="Arial"/>
                <w:spacing w:val="2"/>
                <w:sz w:val="17"/>
                <w:szCs w:val="17"/>
              </w:rPr>
              <w:t>a</w:t>
            </w:r>
            <w:r w:rsidRPr="00865195">
              <w:rPr>
                <w:rFonts w:ascii="Arial" w:eastAsia="Arial" w:hAnsi="Arial" w:cs="Arial"/>
                <w:sz w:val="17"/>
                <w:szCs w:val="17"/>
              </w:rPr>
              <w:t>l</w:t>
            </w:r>
            <w:r w:rsidRPr="00865195">
              <w:rPr>
                <w:rFonts w:ascii="Arial" w:eastAsia="Arial" w:hAnsi="Arial" w:cs="Arial"/>
                <w:spacing w:val="-9"/>
                <w:sz w:val="17"/>
                <w:szCs w:val="17"/>
              </w:rPr>
              <w:t xml:space="preserve"> </w:t>
            </w:r>
            <w:r w:rsidRPr="00865195">
              <w:rPr>
                <w:rFonts w:ascii="Arial" w:eastAsia="Arial" w:hAnsi="Arial" w:cs="Arial"/>
                <w:spacing w:val="2"/>
                <w:sz w:val="17"/>
                <w:szCs w:val="17"/>
              </w:rPr>
              <w:t>A</w:t>
            </w:r>
            <w:r w:rsidRPr="00865195">
              <w:rPr>
                <w:rFonts w:ascii="Arial" w:eastAsia="Arial" w:hAnsi="Arial" w:cs="Arial"/>
                <w:spacing w:val="-1"/>
                <w:sz w:val="17"/>
                <w:szCs w:val="17"/>
              </w:rPr>
              <w:t>v</w:t>
            </w:r>
            <w:r w:rsidRPr="00865195">
              <w:rPr>
                <w:rFonts w:ascii="Arial" w:eastAsia="Arial" w:hAnsi="Arial" w:cs="Arial"/>
                <w:sz w:val="17"/>
                <w:szCs w:val="17"/>
              </w:rPr>
              <w:t>e</w:t>
            </w:r>
            <w:r w:rsidRPr="00865195">
              <w:rPr>
                <w:rFonts w:ascii="Arial" w:eastAsia="Arial" w:hAnsi="Arial" w:cs="Arial"/>
                <w:spacing w:val="1"/>
                <w:sz w:val="17"/>
                <w:szCs w:val="17"/>
              </w:rPr>
              <w:t>r</w:t>
            </w:r>
            <w:r w:rsidRPr="00865195">
              <w:rPr>
                <w:rFonts w:ascii="Arial" w:eastAsia="Arial" w:hAnsi="Arial" w:cs="Arial"/>
                <w:spacing w:val="2"/>
                <w:sz w:val="17"/>
                <w:szCs w:val="17"/>
              </w:rPr>
              <w:t>a</w:t>
            </w:r>
            <w:r w:rsidRPr="00865195">
              <w:rPr>
                <w:rFonts w:ascii="Arial" w:eastAsia="Arial" w:hAnsi="Arial" w:cs="Arial"/>
                <w:sz w:val="17"/>
                <w:szCs w:val="17"/>
              </w:rPr>
              <w:t>ge™</w:t>
            </w:r>
          </w:p>
          <w:p w14:paraId="184EF6AD" w14:textId="77777777" w:rsidR="0091786E" w:rsidRPr="00865195" w:rsidRDefault="0091786E" w:rsidP="00716523">
            <w:pPr>
              <w:pStyle w:val="ListParagraph"/>
              <w:numPr>
                <w:ilvl w:val="0"/>
                <w:numId w:val="18"/>
              </w:numPr>
              <w:spacing w:before="14"/>
              <w:ind w:left="360" w:right="-20"/>
              <w:rPr>
                <w:rFonts w:ascii="Arial" w:eastAsia="Arial" w:hAnsi="Arial" w:cs="Arial"/>
                <w:sz w:val="17"/>
                <w:szCs w:val="17"/>
              </w:rPr>
            </w:pPr>
            <w:r w:rsidRPr="00865195">
              <w:rPr>
                <w:rFonts w:ascii="Arial" w:eastAsia="Arial" w:hAnsi="Arial" w:cs="Arial"/>
                <w:sz w:val="17"/>
                <w:szCs w:val="17"/>
              </w:rPr>
              <w:t>D</w:t>
            </w:r>
            <w:r w:rsidRPr="00865195">
              <w:rPr>
                <w:rFonts w:ascii="Arial" w:eastAsia="Arial" w:hAnsi="Arial" w:cs="Arial"/>
                <w:spacing w:val="2"/>
                <w:sz w:val="17"/>
                <w:szCs w:val="17"/>
              </w:rPr>
              <w:t>o</w:t>
            </w:r>
            <w:r w:rsidRPr="00865195">
              <w:rPr>
                <w:rFonts w:ascii="Arial" w:eastAsia="Arial" w:hAnsi="Arial" w:cs="Arial"/>
                <w:sz w:val="17"/>
                <w:szCs w:val="17"/>
              </w:rPr>
              <w:t>w</w:t>
            </w:r>
            <w:r w:rsidRPr="00865195">
              <w:rPr>
                <w:rFonts w:ascii="Arial" w:eastAsia="Arial" w:hAnsi="Arial" w:cs="Arial"/>
                <w:spacing w:val="-7"/>
                <w:sz w:val="17"/>
                <w:szCs w:val="17"/>
              </w:rPr>
              <w:t xml:space="preserve"> </w:t>
            </w:r>
            <w:r w:rsidRPr="00865195">
              <w:rPr>
                <w:rFonts w:ascii="Arial" w:eastAsia="Arial" w:hAnsi="Arial" w:cs="Arial"/>
                <w:spacing w:val="1"/>
                <w:sz w:val="17"/>
                <w:szCs w:val="17"/>
              </w:rPr>
              <w:t>J</w:t>
            </w:r>
            <w:r w:rsidRPr="00865195">
              <w:rPr>
                <w:rFonts w:ascii="Arial" w:eastAsia="Arial" w:hAnsi="Arial" w:cs="Arial"/>
                <w:sz w:val="17"/>
                <w:szCs w:val="17"/>
              </w:rPr>
              <w:t>o</w:t>
            </w:r>
            <w:r w:rsidRPr="00865195">
              <w:rPr>
                <w:rFonts w:ascii="Arial" w:eastAsia="Arial" w:hAnsi="Arial" w:cs="Arial"/>
                <w:spacing w:val="2"/>
                <w:sz w:val="17"/>
                <w:szCs w:val="17"/>
              </w:rPr>
              <w:t>n</w:t>
            </w:r>
            <w:r w:rsidRPr="00865195">
              <w:rPr>
                <w:rFonts w:ascii="Arial" w:eastAsia="Arial" w:hAnsi="Arial" w:cs="Arial"/>
                <w:sz w:val="17"/>
                <w:szCs w:val="17"/>
              </w:rPr>
              <w:t>es</w:t>
            </w:r>
            <w:r w:rsidRPr="00865195">
              <w:rPr>
                <w:rFonts w:ascii="Arial" w:eastAsia="Arial" w:hAnsi="Arial" w:cs="Arial"/>
                <w:spacing w:val="-4"/>
                <w:sz w:val="17"/>
                <w:szCs w:val="17"/>
              </w:rPr>
              <w:t xml:space="preserve"> </w:t>
            </w:r>
            <w:r w:rsidRPr="00865195">
              <w:rPr>
                <w:rFonts w:ascii="Arial" w:eastAsia="Arial" w:hAnsi="Arial" w:cs="Arial"/>
                <w:spacing w:val="3"/>
                <w:sz w:val="17"/>
                <w:szCs w:val="17"/>
              </w:rPr>
              <w:t>T</w:t>
            </w:r>
            <w:r w:rsidRPr="00865195">
              <w:rPr>
                <w:rFonts w:ascii="Arial" w:eastAsia="Arial" w:hAnsi="Arial" w:cs="Arial"/>
                <w:spacing w:val="1"/>
                <w:sz w:val="17"/>
                <w:szCs w:val="17"/>
              </w:rPr>
              <w:t>r</w:t>
            </w:r>
            <w:r w:rsidRPr="00865195">
              <w:rPr>
                <w:rFonts w:ascii="Arial" w:eastAsia="Arial" w:hAnsi="Arial" w:cs="Arial"/>
                <w:sz w:val="17"/>
                <w:szCs w:val="17"/>
              </w:rPr>
              <w:t>an</w:t>
            </w:r>
            <w:r w:rsidRPr="00865195">
              <w:rPr>
                <w:rFonts w:ascii="Arial" w:eastAsia="Arial" w:hAnsi="Arial" w:cs="Arial"/>
                <w:spacing w:val="1"/>
                <w:sz w:val="17"/>
                <w:szCs w:val="17"/>
              </w:rPr>
              <w:t>s</w:t>
            </w:r>
            <w:r w:rsidRPr="00865195">
              <w:rPr>
                <w:rFonts w:ascii="Arial" w:eastAsia="Arial" w:hAnsi="Arial" w:cs="Arial"/>
                <w:sz w:val="17"/>
                <w:szCs w:val="17"/>
              </w:rPr>
              <w:t>po</w:t>
            </w:r>
            <w:r w:rsidRPr="00865195">
              <w:rPr>
                <w:rFonts w:ascii="Arial" w:eastAsia="Arial" w:hAnsi="Arial" w:cs="Arial"/>
                <w:spacing w:val="1"/>
                <w:sz w:val="17"/>
                <w:szCs w:val="17"/>
              </w:rPr>
              <w:t>r</w:t>
            </w:r>
            <w:r w:rsidRPr="00865195">
              <w:rPr>
                <w:rFonts w:ascii="Arial" w:eastAsia="Arial" w:hAnsi="Arial" w:cs="Arial"/>
                <w:sz w:val="17"/>
                <w:szCs w:val="17"/>
              </w:rPr>
              <w:t>tat</w:t>
            </w:r>
            <w:r w:rsidRPr="00865195">
              <w:rPr>
                <w:rFonts w:ascii="Arial" w:eastAsia="Arial" w:hAnsi="Arial" w:cs="Arial"/>
                <w:spacing w:val="-1"/>
                <w:sz w:val="17"/>
                <w:szCs w:val="17"/>
              </w:rPr>
              <w:t>i</w:t>
            </w:r>
            <w:r w:rsidRPr="00865195">
              <w:rPr>
                <w:rFonts w:ascii="Arial" w:eastAsia="Arial" w:hAnsi="Arial" w:cs="Arial"/>
                <w:spacing w:val="2"/>
                <w:sz w:val="17"/>
                <w:szCs w:val="17"/>
              </w:rPr>
              <w:t>o</w:t>
            </w:r>
            <w:r w:rsidRPr="00865195">
              <w:rPr>
                <w:rFonts w:ascii="Arial" w:eastAsia="Arial" w:hAnsi="Arial" w:cs="Arial"/>
                <w:sz w:val="17"/>
                <w:szCs w:val="17"/>
              </w:rPr>
              <w:t>n</w:t>
            </w:r>
            <w:r w:rsidRPr="00865195">
              <w:rPr>
                <w:rFonts w:ascii="Arial" w:eastAsia="Arial" w:hAnsi="Arial" w:cs="Arial"/>
                <w:spacing w:val="-11"/>
                <w:sz w:val="17"/>
                <w:szCs w:val="17"/>
              </w:rPr>
              <w:t xml:space="preserve"> </w:t>
            </w:r>
            <w:r w:rsidRPr="00865195">
              <w:rPr>
                <w:rFonts w:ascii="Arial" w:eastAsia="Arial" w:hAnsi="Arial" w:cs="Arial"/>
                <w:spacing w:val="-1"/>
                <w:sz w:val="17"/>
                <w:szCs w:val="17"/>
              </w:rPr>
              <w:t>A</w:t>
            </w:r>
            <w:r w:rsidRPr="00865195">
              <w:rPr>
                <w:rFonts w:ascii="Arial" w:eastAsia="Arial" w:hAnsi="Arial" w:cs="Arial"/>
                <w:spacing w:val="1"/>
                <w:sz w:val="17"/>
                <w:szCs w:val="17"/>
              </w:rPr>
              <w:t>v</w:t>
            </w:r>
            <w:r w:rsidRPr="00865195">
              <w:rPr>
                <w:rFonts w:ascii="Arial" w:eastAsia="Arial" w:hAnsi="Arial" w:cs="Arial"/>
                <w:sz w:val="17"/>
                <w:szCs w:val="17"/>
              </w:rPr>
              <w:t>e</w:t>
            </w:r>
            <w:r w:rsidRPr="00865195">
              <w:rPr>
                <w:rFonts w:ascii="Arial" w:eastAsia="Arial" w:hAnsi="Arial" w:cs="Arial"/>
                <w:spacing w:val="1"/>
                <w:sz w:val="17"/>
                <w:szCs w:val="17"/>
              </w:rPr>
              <w:t>r</w:t>
            </w:r>
            <w:r w:rsidRPr="00865195">
              <w:rPr>
                <w:rFonts w:ascii="Arial" w:eastAsia="Arial" w:hAnsi="Arial" w:cs="Arial"/>
                <w:sz w:val="17"/>
                <w:szCs w:val="17"/>
              </w:rPr>
              <w:t>ag</w:t>
            </w:r>
            <w:r w:rsidRPr="00865195">
              <w:rPr>
                <w:rFonts w:ascii="Arial" w:eastAsia="Arial" w:hAnsi="Arial" w:cs="Arial"/>
                <w:spacing w:val="2"/>
                <w:sz w:val="17"/>
                <w:szCs w:val="17"/>
              </w:rPr>
              <w:t>e</w:t>
            </w:r>
            <w:r w:rsidRPr="00865195">
              <w:rPr>
                <w:rFonts w:ascii="Arial" w:eastAsia="Arial" w:hAnsi="Arial" w:cs="Arial"/>
                <w:sz w:val="17"/>
                <w:szCs w:val="17"/>
              </w:rPr>
              <w:t>™</w:t>
            </w:r>
          </w:p>
          <w:p w14:paraId="285A049F" w14:textId="77777777" w:rsidR="0091786E" w:rsidRPr="00865195" w:rsidRDefault="0091786E" w:rsidP="00716523">
            <w:pPr>
              <w:pStyle w:val="ListParagraph"/>
              <w:numPr>
                <w:ilvl w:val="0"/>
                <w:numId w:val="18"/>
              </w:numPr>
              <w:spacing w:before="11"/>
              <w:ind w:left="360" w:right="-20"/>
              <w:rPr>
                <w:rFonts w:ascii="Arial" w:eastAsia="Arial" w:hAnsi="Arial" w:cs="Arial"/>
                <w:sz w:val="17"/>
                <w:szCs w:val="17"/>
              </w:rPr>
            </w:pPr>
            <w:r w:rsidRPr="00865195">
              <w:rPr>
                <w:rFonts w:ascii="Arial" w:eastAsia="Arial" w:hAnsi="Arial" w:cs="Arial"/>
                <w:sz w:val="17"/>
                <w:szCs w:val="17"/>
              </w:rPr>
              <w:t>D</w:t>
            </w:r>
            <w:r w:rsidRPr="00865195">
              <w:rPr>
                <w:rFonts w:ascii="Arial" w:eastAsia="Arial" w:hAnsi="Arial" w:cs="Arial"/>
                <w:spacing w:val="2"/>
                <w:sz w:val="17"/>
                <w:szCs w:val="17"/>
              </w:rPr>
              <w:t>o</w:t>
            </w:r>
            <w:r w:rsidRPr="00865195">
              <w:rPr>
                <w:rFonts w:ascii="Arial" w:eastAsia="Arial" w:hAnsi="Arial" w:cs="Arial"/>
                <w:sz w:val="17"/>
                <w:szCs w:val="17"/>
              </w:rPr>
              <w:t>w</w:t>
            </w:r>
            <w:r w:rsidRPr="00865195">
              <w:rPr>
                <w:rFonts w:ascii="Arial" w:eastAsia="Arial" w:hAnsi="Arial" w:cs="Arial"/>
                <w:spacing w:val="-7"/>
                <w:sz w:val="17"/>
                <w:szCs w:val="17"/>
              </w:rPr>
              <w:t xml:space="preserve"> </w:t>
            </w:r>
            <w:r w:rsidRPr="00865195">
              <w:rPr>
                <w:rFonts w:ascii="Arial" w:eastAsia="Arial" w:hAnsi="Arial" w:cs="Arial"/>
                <w:spacing w:val="1"/>
                <w:sz w:val="17"/>
                <w:szCs w:val="17"/>
              </w:rPr>
              <w:t>J</w:t>
            </w:r>
            <w:r w:rsidRPr="00865195">
              <w:rPr>
                <w:rFonts w:ascii="Arial" w:eastAsia="Arial" w:hAnsi="Arial" w:cs="Arial"/>
                <w:sz w:val="17"/>
                <w:szCs w:val="17"/>
              </w:rPr>
              <w:t>o</w:t>
            </w:r>
            <w:r w:rsidRPr="00865195">
              <w:rPr>
                <w:rFonts w:ascii="Arial" w:eastAsia="Arial" w:hAnsi="Arial" w:cs="Arial"/>
                <w:spacing w:val="2"/>
                <w:sz w:val="17"/>
                <w:szCs w:val="17"/>
              </w:rPr>
              <w:t>n</w:t>
            </w:r>
            <w:r w:rsidRPr="00865195">
              <w:rPr>
                <w:rFonts w:ascii="Arial" w:eastAsia="Arial" w:hAnsi="Arial" w:cs="Arial"/>
                <w:sz w:val="17"/>
                <w:szCs w:val="17"/>
              </w:rPr>
              <w:t>es</w:t>
            </w:r>
            <w:r w:rsidRPr="00865195">
              <w:rPr>
                <w:rFonts w:ascii="Arial" w:eastAsia="Arial" w:hAnsi="Arial" w:cs="Arial"/>
                <w:spacing w:val="-4"/>
                <w:sz w:val="17"/>
                <w:szCs w:val="17"/>
              </w:rPr>
              <w:t xml:space="preserve"> </w:t>
            </w:r>
            <w:r w:rsidRPr="00865195">
              <w:rPr>
                <w:rFonts w:ascii="Arial" w:eastAsia="Arial" w:hAnsi="Arial" w:cs="Arial"/>
                <w:sz w:val="17"/>
                <w:szCs w:val="17"/>
              </w:rPr>
              <w:t>Ut</w:t>
            </w:r>
            <w:r w:rsidRPr="00865195">
              <w:rPr>
                <w:rFonts w:ascii="Arial" w:eastAsia="Arial" w:hAnsi="Arial" w:cs="Arial"/>
                <w:spacing w:val="1"/>
                <w:sz w:val="17"/>
                <w:szCs w:val="17"/>
              </w:rPr>
              <w:t>i</w:t>
            </w:r>
            <w:r w:rsidRPr="00865195">
              <w:rPr>
                <w:rFonts w:ascii="Arial" w:eastAsia="Arial" w:hAnsi="Arial" w:cs="Arial"/>
                <w:spacing w:val="-1"/>
                <w:sz w:val="17"/>
                <w:szCs w:val="17"/>
              </w:rPr>
              <w:t>li</w:t>
            </w:r>
            <w:r w:rsidRPr="00865195">
              <w:rPr>
                <w:rFonts w:ascii="Arial" w:eastAsia="Arial" w:hAnsi="Arial" w:cs="Arial"/>
                <w:spacing w:val="5"/>
                <w:sz w:val="17"/>
                <w:szCs w:val="17"/>
              </w:rPr>
              <w:t>t</w:t>
            </w:r>
            <w:r w:rsidRPr="00865195">
              <w:rPr>
                <w:rFonts w:ascii="Arial" w:eastAsia="Arial" w:hAnsi="Arial" w:cs="Arial"/>
                <w:sz w:val="17"/>
                <w:szCs w:val="17"/>
              </w:rPr>
              <w:t>y</w:t>
            </w:r>
            <w:r w:rsidRPr="00865195">
              <w:rPr>
                <w:rFonts w:ascii="Arial" w:eastAsia="Arial" w:hAnsi="Arial" w:cs="Arial"/>
                <w:spacing w:val="-7"/>
                <w:sz w:val="17"/>
                <w:szCs w:val="17"/>
              </w:rPr>
              <w:t xml:space="preserve"> </w:t>
            </w:r>
            <w:r w:rsidRPr="00865195">
              <w:rPr>
                <w:rFonts w:ascii="Arial" w:eastAsia="Arial" w:hAnsi="Arial" w:cs="Arial"/>
                <w:spacing w:val="2"/>
                <w:sz w:val="17"/>
                <w:szCs w:val="17"/>
              </w:rPr>
              <w:t>A</w:t>
            </w:r>
            <w:r w:rsidRPr="00865195">
              <w:rPr>
                <w:rFonts w:ascii="Arial" w:eastAsia="Arial" w:hAnsi="Arial" w:cs="Arial"/>
                <w:spacing w:val="-1"/>
                <w:sz w:val="17"/>
                <w:szCs w:val="17"/>
              </w:rPr>
              <w:t>v</w:t>
            </w:r>
            <w:r w:rsidRPr="00865195">
              <w:rPr>
                <w:rFonts w:ascii="Arial" w:eastAsia="Arial" w:hAnsi="Arial" w:cs="Arial"/>
                <w:sz w:val="17"/>
                <w:szCs w:val="17"/>
              </w:rPr>
              <w:t>e</w:t>
            </w:r>
            <w:r w:rsidRPr="00865195">
              <w:rPr>
                <w:rFonts w:ascii="Arial" w:eastAsia="Arial" w:hAnsi="Arial" w:cs="Arial"/>
                <w:spacing w:val="1"/>
                <w:sz w:val="17"/>
                <w:szCs w:val="17"/>
              </w:rPr>
              <w:t>r</w:t>
            </w:r>
            <w:r w:rsidRPr="00865195">
              <w:rPr>
                <w:rFonts w:ascii="Arial" w:eastAsia="Arial" w:hAnsi="Arial" w:cs="Arial"/>
                <w:sz w:val="17"/>
                <w:szCs w:val="17"/>
              </w:rPr>
              <w:t>a</w:t>
            </w:r>
            <w:r w:rsidRPr="00865195">
              <w:rPr>
                <w:rFonts w:ascii="Arial" w:eastAsia="Arial" w:hAnsi="Arial" w:cs="Arial"/>
                <w:spacing w:val="2"/>
                <w:sz w:val="17"/>
                <w:szCs w:val="17"/>
              </w:rPr>
              <w:t>ge</w:t>
            </w:r>
            <w:r w:rsidRPr="00865195">
              <w:rPr>
                <w:rFonts w:ascii="Arial" w:eastAsia="Arial" w:hAnsi="Arial" w:cs="Arial"/>
                <w:sz w:val="17"/>
                <w:szCs w:val="17"/>
              </w:rPr>
              <w:t>™</w:t>
            </w:r>
          </w:p>
          <w:p w14:paraId="206FFCF7" w14:textId="77777777" w:rsidR="0091786E" w:rsidRPr="00865195" w:rsidRDefault="0091786E" w:rsidP="00716523">
            <w:pPr>
              <w:pStyle w:val="MethodologyText"/>
              <w:numPr>
                <w:ilvl w:val="0"/>
                <w:numId w:val="18"/>
              </w:numPr>
              <w:ind w:left="360"/>
              <w:rPr>
                <w:rFonts w:ascii="Arial" w:hAnsi="Arial" w:cs="Arial"/>
                <w:i/>
                <w:color w:val="000000"/>
                <w:sz w:val="17"/>
                <w:szCs w:val="17"/>
                <w:lang w:eastAsia="ja-JP"/>
              </w:rPr>
            </w:pPr>
            <w:r w:rsidRPr="00865195">
              <w:rPr>
                <w:rFonts w:ascii="Arial" w:eastAsia="Arial" w:hAnsi="Arial" w:cs="Arial"/>
                <w:sz w:val="17"/>
                <w:szCs w:val="17"/>
              </w:rPr>
              <w:t>D</w:t>
            </w:r>
            <w:r w:rsidRPr="00865195">
              <w:rPr>
                <w:rFonts w:ascii="Arial" w:eastAsia="Arial" w:hAnsi="Arial" w:cs="Arial"/>
                <w:spacing w:val="2"/>
                <w:sz w:val="17"/>
                <w:szCs w:val="17"/>
              </w:rPr>
              <w:t>o</w:t>
            </w:r>
            <w:r w:rsidRPr="00865195">
              <w:rPr>
                <w:rFonts w:ascii="Arial" w:eastAsia="Arial" w:hAnsi="Arial" w:cs="Arial"/>
                <w:sz w:val="17"/>
                <w:szCs w:val="17"/>
              </w:rPr>
              <w:t>w</w:t>
            </w:r>
            <w:r w:rsidRPr="00865195">
              <w:rPr>
                <w:rFonts w:ascii="Arial" w:eastAsia="Arial" w:hAnsi="Arial" w:cs="Arial"/>
                <w:spacing w:val="-7"/>
                <w:sz w:val="17"/>
                <w:szCs w:val="17"/>
              </w:rPr>
              <w:t xml:space="preserve"> </w:t>
            </w:r>
            <w:r w:rsidRPr="00865195">
              <w:rPr>
                <w:rFonts w:ascii="Arial" w:eastAsia="Arial" w:hAnsi="Arial" w:cs="Arial"/>
                <w:spacing w:val="1"/>
                <w:sz w:val="17"/>
                <w:szCs w:val="17"/>
              </w:rPr>
              <w:t>J</w:t>
            </w:r>
            <w:r w:rsidRPr="00865195">
              <w:rPr>
                <w:rFonts w:ascii="Arial" w:eastAsia="Arial" w:hAnsi="Arial" w:cs="Arial"/>
                <w:sz w:val="17"/>
                <w:szCs w:val="17"/>
              </w:rPr>
              <w:t>o</w:t>
            </w:r>
            <w:r w:rsidRPr="00865195">
              <w:rPr>
                <w:rFonts w:ascii="Arial" w:eastAsia="Arial" w:hAnsi="Arial" w:cs="Arial"/>
                <w:spacing w:val="2"/>
                <w:sz w:val="17"/>
                <w:szCs w:val="17"/>
              </w:rPr>
              <w:t>n</w:t>
            </w:r>
            <w:r w:rsidRPr="00865195">
              <w:rPr>
                <w:rFonts w:ascii="Arial" w:eastAsia="Arial" w:hAnsi="Arial" w:cs="Arial"/>
                <w:sz w:val="17"/>
                <w:szCs w:val="17"/>
              </w:rPr>
              <w:t>es</w:t>
            </w:r>
            <w:r w:rsidRPr="00865195">
              <w:rPr>
                <w:rFonts w:ascii="Arial" w:eastAsia="Arial" w:hAnsi="Arial" w:cs="Arial"/>
                <w:spacing w:val="-4"/>
                <w:sz w:val="17"/>
                <w:szCs w:val="17"/>
              </w:rPr>
              <w:t xml:space="preserve"> </w:t>
            </w:r>
            <w:r w:rsidRPr="00865195">
              <w:rPr>
                <w:rFonts w:ascii="Arial" w:eastAsia="Arial" w:hAnsi="Arial" w:cs="Arial"/>
                <w:sz w:val="17"/>
                <w:szCs w:val="17"/>
              </w:rPr>
              <w:t>Co</w:t>
            </w:r>
            <w:r w:rsidRPr="00865195">
              <w:rPr>
                <w:rFonts w:ascii="Arial" w:eastAsia="Arial" w:hAnsi="Arial" w:cs="Arial"/>
                <w:spacing w:val="4"/>
                <w:sz w:val="17"/>
                <w:szCs w:val="17"/>
              </w:rPr>
              <w:t>m</w:t>
            </w:r>
            <w:r w:rsidRPr="00865195">
              <w:rPr>
                <w:rFonts w:ascii="Arial" w:eastAsia="Arial" w:hAnsi="Arial" w:cs="Arial"/>
                <w:sz w:val="17"/>
                <w:szCs w:val="17"/>
              </w:rPr>
              <w:t>po</w:t>
            </w:r>
            <w:r w:rsidRPr="00865195">
              <w:rPr>
                <w:rFonts w:ascii="Arial" w:eastAsia="Arial" w:hAnsi="Arial" w:cs="Arial"/>
                <w:spacing w:val="1"/>
                <w:sz w:val="17"/>
                <w:szCs w:val="17"/>
              </w:rPr>
              <w:t>s</w:t>
            </w:r>
            <w:r w:rsidRPr="00865195">
              <w:rPr>
                <w:rFonts w:ascii="Arial" w:eastAsia="Arial" w:hAnsi="Arial" w:cs="Arial"/>
                <w:spacing w:val="-1"/>
                <w:sz w:val="17"/>
                <w:szCs w:val="17"/>
              </w:rPr>
              <w:t>i</w:t>
            </w:r>
            <w:r w:rsidRPr="00865195">
              <w:rPr>
                <w:rFonts w:ascii="Arial" w:eastAsia="Arial" w:hAnsi="Arial" w:cs="Arial"/>
                <w:sz w:val="17"/>
                <w:szCs w:val="17"/>
              </w:rPr>
              <w:t>te</w:t>
            </w:r>
            <w:r w:rsidRPr="00865195">
              <w:rPr>
                <w:rFonts w:ascii="Arial" w:eastAsia="Arial" w:hAnsi="Arial" w:cs="Arial"/>
                <w:spacing w:val="-8"/>
                <w:sz w:val="17"/>
                <w:szCs w:val="17"/>
              </w:rPr>
              <w:t xml:space="preserve"> </w:t>
            </w:r>
            <w:r w:rsidRPr="00865195">
              <w:rPr>
                <w:rFonts w:ascii="Arial" w:eastAsia="Arial" w:hAnsi="Arial" w:cs="Arial"/>
                <w:spacing w:val="-1"/>
                <w:sz w:val="17"/>
                <w:szCs w:val="17"/>
              </w:rPr>
              <w:t>A</w:t>
            </w:r>
            <w:r w:rsidRPr="00865195">
              <w:rPr>
                <w:rFonts w:ascii="Arial" w:eastAsia="Arial" w:hAnsi="Arial" w:cs="Arial"/>
                <w:spacing w:val="1"/>
                <w:sz w:val="17"/>
                <w:szCs w:val="17"/>
              </w:rPr>
              <w:t>v</w:t>
            </w:r>
            <w:r w:rsidRPr="00865195">
              <w:rPr>
                <w:rFonts w:ascii="Arial" w:eastAsia="Arial" w:hAnsi="Arial" w:cs="Arial"/>
                <w:spacing w:val="2"/>
                <w:sz w:val="17"/>
                <w:szCs w:val="17"/>
              </w:rPr>
              <w:t>e</w:t>
            </w:r>
            <w:r w:rsidRPr="00865195">
              <w:rPr>
                <w:rFonts w:ascii="Arial" w:eastAsia="Arial" w:hAnsi="Arial" w:cs="Arial"/>
                <w:spacing w:val="1"/>
                <w:sz w:val="17"/>
                <w:szCs w:val="17"/>
              </w:rPr>
              <w:t>r</w:t>
            </w:r>
            <w:r w:rsidRPr="00865195">
              <w:rPr>
                <w:rFonts w:ascii="Arial" w:eastAsia="Arial" w:hAnsi="Arial" w:cs="Arial"/>
                <w:sz w:val="17"/>
                <w:szCs w:val="17"/>
              </w:rPr>
              <w:t>age™</w:t>
            </w:r>
          </w:p>
        </w:tc>
        <w:tc>
          <w:tcPr>
            <w:tcW w:w="4770" w:type="dxa"/>
          </w:tcPr>
          <w:p w14:paraId="034841DD" w14:textId="77777777" w:rsidR="0091786E" w:rsidRPr="00865195" w:rsidRDefault="0091786E" w:rsidP="00716523">
            <w:pPr>
              <w:pStyle w:val="MethodologyText"/>
              <w:ind w:left="0"/>
              <w:rPr>
                <w:rFonts w:ascii="Arial" w:hAnsi="Arial" w:cs="Arial"/>
                <w:i/>
                <w:color w:val="000000"/>
                <w:sz w:val="17"/>
                <w:szCs w:val="17"/>
                <w:lang w:val="es-MX" w:eastAsia="ja-JP"/>
              </w:rPr>
            </w:pPr>
            <w:r w:rsidRPr="00865195">
              <w:rPr>
                <w:rFonts w:ascii="Arial" w:eastAsia="Arial" w:hAnsi="Arial" w:cs="Arial"/>
                <w:sz w:val="17"/>
                <w:szCs w:val="17"/>
                <w:lang w:val="es-MX"/>
              </w:rPr>
              <w:t xml:space="preserve">El precio de la compañía primigenia se ajusta por el factor resultante del cociente del Precio de la Compañía Escindida/Razón de Canje de Acciones. </w:t>
            </w:r>
            <w:r w:rsidR="001A294B" w:rsidRPr="00865195">
              <w:rPr>
                <w:rFonts w:ascii="Arial" w:eastAsia="Arial" w:hAnsi="Arial" w:cs="Arial"/>
                <w:sz w:val="17"/>
                <w:szCs w:val="17"/>
                <w:lang w:val="es-MX"/>
              </w:rPr>
              <w:t>El D</w:t>
            </w:r>
            <w:r w:rsidR="0058126B" w:rsidRPr="00865195">
              <w:rPr>
                <w:rFonts w:ascii="Arial" w:eastAsia="Arial" w:hAnsi="Arial" w:cs="Arial"/>
                <w:sz w:val="17"/>
                <w:szCs w:val="17"/>
                <w:lang w:val="es-MX"/>
              </w:rPr>
              <w:t>ivisor del índice se ajusta de manera simultánea.</w:t>
            </w:r>
          </w:p>
        </w:tc>
      </w:tr>
      <w:tr w:rsidR="0091786E" w:rsidRPr="001A294B" w14:paraId="6D41744C" w14:textId="77777777" w:rsidTr="00E65404">
        <w:tc>
          <w:tcPr>
            <w:tcW w:w="4410" w:type="dxa"/>
          </w:tcPr>
          <w:p w14:paraId="112C5D4C" w14:textId="77777777" w:rsidR="0091786E" w:rsidRPr="00865195" w:rsidRDefault="0091786E" w:rsidP="00716523">
            <w:pPr>
              <w:pStyle w:val="ListParagraph"/>
              <w:numPr>
                <w:ilvl w:val="0"/>
                <w:numId w:val="19"/>
              </w:numPr>
              <w:spacing w:before="10"/>
              <w:ind w:left="360" w:right="-14"/>
              <w:rPr>
                <w:rFonts w:ascii="Arial" w:eastAsia="Arial" w:hAnsi="Arial" w:cs="Arial"/>
                <w:sz w:val="17"/>
                <w:szCs w:val="17"/>
              </w:rPr>
            </w:pPr>
            <w:r w:rsidRPr="00865195">
              <w:rPr>
                <w:rFonts w:ascii="Arial" w:eastAsia="Arial" w:hAnsi="Arial" w:cs="Arial"/>
                <w:sz w:val="17"/>
                <w:szCs w:val="17"/>
              </w:rPr>
              <w:t>D</w:t>
            </w:r>
            <w:r w:rsidRPr="00865195">
              <w:rPr>
                <w:rFonts w:ascii="Arial" w:eastAsia="Arial" w:hAnsi="Arial" w:cs="Arial"/>
                <w:spacing w:val="2"/>
                <w:sz w:val="17"/>
                <w:szCs w:val="17"/>
              </w:rPr>
              <w:t>o</w:t>
            </w:r>
            <w:r w:rsidRPr="00865195">
              <w:rPr>
                <w:rFonts w:ascii="Arial" w:eastAsia="Arial" w:hAnsi="Arial" w:cs="Arial"/>
                <w:sz w:val="17"/>
                <w:szCs w:val="17"/>
              </w:rPr>
              <w:t>w</w:t>
            </w:r>
            <w:r w:rsidRPr="00865195">
              <w:rPr>
                <w:rFonts w:ascii="Arial" w:eastAsia="Arial" w:hAnsi="Arial" w:cs="Arial"/>
                <w:spacing w:val="-7"/>
                <w:sz w:val="17"/>
                <w:szCs w:val="17"/>
              </w:rPr>
              <w:t xml:space="preserve"> </w:t>
            </w:r>
            <w:r w:rsidRPr="00865195">
              <w:rPr>
                <w:rFonts w:ascii="Arial" w:eastAsia="Arial" w:hAnsi="Arial" w:cs="Arial"/>
                <w:spacing w:val="1"/>
                <w:sz w:val="17"/>
                <w:szCs w:val="17"/>
              </w:rPr>
              <w:t>J</w:t>
            </w:r>
            <w:r w:rsidRPr="00865195">
              <w:rPr>
                <w:rFonts w:ascii="Arial" w:eastAsia="Arial" w:hAnsi="Arial" w:cs="Arial"/>
                <w:sz w:val="17"/>
                <w:szCs w:val="17"/>
              </w:rPr>
              <w:t>o</w:t>
            </w:r>
            <w:r w:rsidRPr="00865195">
              <w:rPr>
                <w:rFonts w:ascii="Arial" w:eastAsia="Arial" w:hAnsi="Arial" w:cs="Arial"/>
                <w:spacing w:val="2"/>
                <w:sz w:val="17"/>
                <w:szCs w:val="17"/>
              </w:rPr>
              <w:t>n</w:t>
            </w:r>
            <w:r w:rsidRPr="00865195">
              <w:rPr>
                <w:rFonts w:ascii="Arial" w:eastAsia="Arial" w:hAnsi="Arial" w:cs="Arial"/>
                <w:sz w:val="17"/>
                <w:szCs w:val="17"/>
              </w:rPr>
              <w:t>es</w:t>
            </w:r>
            <w:r w:rsidRPr="00865195">
              <w:rPr>
                <w:rFonts w:ascii="Arial" w:eastAsia="Arial" w:hAnsi="Arial" w:cs="Arial"/>
                <w:spacing w:val="-4"/>
                <w:sz w:val="17"/>
                <w:szCs w:val="17"/>
              </w:rPr>
              <w:t xml:space="preserve"> </w:t>
            </w:r>
            <w:r w:rsidRPr="00865195">
              <w:rPr>
                <w:rFonts w:ascii="Arial" w:eastAsia="Arial" w:hAnsi="Arial" w:cs="Arial"/>
                <w:sz w:val="17"/>
                <w:szCs w:val="17"/>
              </w:rPr>
              <w:t>In</w:t>
            </w:r>
            <w:r w:rsidRPr="00865195">
              <w:rPr>
                <w:rFonts w:ascii="Arial" w:eastAsia="Arial" w:hAnsi="Arial" w:cs="Arial"/>
                <w:spacing w:val="2"/>
                <w:sz w:val="17"/>
                <w:szCs w:val="17"/>
              </w:rPr>
              <w:t>d</w:t>
            </w:r>
            <w:r w:rsidRPr="00865195">
              <w:rPr>
                <w:rFonts w:ascii="Arial" w:eastAsia="Arial" w:hAnsi="Arial" w:cs="Arial"/>
                <w:sz w:val="17"/>
                <w:szCs w:val="17"/>
              </w:rPr>
              <w:t>u</w:t>
            </w:r>
            <w:r w:rsidRPr="00865195">
              <w:rPr>
                <w:rFonts w:ascii="Arial" w:eastAsia="Arial" w:hAnsi="Arial" w:cs="Arial"/>
                <w:spacing w:val="1"/>
                <w:sz w:val="17"/>
                <w:szCs w:val="17"/>
              </w:rPr>
              <w:t>s</w:t>
            </w:r>
            <w:r w:rsidRPr="00865195">
              <w:rPr>
                <w:rFonts w:ascii="Arial" w:eastAsia="Arial" w:hAnsi="Arial" w:cs="Arial"/>
                <w:sz w:val="17"/>
                <w:szCs w:val="17"/>
              </w:rPr>
              <w:t>t</w:t>
            </w:r>
            <w:r w:rsidRPr="00865195">
              <w:rPr>
                <w:rFonts w:ascii="Arial" w:eastAsia="Arial" w:hAnsi="Arial" w:cs="Arial"/>
                <w:spacing w:val="1"/>
                <w:sz w:val="17"/>
                <w:szCs w:val="17"/>
              </w:rPr>
              <w:t>r</w:t>
            </w:r>
            <w:r w:rsidRPr="00865195">
              <w:rPr>
                <w:rFonts w:ascii="Arial" w:eastAsia="Arial" w:hAnsi="Arial" w:cs="Arial"/>
                <w:spacing w:val="-1"/>
                <w:sz w:val="17"/>
                <w:szCs w:val="17"/>
              </w:rPr>
              <w:t>i</w:t>
            </w:r>
            <w:r w:rsidRPr="00865195">
              <w:rPr>
                <w:rFonts w:ascii="Arial" w:eastAsia="Arial" w:hAnsi="Arial" w:cs="Arial"/>
                <w:spacing w:val="2"/>
                <w:sz w:val="17"/>
                <w:szCs w:val="17"/>
              </w:rPr>
              <w:t>a</w:t>
            </w:r>
            <w:r w:rsidRPr="00865195">
              <w:rPr>
                <w:rFonts w:ascii="Arial" w:eastAsia="Arial" w:hAnsi="Arial" w:cs="Arial"/>
                <w:sz w:val="17"/>
                <w:szCs w:val="17"/>
              </w:rPr>
              <w:t>l</w:t>
            </w:r>
            <w:r w:rsidRPr="00865195">
              <w:rPr>
                <w:rFonts w:ascii="Arial" w:eastAsia="Arial" w:hAnsi="Arial" w:cs="Arial"/>
                <w:spacing w:val="-9"/>
                <w:sz w:val="17"/>
                <w:szCs w:val="17"/>
              </w:rPr>
              <w:t xml:space="preserve"> </w:t>
            </w:r>
            <w:r w:rsidRPr="00865195">
              <w:rPr>
                <w:rFonts w:ascii="Arial" w:eastAsia="Arial" w:hAnsi="Arial" w:cs="Arial"/>
                <w:spacing w:val="2"/>
                <w:sz w:val="17"/>
                <w:szCs w:val="17"/>
              </w:rPr>
              <w:t>A</w:t>
            </w:r>
            <w:r w:rsidRPr="00865195">
              <w:rPr>
                <w:rFonts w:ascii="Arial" w:eastAsia="Arial" w:hAnsi="Arial" w:cs="Arial"/>
                <w:spacing w:val="-1"/>
                <w:sz w:val="17"/>
                <w:szCs w:val="17"/>
              </w:rPr>
              <w:t>v</w:t>
            </w:r>
            <w:r w:rsidRPr="00865195">
              <w:rPr>
                <w:rFonts w:ascii="Arial" w:eastAsia="Arial" w:hAnsi="Arial" w:cs="Arial"/>
                <w:sz w:val="17"/>
                <w:szCs w:val="17"/>
              </w:rPr>
              <w:t>e</w:t>
            </w:r>
            <w:r w:rsidRPr="00865195">
              <w:rPr>
                <w:rFonts w:ascii="Arial" w:eastAsia="Arial" w:hAnsi="Arial" w:cs="Arial"/>
                <w:spacing w:val="1"/>
                <w:sz w:val="17"/>
                <w:szCs w:val="17"/>
              </w:rPr>
              <w:t>r</w:t>
            </w:r>
            <w:r w:rsidRPr="00865195">
              <w:rPr>
                <w:rFonts w:ascii="Arial" w:eastAsia="Arial" w:hAnsi="Arial" w:cs="Arial"/>
                <w:spacing w:val="2"/>
                <w:sz w:val="17"/>
                <w:szCs w:val="17"/>
              </w:rPr>
              <w:t>a</w:t>
            </w:r>
            <w:r w:rsidRPr="00865195">
              <w:rPr>
                <w:rFonts w:ascii="Arial" w:eastAsia="Arial" w:hAnsi="Arial" w:cs="Arial"/>
                <w:sz w:val="17"/>
                <w:szCs w:val="17"/>
              </w:rPr>
              <w:t>ge</w:t>
            </w:r>
            <w:r w:rsidRPr="00865195">
              <w:rPr>
                <w:rFonts w:ascii="Arial" w:eastAsia="Arial" w:hAnsi="Arial" w:cs="Arial"/>
                <w:spacing w:val="-5"/>
                <w:sz w:val="17"/>
                <w:szCs w:val="17"/>
              </w:rPr>
              <w:t xml:space="preserve"> </w:t>
            </w:r>
            <w:r w:rsidRPr="00865195">
              <w:rPr>
                <w:rFonts w:ascii="Arial" w:eastAsia="Arial" w:hAnsi="Arial" w:cs="Arial"/>
                <w:spacing w:val="-1"/>
                <w:sz w:val="17"/>
                <w:szCs w:val="17"/>
              </w:rPr>
              <w:t>Yi</w:t>
            </w:r>
            <w:r w:rsidRPr="00865195">
              <w:rPr>
                <w:rFonts w:ascii="Arial" w:eastAsia="Arial" w:hAnsi="Arial" w:cs="Arial"/>
                <w:spacing w:val="2"/>
                <w:sz w:val="17"/>
                <w:szCs w:val="17"/>
              </w:rPr>
              <w:t>e</w:t>
            </w:r>
            <w:r w:rsidRPr="00865195">
              <w:rPr>
                <w:rFonts w:ascii="Arial" w:eastAsia="Arial" w:hAnsi="Arial" w:cs="Arial"/>
                <w:spacing w:val="-1"/>
                <w:sz w:val="17"/>
                <w:szCs w:val="17"/>
              </w:rPr>
              <w:t>l</w:t>
            </w:r>
            <w:r w:rsidRPr="00865195">
              <w:rPr>
                <w:rFonts w:ascii="Arial" w:eastAsia="Arial" w:hAnsi="Arial" w:cs="Arial"/>
                <w:sz w:val="17"/>
                <w:szCs w:val="17"/>
              </w:rPr>
              <w:t>d</w:t>
            </w:r>
          </w:p>
          <w:p w14:paraId="6E03DB96" w14:textId="77777777" w:rsidR="0091786E" w:rsidRPr="00865195" w:rsidRDefault="0091786E" w:rsidP="00716523">
            <w:pPr>
              <w:pStyle w:val="MethodologyText"/>
              <w:ind w:left="0"/>
              <w:rPr>
                <w:rFonts w:ascii="Arial" w:hAnsi="Arial" w:cs="Arial"/>
                <w:i/>
                <w:color w:val="000000"/>
                <w:sz w:val="17"/>
                <w:szCs w:val="17"/>
                <w:lang w:eastAsia="ja-JP"/>
              </w:rPr>
            </w:pPr>
            <w:r w:rsidRPr="00865195">
              <w:rPr>
                <w:rFonts w:ascii="Arial" w:eastAsia="Arial" w:hAnsi="Arial" w:cs="Arial"/>
                <w:spacing w:val="6"/>
                <w:sz w:val="17"/>
                <w:szCs w:val="17"/>
              </w:rPr>
              <w:t xml:space="preserve">      W</w:t>
            </w:r>
            <w:r w:rsidRPr="00865195">
              <w:rPr>
                <w:rFonts w:ascii="Arial" w:eastAsia="Arial" w:hAnsi="Arial" w:cs="Arial"/>
                <w:sz w:val="17"/>
                <w:szCs w:val="17"/>
              </w:rPr>
              <w:t>e</w:t>
            </w:r>
            <w:r w:rsidRPr="00865195">
              <w:rPr>
                <w:rFonts w:ascii="Arial" w:eastAsia="Arial" w:hAnsi="Arial" w:cs="Arial"/>
                <w:spacing w:val="-1"/>
                <w:sz w:val="17"/>
                <w:szCs w:val="17"/>
              </w:rPr>
              <w:t>i</w:t>
            </w:r>
            <w:r w:rsidRPr="00865195">
              <w:rPr>
                <w:rFonts w:ascii="Arial" w:eastAsia="Arial" w:hAnsi="Arial" w:cs="Arial"/>
                <w:sz w:val="17"/>
                <w:szCs w:val="17"/>
              </w:rPr>
              <w:t>ghted</w:t>
            </w:r>
          </w:p>
        </w:tc>
        <w:tc>
          <w:tcPr>
            <w:tcW w:w="4770" w:type="dxa"/>
          </w:tcPr>
          <w:p w14:paraId="250C056D" w14:textId="77777777" w:rsidR="0091786E" w:rsidRPr="00865195" w:rsidRDefault="0091786E" w:rsidP="00716523">
            <w:pPr>
              <w:ind w:right="-20"/>
              <w:rPr>
                <w:rFonts w:ascii="Arial" w:eastAsia="Arial" w:hAnsi="Arial" w:cs="Arial"/>
                <w:sz w:val="17"/>
                <w:szCs w:val="17"/>
                <w:lang w:val="es-MX"/>
              </w:rPr>
            </w:pPr>
            <w:r w:rsidRPr="00865195">
              <w:rPr>
                <w:rFonts w:ascii="Arial" w:eastAsia="Arial" w:hAnsi="Arial" w:cs="Arial"/>
                <w:sz w:val="17"/>
                <w:szCs w:val="17"/>
                <w:lang w:val="es-MX"/>
              </w:rPr>
              <w:t>La compañía escindida se agrega al índice tomando para tal efecto un precio de cero en la fecha ex-date sin que haya ajuste del Divisor.</w:t>
            </w:r>
          </w:p>
          <w:p w14:paraId="5938EADB" w14:textId="77777777" w:rsidR="0091786E" w:rsidRPr="00865195" w:rsidRDefault="0091786E" w:rsidP="00716523">
            <w:pPr>
              <w:ind w:right="-20"/>
              <w:rPr>
                <w:rFonts w:ascii="Arial" w:eastAsia="Arial" w:hAnsi="Arial" w:cs="Arial"/>
                <w:sz w:val="17"/>
                <w:szCs w:val="17"/>
                <w:lang w:val="es-MX"/>
              </w:rPr>
            </w:pPr>
          </w:p>
          <w:p w14:paraId="7796BF9A" w14:textId="77777777" w:rsidR="0091786E" w:rsidRPr="00865195" w:rsidRDefault="00CE270A" w:rsidP="00716523">
            <w:pPr>
              <w:pStyle w:val="MethodologyText"/>
              <w:ind w:left="0"/>
              <w:rPr>
                <w:rFonts w:ascii="Arial" w:eastAsia="Arial" w:hAnsi="Arial" w:cs="Arial"/>
                <w:sz w:val="17"/>
                <w:szCs w:val="17"/>
                <w:lang w:val="es-MX"/>
              </w:rPr>
            </w:pPr>
            <w:r w:rsidRPr="00865195">
              <w:rPr>
                <w:rFonts w:ascii="Arial" w:eastAsia="Arial" w:hAnsi="Arial" w:cs="Arial"/>
                <w:sz w:val="17"/>
                <w:szCs w:val="17"/>
                <w:lang w:val="es-MX"/>
              </w:rPr>
              <w:t>Si l</w:t>
            </w:r>
            <w:r w:rsidR="0091786E" w:rsidRPr="00865195">
              <w:rPr>
                <w:rFonts w:ascii="Arial" w:eastAsia="Arial" w:hAnsi="Arial" w:cs="Arial"/>
                <w:sz w:val="17"/>
                <w:szCs w:val="17"/>
                <w:lang w:val="es-MX"/>
              </w:rPr>
              <w:t xml:space="preserve">a compañía escindida </w:t>
            </w:r>
            <w:r w:rsidRPr="00865195">
              <w:rPr>
                <w:rFonts w:ascii="Arial" w:eastAsia="Arial" w:hAnsi="Arial" w:cs="Arial"/>
                <w:sz w:val="17"/>
                <w:szCs w:val="17"/>
                <w:lang w:val="es-MX"/>
              </w:rPr>
              <w:t xml:space="preserve">no es permanente agregada, entonces </w:t>
            </w:r>
            <w:r w:rsidR="0091786E" w:rsidRPr="00865195">
              <w:rPr>
                <w:rFonts w:ascii="Arial" w:eastAsia="Arial" w:hAnsi="Arial" w:cs="Arial"/>
                <w:sz w:val="17"/>
                <w:szCs w:val="17"/>
                <w:lang w:val="es-MX"/>
              </w:rPr>
              <w:t>se excluye del índice hasta haber completado al menos un día de negociación ordinaria. El peso del componente elim</w:t>
            </w:r>
            <w:r w:rsidR="001A294B" w:rsidRPr="00865195">
              <w:rPr>
                <w:rFonts w:ascii="Arial" w:eastAsia="Arial" w:hAnsi="Arial" w:cs="Arial"/>
                <w:sz w:val="17"/>
                <w:szCs w:val="17"/>
                <w:lang w:val="es-MX"/>
              </w:rPr>
              <w:t>inado se redistribuye proporcionalmente entre los componentes del índice</w:t>
            </w:r>
            <w:r w:rsidR="0091786E" w:rsidRPr="00865195">
              <w:rPr>
                <w:rFonts w:ascii="Arial" w:eastAsia="Arial" w:hAnsi="Arial" w:cs="Arial"/>
                <w:sz w:val="17"/>
                <w:szCs w:val="17"/>
                <w:lang w:val="es-MX"/>
              </w:rPr>
              <w:t>. El Divisor d</w:t>
            </w:r>
            <w:r w:rsidR="001A294B" w:rsidRPr="00865195">
              <w:rPr>
                <w:rFonts w:ascii="Arial" w:eastAsia="Arial" w:hAnsi="Arial" w:cs="Arial"/>
                <w:sz w:val="17"/>
                <w:szCs w:val="17"/>
                <w:lang w:val="es-MX"/>
              </w:rPr>
              <w:t>el índice se ajusta simultáneamente</w:t>
            </w:r>
            <w:r w:rsidR="0091786E" w:rsidRPr="00865195">
              <w:rPr>
                <w:rFonts w:ascii="Arial" w:eastAsia="Arial" w:hAnsi="Arial" w:cs="Arial"/>
                <w:sz w:val="17"/>
                <w:szCs w:val="17"/>
                <w:lang w:val="es-MX"/>
              </w:rPr>
              <w:t>.</w:t>
            </w:r>
          </w:p>
        </w:tc>
      </w:tr>
      <w:tr w:rsidR="0091786E" w:rsidRPr="00EC7650" w14:paraId="2BE890C6" w14:textId="77777777" w:rsidTr="00E65404">
        <w:tc>
          <w:tcPr>
            <w:tcW w:w="4410" w:type="dxa"/>
          </w:tcPr>
          <w:p w14:paraId="03178378" w14:textId="77777777" w:rsidR="0091786E" w:rsidRPr="00865195" w:rsidRDefault="0091786E" w:rsidP="00716523">
            <w:pPr>
              <w:pStyle w:val="ListParagraph"/>
              <w:numPr>
                <w:ilvl w:val="0"/>
                <w:numId w:val="19"/>
              </w:numPr>
              <w:spacing w:before="10"/>
              <w:ind w:left="360" w:right="-14"/>
              <w:rPr>
                <w:rFonts w:ascii="Arial" w:eastAsia="Arial" w:hAnsi="Arial" w:cs="Arial"/>
                <w:sz w:val="17"/>
                <w:szCs w:val="17"/>
              </w:rPr>
            </w:pPr>
            <w:r w:rsidRPr="00865195">
              <w:rPr>
                <w:rFonts w:ascii="Arial" w:eastAsia="Arial" w:hAnsi="Arial" w:cs="Arial"/>
                <w:sz w:val="17"/>
                <w:szCs w:val="17"/>
              </w:rPr>
              <w:t>D</w:t>
            </w:r>
            <w:r w:rsidRPr="00865195">
              <w:rPr>
                <w:rFonts w:ascii="Arial" w:eastAsia="Arial" w:hAnsi="Arial" w:cs="Arial"/>
                <w:spacing w:val="2"/>
                <w:sz w:val="17"/>
                <w:szCs w:val="17"/>
              </w:rPr>
              <w:t>o</w:t>
            </w:r>
            <w:r w:rsidRPr="00865195">
              <w:rPr>
                <w:rFonts w:ascii="Arial" w:eastAsia="Arial" w:hAnsi="Arial" w:cs="Arial"/>
                <w:sz w:val="17"/>
                <w:szCs w:val="17"/>
              </w:rPr>
              <w:t>w</w:t>
            </w:r>
            <w:r w:rsidRPr="00865195">
              <w:rPr>
                <w:rFonts w:ascii="Arial" w:eastAsia="Arial" w:hAnsi="Arial" w:cs="Arial"/>
                <w:spacing w:val="-7"/>
                <w:sz w:val="17"/>
                <w:szCs w:val="17"/>
              </w:rPr>
              <w:t xml:space="preserve"> </w:t>
            </w:r>
            <w:r w:rsidRPr="00865195">
              <w:rPr>
                <w:rFonts w:ascii="Arial" w:eastAsia="Arial" w:hAnsi="Arial" w:cs="Arial"/>
                <w:spacing w:val="1"/>
                <w:sz w:val="17"/>
                <w:szCs w:val="17"/>
              </w:rPr>
              <w:t>J</w:t>
            </w:r>
            <w:r w:rsidRPr="00865195">
              <w:rPr>
                <w:rFonts w:ascii="Arial" w:eastAsia="Arial" w:hAnsi="Arial" w:cs="Arial"/>
                <w:sz w:val="17"/>
                <w:szCs w:val="17"/>
              </w:rPr>
              <w:t>o</w:t>
            </w:r>
            <w:r w:rsidRPr="00865195">
              <w:rPr>
                <w:rFonts w:ascii="Arial" w:eastAsia="Arial" w:hAnsi="Arial" w:cs="Arial"/>
                <w:spacing w:val="2"/>
                <w:sz w:val="17"/>
                <w:szCs w:val="17"/>
              </w:rPr>
              <w:t>n</w:t>
            </w:r>
            <w:r w:rsidRPr="00865195">
              <w:rPr>
                <w:rFonts w:ascii="Arial" w:eastAsia="Arial" w:hAnsi="Arial" w:cs="Arial"/>
                <w:sz w:val="17"/>
                <w:szCs w:val="17"/>
              </w:rPr>
              <w:t>es</w:t>
            </w:r>
            <w:r w:rsidRPr="00865195">
              <w:rPr>
                <w:rFonts w:ascii="Arial" w:eastAsia="Arial" w:hAnsi="Arial" w:cs="Arial"/>
                <w:spacing w:val="-4"/>
                <w:sz w:val="17"/>
                <w:szCs w:val="17"/>
              </w:rPr>
              <w:t xml:space="preserve"> </w:t>
            </w:r>
            <w:r w:rsidRPr="00865195">
              <w:rPr>
                <w:rFonts w:ascii="Arial" w:eastAsia="Arial" w:hAnsi="Arial" w:cs="Arial"/>
                <w:sz w:val="17"/>
                <w:szCs w:val="17"/>
              </w:rPr>
              <w:t>In</w:t>
            </w:r>
            <w:r w:rsidRPr="00865195">
              <w:rPr>
                <w:rFonts w:ascii="Arial" w:eastAsia="Arial" w:hAnsi="Arial" w:cs="Arial"/>
                <w:spacing w:val="2"/>
                <w:sz w:val="17"/>
                <w:szCs w:val="17"/>
              </w:rPr>
              <w:t>d</w:t>
            </w:r>
            <w:r w:rsidRPr="00865195">
              <w:rPr>
                <w:rFonts w:ascii="Arial" w:eastAsia="Arial" w:hAnsi="Arial" w:cs="Arial"/>
                <w:sz w:val="17"/>
                <w:szCs w:val="17"/>
              </w:rPr>
              <w:t>u</w:t>
            </w:r>
            <w:r w:rsidRPr="00865195">
              <w:rPr>
                <w:rFonts w:ascii="Arial" w:eastAsia="Arial" w:hAnsi="Arial" w:cs="Arial"/>
                <w:spacing w:val="1"/>
                <w:sz w:val="17"/>
                <w:szCs w:val="17"/>
              </w:rPr>
              <w:t>s</w:t>
            </w:r>
            <w:r w:rsidRPr="00865195">
              <w:rPr>
                <w:rFonts w:ascii="Arial" w:eastAsia="Arial" w:hAnsi="Arial" w:cs="Arial"/>
                <w:sz w:val="17"/>
                <w:szCs w:val="17"/>
              </w:rPr>
              <w:t>t</w:t>
            </w:r>
            <w:r w:rsidRPr="00865195">
              <w:rPr>
                <w:rFonts w:ascii="Arial" w:eastAsia="Arial" w:hAnsi="Arial" w:cs="Arial"/>
                <w:spacing w:val="1"/>
                <w:sz w:val="17"/>
                <w:szCs w:val="17"/>
              </w:rPr>
              <w:t>r</w:t>
            </w:r>
            <w:r w:rsidRPr="00865195">
              <w:rPr>
                <w:rFonts w:ascii="Arial" w:eastAsia="Arial" w:hAnsi="Arial" w:cs="Arial"/>
                <w:spacing w:val="-1"/>
                <w:sz w:val="17"/>
                <w:szCs w:val="17"/>
              </w:rPr>
              <w:t>i</w:t>
            </w:r>
            <w:r w:rsidRPr="00865195">
              <w:rPr>
                <w:rFonts w:ascii="Arial" w:eastAsia="Arial" w:hAnsi="Arial" w:cs="Arial"/>
                <w:spacing w:val="2"/>
                <w:sz w:val="17"/>
                <w:szCs w:val="17"/>
              </w:rPr>
              <w:t>a</w:t>
            </w:r>
            <w:r w:rsidRPr="00865195">
              <w:rPr>
                <w:rFonts w:ascii="Arial" w:eastAsia="Arial" w:hAnsi="Arial" w:cs="Arial"/>
                <w:sz w:val="17"/>
                <w:szCs w:val="17"/>
              </w:rPr>
              <w:t>l</w:t>
            </w:r>
            <w:r w:rsidRPr="00865195">
              <w:rPr>
                <w:rFonts w:ascii="Arial" w:eastAsia="Arial" w:hAnsi="Arial" w:cs="Arial"/>
                <w:spacing w:val="-9"/>
                <w:sz w:val="17"/>
                <w:szCs w:val="17"/>
              </w:rPr>
              <w:t xml:space="preserve"> </w:t>
            </w:r>
            <w:r w:rsidRPr="00865195">
              <w:rPr>
                <w:rFonts w:ascii="Arial" w:eastAsia="Arial" w:hAnsi="Arial" w:cs="Arial"/>
                <w:spacing w:val="2"/>
                <w:sz w:val="17"/>
                <w:szCs w:val="17"/>
              </w:rPr>
              <w:t>A</w:t>
            </w:r>
            <w:r w:rsidRPr="00865195">
              <w:rPr>
                <w:rFonts w:ascii="Arial" w:eastAsia="Arial" w:hAnsi="Arial" w:cs="Arial"/>
                <w:spacing w:val="-1"/>
                <w:sz w:val="17"/>
                <w:szCs w:val="17"/>
              </w:rPr>
              <w:t>v</w:t>
            </w:r>
            <w:r w:rsidRPr="00865195">
              <w:rPr>
                <w:rFonts w:ascii="Arial" w:eastAsia="Arial" w:hAnsi="Arial" w:cs="Arial"/>
                <w:sz w:val="17"/>
                <w:szCs w:val="17"/>
              </w:rPr>
              <w:t>e</w:t>
            </w:r>
            <w:r w:rsidRPr="00865195">
              <w:rPr>
                <w:rFonts w:ascii="Arial" w:eastAsia="Arial" w:hAnsi="Arial" w:cs="Arial"/>
                <w:spacing w:val="1"/>
                <w:sz w:val="17"/>
                <w:szCs w:val="17"/>
              </w:rPr>
              <w:t>r</w:t>
            </w:r>
            <w:r w:rsidRPr="00865195">
              <w:rPr>
                <w:rFonts w:ascii="Arial" w:eastAsia="Arial" w:hAnsi="Arial" w:cs="Arial"/>
                <w:spacing w:val="2"/>
                <w:sz w:val="17"/>
                <w:szCs w:val="17"/>
              </w:rPr>
              <w:t>a</w:t>
            </w:r>
            <w:r w:rsidRPr="00865195">
              <w:rPr>
                <w:rFonts w:ascii="Arial" w:eastAsia="Arial" w:hAnsi="Arial" w:cs="Arial"/>
                <w:sz w:val="17"/>
                <w:szCs w:val="17"/>
              </w:rPr>
              <w:t>ge</w:t>
            </w:r>
            <w:r w:rsidRPr="00865195">
              <w:rPr>
                <w:rFonts w:ascii="Arial" w:eastAsia="Arial" w:hAnsi="Arial" w:cs="Arial"/>
                <w:spacing w:val="-8"/>
                <w:sz w:val="17"/>
                <w:szCs w:val="17"/>
              </w:rPr>
              <w:t xml:space="preserve"> </w:t>
            </w:r>
            <w:r w:rsidRPr="00865195">
              <w:rPr>
                <w:rFonts w:ascii="Arial" w:eastAsia="Arial" w:hAnsi="Arial" w:cs="Arial"/>
                <w:spacing w:val="2"/>
                <w:sz w:val="17"/>
                <w:szCs w:val="17"/>
              </w:rPr>
              <w:t>E</w:t>
            </w:r>
            <w:r w:rsidRPr="00865195">
              <w:rPr>
                <w:rFonts w:ascii="Arial" w:eastAsia="Arial" w:hAnsi="Arial" w:cs="Arial"/>
                <w:sz w:val="17"/>
                <w:szCs w:val="17"/>
              </w:rPr>
              <w:t>qu</w:t>
            </w:r>
            <w:r w:rsidRPr="00865195">
              <w:rPr>
                <w:rFonts w:ascii="Arial" w:eastAsia="Arial" w:hAnsi="Arial" w:cs="Arial"/>
                <w:spacing w:val="2"/>
                <w:sz w:val="17"/>
                <w:szCs w:val="17"/>
              </w:rPr>
              <w:t>a</w:t>
            </w:r>
            <w:r w:rsidRPr="00865195">
              <w:rPr>
                <w:rFonts w:ascii="Arial" w:eastAsia="Arial" w:hAnsi="Arial" w:cs="Arial"/>
                <w:sz w:val="17"/>
                <w:szCs w:val="17"/>
              </w:rPr>
              <w:t>l</w:t>
            </w:r>
          </w:p>
          <w:p w14:paraId="381B4FD0" w14:textId="77777777" w:rsidR="0091786E" w:rsidRPr="00865195" w:rsidRDefault="0091786E" w:rsidP="00716523">
            <w:pPr>
              <w:pStyle w:val="MethodologyText"/>
              <w:ind w:left="0"/>
              <w:rPr>
                <w:rFonts w:ascii="Arial" w:hAnsi="Arial" w:cs="Arial"/>
                <w:i/>
                <w:color w:val="000000"/>
                <w:sz w:val="17"/>
                <w:szCs w:val="17"/>
                <w:lang w:eastAsia="ja-JP"/>
              </w:rPr>
            </w:pPr>
            <w:r w:rsidRPr="00865195">
              <w:rPr>
                <w:rFonts w:ascii="Arial" w:eastAsia="Arial" w:hAnsi="Arial" w:cs="Arial"/>
                <w:spacing w:val="6"/>
                <w:sz w:val="17"/>
                <w:szCs w:val="17"/>
              </w:rPr>
              <w:t xml:space="preserve">      W</w:t>
            </w:r>
            <w:r w:rsidRPr="00865195">
              <w:rPr>
                <w:rFonts w:ascii="Arial" w:eastAsia="Arial" w:hAnsi="Arial" w:cs="Arial"/>
                <w:sz w:val="17"/>
                <w:szCs w:val="17"/>
              </w:rPr>
              <w:t>e</w:t>
            </w:r>
            <w:r w:rsidRPr="00865195">
              <w:rPr>
                <w:rFonts w:ascii="Arial" w:eastAsia="Arial" w:hAnsi="Arial" w:cs="Arial"/>
                <w:spacing w:val="-1"/>
                <w:sz w:val="17"/>
                <w:szCs w:val="17"/>
              </w:rPr>
              <w:t>i</w:t>
            </w:r>
            <w:r w:rsidRPr="00865195">
              <w:rPr>
                <w:rFonts w:ascii="Arial" w:eastAsia="Arial" w:hAnsi="Arial" w:cs="Arial"/>
                <w:sz w:val="17"/>
                <w:szCs w:val="17"/>
              </w:rPr>
              <w:t>ght</w:t>
            </w:r>
            <w:r w:rsidRPr="00865195">
              <w:rPr>
                <w:rFonts w:ascii="Arial" w:eastAsia="Arial" w:hAnsi="Arial" w:cs="Arial"/>
                <w:spacing w:val="-7"/>
                <w:sz w:val="17"/>
                <w:szCs w:val="17"/>
              </w:rPr>
              <w:t xml:space="preserve"> </w:t>
            </w:r>
            <w:r w:rsidRPr="00865195">
              <w:rPr>
                <w:rFonts w:ascii="Arial" w:eastAsia="Arial" w:hAnsi="Arial" w:cs="Arial"/>
                <w:sz w:val="17"/>
                <w:szCs w:val="17"/>
              </w:rPr>
              <w:t>Index</w:t>
            </w:r>
          </w:p>
        </w:tc>
        <w:tc>
          <w:tcPr>
            <w:tcW w:w="4770" w:type="dxa"/>
          </w:tcPr>
          <w:p w14:paraId="0AD1A168" w14:textId="77777777" w:rsidR="0091786E" w:rsidRPr="00865195" w:rsidRDefault="0091786E" w:rsidP="00716523">
            <w:pPr>
              <w:ind w:right="-20"/>
              <w:rPr>
                <w:rFonts w:ascii="Arial" w:eastAsia="Arial" w:hAnsi="Arial" w:cs="Arial"/>
                <w:sz w:val="17"/>
                <w:szCs w:val="17"/>
                <w:lang w:val="es-MX"/>
              </w:rPr>
            </w:pPr>
            <w:r w:rsidRPr="00865195">
              <w:rPr>
                <w:rFonts w:ascii="Arial" w:eastAsia="Arial" w:hAnsi="Arial" w:cs="Arial"/>
                <w:sz w:val="17"/>
                <w:szCs w:val="17"/>
                <w:lang w:val="es-MX"/>
              </w:rPr>
              <w:t>La compañía escindida se agrega al índice tomando para tal efecto un precio de cero en la fecha ex-date sin que haya ajuste del Divisor.</w:t>
            </w:r>
          </w:p>
          <w:p w14:paraId="2729B7CC" w14:textId="77777777" w:rsidR="0091786E" w:rsidRPr="00865195" w:rsidRDefault="0091786E" w:rsidP="00716523">
            <w:pPr>
              <w:ind w:right="-20"/>
              <w:rPr>
                <w:rFonts w:ascii="Arial" w:eastAsia="Arial" w:hAnsi="Arial" w:cs="Arial"/>
                <w:sz w:val="17"/>
                <w:szCs w:val="17"/>
                <w:lang w:val="es-MX"/>
              </w:rPr>
            </w:pPr>
          </w:p>
          <w:p w14:paraId="067CDC9D" w14:textId="77777777" w:rsidR="0091786E" w:rsidRPr="00865195" w:rsidRDefault="0091786E" w:rsidP="00716523">
            <w:pPr>
              <w:spacing w:before="5" w:line="228" w:lineRule="exact"/>
              <w:ind w:right="258"/>
              <w:rPr>
                <w:rFonts w:ascii="Arial" w:eastAsia="Arial" w:hAnsi="Arial" w:cs="Arial"/>
                <w:sz w:val="17"/>
                <w:szCs w:val="17"/>
                <w:lang w:val="es-MX"/>
              </w:rPr>
            </w:pPr>
            <w:r w:rsidRPr="00865195">
              <w:rPr>
                <w:rFonts w:ascii="Arial" w:eastAsia="Arial" w:hAnsi="Arial" w:cs="Arial"/>
                <w:sz w:val="17"/>
                <w:szCs w:val="17"/>
                <w:lang w:val="es-MX"/>
              </w:rPr>
              <w:t>Si la compañía escindida no es permanentemente agregada al índice, se elimina después del primer día de negociación ordinaria redistribuyendo la ponderación del componente removido en la compañía primigenia. El Divisor del índice no sufre ningún ajuste.</w:t>
            </w:r>
          </w:p>
          <w:p w14:paraId="7F281BCB" w14:textId="77777777" w:rsidR="0091786E" w:rsidRPr="00865195" w:rsidRDefault="0091786E" w:rsidP="00716523">
            <w:pPr>
              <w:spacing w:before="5" w:line="228" w:lineRule="exact"/>
              <w:ind w:right="258"/>
              <w:rPr>
                <w:rFonts w:ascii="Arial" w:eastAsia="Arial" w:hAnsi="Arial" w:cs="Arial"/>
                <w:sz w:val="17"/>
                <w:szCs w:val="17"/>
                <w:lang w:val="es-MX"/>
              </w:rPr>
            </w:pPr>
          </w:p>
          <w:p w14:paraId="40BF33C1" w14:textId="77777777" w:rsidR="0091786E" w:rsidRPr="00865195" w:rsidRDefault="0091786E" w:rsidP="00716523">
            <w:pPr>
              <w:spacing w:before="5" w:line="228" w:lineRule="exact"/>
              <w:ind w:right="258"/>
              <w:rPr>
                <w:rFonts w:ascii="Arial" w:eastAsia="Arial" w:hAnsi="Arial" w:cs="Arial"/>
                <w:sz w:val="17"/>
                <w:szCs w:val="17"/>
                <w:lang w:val="es-MX"/>
              </w:rPr>
            </w:pPr>
            <w:r w:rsidRPr="00865195">
              <w:rPr>
                <w:rFonts w:ascii="Arial" w:eastAsia="Arial" w:hAnsi="Arial" w:cs="Arial"/>
                <w:sz w:val="17"/>
                <w:szCs w:val="17"/>
                <w:lang w:val="es-MX"/>
              </w:rPr>
              <w:t>Si una empresa escindida r</w:t>
            </w:r>
            <w:r w:rsidR="0033378C">
              <w:rPr>
                <w:rFonts w:ascii="Arial" w:eastAsia="Arial" w:hAnsi="Arial" w:cs="Arial"/>
                <w:sz w:val="17"/>
                <w:szCs w:val="17"/>
                <w:lang w:val="es-MX"/>
              </w:rPr>
              <w:t xml:space="preserve">eemplaza a la compañía primigenia </w:t>
            </w:r>
            <w:r w:rsidRPr="00865195">
              <w:rPr>
                <w:rFonts w:ascii="Arial" w:eastAsia="Arial" w:hAnsi="Arial" w:cs="Arial"/>
                <w:sz w:val="17"/>
                <w:szCs w:val="17"/>
                <w:lang w:val="es-MX"/>
              </w:rPr>
              <w:t xml:space="preserve"> en el índice, el peso de la compañía escindida se reasigna a la compañía primigenia en la fecha efectiva del remplazo</w:t>
            </w:r>
            <w:r w:rsidR="00D54715">
              <w:rPr>
                <w:rFonts w:ascii="Arial" w:eastAsia="Arial" w:hAnsi="Arial" w:cs="Arial"/>
                <w:sz w:val="17"/>
                <w:szCs w:val="17"/>
                <w:lang w:val="es-MX"/>
              </w:rPr>
              <w:t xml:space="preserve">. </w:t>
            </w:r>
            <w:r w:rsidRPr="00865195">
              <w:rPr>
                <w:rFonts w:ascii="Arial" w:eastAsia="Arial" w:hAnsi="Arial" w:cs="Arial"/>
                <w:sz w:val="17"/>
                <w:szCs w:val="17"/>
                <w:lang w:val="es-MX"/>
              </w:rPr>
              <w:t xml:space="preserve"> El Divisor del índice no sufre ningún ajuste.</w:t>
            </w:r>
          </w:p>
          <w:p w14:paraId="02315A72" w14:textId="77777777" w:rsidR="0091786E" w:rsidRPr="00865195" w:rsidRDefault="0091786E" w:rsidP="00716523">
            <w:pPr>
              <w:spacing w:before="5" w:line="228" w:lineRule="exact"/>
              <w:ind w:right="258"/>
              <w:rPr>
                <w:rFonts w:ascii="Arial" w:eastAsia="Arial" w:hAnsi="Arial" w:cs="Arial"/>
                <w:sz w:val="17"/>
                <w:szCs w:val="17"/>
                <w:lang w:val="es-MX"/>
              </w:rPr>
            </w:pPr>
          </w:p>
          <w:p w14:paraId="3A676709" w14:textId="77777777" w:rsidR="0091786E" w:rsidRPr="00865195" w:rsidRDefault="0091786E" w:rsidP="00716523">
            <w:pPr>
              <w:spacing w:before="5" w:line="228" w:lineRule="exact"/>
              <w:ind w:right="258"/>
              <w:rPr>
                <w:rFonts w:ascii="Arial" w:eastAsia="Arial" w:hAnsi="Arial" w:cs="Arial"/>
                <w:sz w:val="17"/>
                <w:szCs w:val="17"/>
                <w:lang w:val="es-MX"/>
              </w:rPr>
            </w:pPr>
            <w:r w:rsidRPr="00865195">
              <w:rPr>
                <w:rFonts w:ascii="Arial" w:eastAsia="Arial" w:hAnsi="Arial" w:cs="Arial"/>
                <w:sz w:val="17"/>
                <w:szCs w:val="17"/>
                <w:lang w:val="es-MX"/>
              </w:rPr>
              <w:t>Si la escindida está reemplazando a la compañía primigenia en el índice, el peso de la compañía primigenia se reasigna a la compañía escindida en la fecha efectiva del reemplazo. El Divisor del índice no sufre ningún ajuste.</w:t>
            </w:r>
          </w:p>
        </w:tc>
      </w:tr>
    </w:tbl>
    <w:p w14:paraId="6594349D" w14:textId="77777777" w:rsidR="0091786E" w:rsidRPr="00EC7650" w:rsidRDefault="0091786E" w:rsidP="00E3182B">
      <w:pPr>
        <w:pStyle w:val="MethodologyText"/>
        <w:ind w:left="0"/>
        <w:rPr>
          <w:rFonts w:ascii="Arial" w:hAnsi="Arial" w:cs="Arial"/>
          <w:i/>
          <w:color w:val="000000"/>
          <w:sz w:val="20"/>
          <w:szCs w:val="22"/>
          <w:lang w:val="es-MX" w:eastAsia="ja-JP"/>
        </w:rPr>
      </w:pPr>
    </w:p>
    <w:p w14:paraId="5B091620" w14:textId="77777777" w:rsidR="00E97BED" w:rsidRDefault="00E97BED" w:rsidP="00E97BED">
      <w:pPr>
        <w:pStyle w:val="Heading2"/>
        <w:ind w:left="720"/>
        <w:rPr>
          <w:rFonts w:ascii="Arial" w:hAnsi="Arial" w:cs="Arial"/>
          <w:sz w:val="20"/>
          <w:lang w:val="es-MX"/>
        </w:rPr>
      </w:pPr>
      <w:bookmarkStart w:id="18" w:name="_Toc511816996"/>
      <w:bookmarkStart w:id="19" w:name="_Toc511921700"/>
      <w:bookmarkStart w:id="20" w:name="_Toc198540687"/>
      <w:r>
        <w:rPr>
          <w:rFonts w:ascii="Arial" w:hAnsi="Arial" w:cs="Arial"/>
          <w:sz w:val="20"/>
          <w:lang w:val="es-MX"/>
        </w:rPr>
        <w:t xml:space="preserve">Moneda de cálculo </w:t>
      </w:r>
      <w:bookmarkEnd w:id="18"/>
      <w:bookmarkEnd w:id="19"/>
      <w:r w:rsidR="005A467E" w:rsidRPr="005A467E">
        <w:rPr>
          <w:rFonts w:ascii="Arial" w:hAnsi="Arial" w:cs="Arial"/>
          <w:sz w:val="20"/>
          <w:lang w:val="es-MX"/>
        </w:rPr>
        <w:t>y versiones adicionales de índices según el tipo de retorno</w:t>
      </w:r>
      <w:bookmarkEnd w:id="20"/>
    </w:p>
    <w:p w14:paraId="06A2A5DE" w14:textId="77777777" w:rsidR="00E97BED" w:rsidRPr="00B23ADE" w:rsidRDefault="00E97BED" w:rsidP="00B23ADE">
      <w:pPr>
        <w:pStyle w:val="MethodologyText"/>
        <w:ind w:left="720"/>
        <w:rPr>
          <w:rFonts w:ascii="Arial" w:hAnsi="Arial" w:cs="Arial"/>
          <w:sz w:val="20"/>
          <w:lang w:val="es-CL"/>
        </w:rPr>
      </w:pPr>
      <w:r w:rsidRPr="00C07C87">
        <w:rPr>
          <w:rFonts w:ascii="Arial" w:hAnsi="Arial" w:cs="Arial"/>
          <w:sz w:val="20"/>
          <w:szCs w:val="20"/>
          <w:lang w:val="es"/>
        </w:rPr>
        <w:t>Los índices se calculan en dólares estadounidenses (USD)</w:t>
      </w:r>
      <w:r>
        <w:rPr>
          <w:rFonts w:ascii="Arial" w:hAnsi="Arial" w:cs="Arial"/>
          <w:sz w:val="20"/>
          <w:szCs w:val="20"/>
          <w:lang w:val="es"/>
        </w:rPr>
        <w:t>.</w:t>
      </w:r>
      <w:r w:rsidRPr="00C07C87">
        <w:rPr>
          <w:rFonts w:ascii="Arial" w:hAnsi="Arial" w:cs="Arial"/>
          <w:sz w:val="20"/>
          <w:szCs w:val="20"/>
          <w:lang w:val="es"/>
        </w:rPr>
        <w:t xml:space="preserve"> El </w:t>
      </w:r>
      <w:r w:rsidRPr="00E97BED">
        <w:rPr>
          <w:rFonts w:ascii="Arial" w:hAnsi="Arial" w:cs="Arial"/>
          <w:sz w:val="20"/>
          <w:lang w:val="es-MX"/>
        </w:rPr>
        <w:t>Dow Jones Industrial Average™ tambi</w:t>
      </w:r>
      <w:r>
        <w:rPr>
          <w:rFonts w:ascii="Arial" w:hAnsi="Arial" w:cs="Arial"/>
          <w:sz w:val="20"/>
          <w:lang w:val="es-MX"/>
        </w:rPr>
        <w:t>én</w:t>
      </w:r>
      <w:r>
        <w:rPr>
          <w:rFonts w:ascii="Arial" w:hAnsi="Arial" w:cs="Arial"/>
          <w:sz w:val="20"/>
          <w:szCs w:val="20"/>
          <w:lang w:val="es"/>
        </w:rPr>
        <w:t xml:space="preserve"> se calcula en y</w:t>
      </w:r>
      <w:r w:rsidRPr="00C07C87">
        <w:rPr>
          <w:rFonts w:ascii="Arial" w:hAnsi="Arial" w:cs="Arial"/>
          <w:sz w:val="20"/>
          <w:szCs w:val="20"/>
          <w:lang w:val="es"/>
        </w:rPr>
        <w:t>enes japoneses (JPY)</w:t>
      </w:r>
      <w:r>
        <w:rPr>
          <w:rFonts w:ascii="Arial" w:hAnsi="Arial" w:cs="Arial"/>
          <w:sz w:val="20"/>
          <w:szCs w:val="20"/>
          <w:lang w:val="es"/>
        </w:rPr>
        <w:t xml:space="preserve">. Adicionalmente, el </w:t>
      </w:r>
      <w:r w:rsidRPr="00E97BED">
        <w:rPr>
          <w:rFonts w:ascii="Arial" w:hAnsi="Arial" w:cs="Arial"/>
          <w:sz w:val="20"/>
          <w:lang w:val="es-MX"/>
        </w:rPr>
        <w:t xml:space="preserve">Dow Jones Industrial Average™ está disponible </w:t>
      </w:r>
      <w:r>
        <w:rPr>
          <w:rFonts w:ascii="Arial" w:hAnsi="Arial" w:cs="Arial"/>
          <w:sz w:val="20"/>
          <w:lang w:val="es-MX"/>
        </w:rPr>
        <w:t>en dólares canadienses (CAD) y en euros (EUR)</w:t>
      </w:r>
      <w:r w:rsidR="00B23ADE">
        <w:rPr>
          <w:rFonts w:ascii="Arial" w:hAnsi="Arial" w:cs="Arial"/>
          <w:sz w:val="20"/>
          <w:lang w:val="es-MX"/>
        </w:rPr>
        <w:t xml:space="preserve"> </w:t>
      </w:r>
      <w:r w:rsidR="00B23ADE" w:rsidRPr="00D644D5">
        <w:rPr>
          <w:rFonts w:ascii="Arial" w:hAnsi="Arial" w:cs="Arial"/>
          <w:sz w:val="20"/>
          <w:lang w:val="es-CL"/>
        </w:rPr>
        <w:t>previa solicitud.</w:t>
      </w:r>
    </w:p>
    <w:p w14:paraId="28C1F0C5" w14:textId="77777777" w:rsidR="00BC46DD" w:rsidRDefault="00BC46DD" w:rsidP="0091786E">
      <w:pPr>
        <w:pStyle w:val="MethodologyText"/>
        <w:ind w:left="720"/>
        <w:rPr>
          <w:rFonts w:ascii="Arial" w:hAnsi="Arial" w:cs="Arial"/>
          <w:sz w:val="20"/>
          <w:lang w:val="es-CL"/>
        </w:rPr>
      </w:pPr>
    </w:p>
    <w:p w14:paraId="333E751B" w14:textId="2B33D5EF" w:rsidR="0091786E" w:rsidRDefault="0091786E" w:rsidP="0091786E">
      <w:pPr>
        <w:pStyle w:val="MethodologyText"/>
        <w:ind w:left="720"/>
        <w:rPr>
          <w:rFonts w:ascii="Arial" w:hAnsi="Arial" w:cs="Arial"/>
          <w:sz w:val="20"/>
          <w:lang w:val="es-CL"/>
        </w:rPr>
      </w:pPr>
      <w:r>
        <w:rPr>
          <w:rFonts w:ascii="Arial" w:hAnsi="Arial" w:cs="Arial"/>
          <w:sz w:val="20"/>
          <w:lang w:val="es-CL"/>
        </w:rPr>
        <w:t>Los tipos de cambio de WM</w:t>
      </w:r>
      <w:r w:rsidR="002D15E9">
        <w:rPr>
          <w:rFonts w:ascii="Arial" w:hAnsi="Arial" w:cs="Arial"/>
          <w:sz w:val="20"/>
          <w:lang w:val="es-CL"/>
        </w:rPr>
        <w:t>R</w:t>
      </w:r>
      <w:r>
        <w:rPr>
          <w:rFonts w:ascii="Arial" w:hAnsi="Arial" w:cs="Arial"/>
          <w:sz w:val="20"/>
          <w:lang w:val="es-CL"/>
        </w:rPr>
        <w:t xml:space="preserve"> se calculan todos los días a las 4:00 PM, hora de Londres y son utilizados para calcular el </w:t>
      </w:r>
      <w:r w:rsidRPr="0055722B">
        <w:rPr>
          <w:rFonts w:ascii="Arial" w:hAnsi="Arial" w:cs="Arial"/>
          <w:sz w:val="20"/>
          <w:lang w:val="es-CL"/>
        </w:rPr>
        <w:t>Dow Jones Industrial Average™</w:t>
      </w:r>
      <w:r w:rsidR="00BC46DD">
        <w:rPr>
          <w:rFonts w:ascii="Arial" w:hAnsi="Arial" w:cs="Arial"/>
          <w:sz w:val="20"/>
          <w:lang w:val="es-CL"/>
        </w:rPr>
        <w:t xml:space="preserve"> </w:t>
      </w:r>
      <w:r w:rsidRPr="0055722B">
        <w:rPr>
          <w:rFonts w:ascii="Arial" w:hAnsi="Arial" w:cs="Arial"/>
          <w:sz w:val="20"/>
          <w:lang w:val="es-CL"/>
        </w:rPr>
        <w:t>y</w:t>
      </w:r>
      <w:r w:rsidR="00BC46DD">
        <w:rPr>
          <w:rFonts w:ascii="Arial" w:hAnsi="Arial" w:cs="Arial"/>
          <w:sz w:val="20"/>
          <w:lang w:val="es-CL"/>
        </w:rPr>
        <w:t xml:space="preserve"> la versión en JPY del mismo índice</w:t>
      </w:r>
      <w:r>
        <w:rPr>
          <w:rFonts w:ascii="Arial" w:hAnsi="Arial" w:cs="Arial"/>
          <w:sz w:val="20"/>
          <w:lang w:val="es-CL"/>
        </w:rPr>
        <w:t xml:space="preserve"> al cierre d</w:t>
      </w:r>
      <w:r w:rsidR="00BC46DD">
        <w:rPr>
          <w:rFonts w:ascii="Arial" w:hAnsi="Arial" w:cs="Arial"/>
          <w:sz w:val="20"/>
          <w:lang w:val="es-CL"/>
        </w:rPr>
        <w:t>e operaciones bursátiles</w:t>
      </w:r>
      <w:r>
        <w:rPr>
          <w:rFonts w:ascii="Arial" w:hAnsi="Arial" w:cs="Arial"/>
          <w:sz w:val="20"/>
          <w:lang w:val="es-CL"/>
        </w:rPr>
        <w:t xml:space="preserve">. Estos niveles mid market son calculados por </w:t>
      </w:r>
      <w:r w:rsidRPr="00022564">
        <w:rPr>
          <w:rFonts w:ascii="Arial" w:hAnsi="Arial" w:cs="Arial"/>
          <w:sz w:val="20"/>
          <w:lang w:val="es-CL"/>
        </w:rPr>
        <w:t>WM</w:t>
      </w:r>
      <w:r w:rsidR="002D15E9">
        <w:rPr>
          <w:rFonts w:ascii="Arial" w:hAnsi="Arial" w:cs="Arial"/>
          <w:sz w:val="20"/>
          <w:lang w:val="es-CL"/>
        </w:rPr>
        <w:t>R</w:t>
      </w:r>
      <w:r w:rsidRPr="00022564">
        <w:rPr>
          <w:rFonts w:ascii="Arial" w:hAnsi="Arial" w:cs="Arial"/>
          <w:sz w:val="20"/>
          <w:lang w:val="es-CL"/>
        </w:rPr>
        <w:t xml:space="preserve">, con base en la información proporcionada por </w:t>
      </w:r>
      <w:r w:rsidR="002D15E9">
        <w:rPr>
          <w:rFonts w:ascii="Arial" w:hAnsi="Arial" w:cs="Arial"/>
          <w:sz w:val="20"/>
          <w:lang w:val="es-CL"/>
        </w:rPr>
        <w:t>LSEG</w:t>
      </w:r>
      <w:r w:rsidRPr="00022564">
        <w:rPr>
          <w:rFonts w:ascii="Arial" w:hAnsi="Arial" w:cs="Arial"/>
          <w:sz w:val="20"/>
          <w:lang w:val="es-CL"/>
        </w:rPr>
        <w:t xml:space="preserve"> y </w:t>
      </w:r>
      <w:r>
        <w:rPr>
          <w:rFonts w:ascii="Arial" w:hAnsi="Arial" w:cs="Arial"/>
          <w:sz w:val="20"/>
          <w:lang w:val="es-CL"/>
        </w:rPr>
        <w:t>son publicadas</w:t>
      </w:r>
      <w:r w:rsidRPr="00022564">
        <w:rPr>
          <w:rFonts w:ascii="Arial" w:hAnsi="Arial" w:cs="Arial"/>
          <w:sz w:val="20"/>
          <w:lang w:val="es-CL"/>
        </w:rPr>
        <w:t xml:space="preserve"> en las páginas de </w:t>
      </w:r>
      <w:r w:rsidR="002D15E9">
        <w:rPr>
          <w:rFonts w:ascii="Arial" w:hAnsi="Arial" w:cs="Arial"/>
          <w:sz w:val="20"/>
          <w:lang w:val="es-CL"/>
        </w:rPr>
        <w:t>LSEG</w:t>
      </w:r>
      <w:r w:rsidRPr="00022564">
        <w:rPr>
          <w:rFonts w:ascii="Arial" w:hAnsi="Arial" w:cs="Arial"/>
          <w:sz w:val="20"/>
          <w:lang w:val="es-CL"/>
        </w:rPr>
        <w:t>.</w:t>
      </w:r>
    </w:p>
    <w:p w14:paraId="71DD7B73" w14:textId="58D5E4AF" w:rsidR="000E27B2" w:rsidRDefault="000E27B2" w:rsidP="0091786E">
      <w:pPr>
        <w:pStyle w:val="MethodologyText"/>
        <w:ind w:left="720"/>
        <w:rPr>
          <w:rFonts w:ascii="Arial" w:hAnsi="Arial" w:cs="Arial"/>
          <w:sz w:val="20"/>
          <w:lang w:val="es-CL"/>
        </w:rPr>
      </w:pPr>
    </w:p>
    <w:p w14:paraId="6AA3B69A" w14:textId="7907633B" w:rsidR="000E27B2" w:rsidRPr="000E27B2" w:rsidRDefault="000E27B2" w:rsidP="000E27B2">
      <w:pPr>
        <w:pStyle w:val="MethodologyText"/>
        <w:ind w:left="720"/>
        <w:rPr>
          <w:rFonts w:ascii="Arial" w:hAnsi="Arial" w:cs="Arial"/>
          <w:sz w:val="20"/>
          <w:lang w:val="es-CL"/>
        </w:rPr>
      </w:pPr>
      <w:r w:rsidRPr="000E27B2">
        <w:rPr>
          <w:rFonts w:ascii="Arial" w:hAnsi="Arial" w:cs="Arial"/>
          <w:sz w:val="20"/>
          <w:lang w:val="es-CL"/>
        </w:rPr>
        <w:t xml:space="preserve">El índice Dow Jones Industrial Average ™ Hedged JPY Leverage 2X representa una versión apalancada dos veces del Dow Jones Industrial Average ™ JPY Hedged Index y </w:t>
      </w:r>
      <w:r>
        <w:rPr>
          <w:rFonts w:ascii="Arial" w:hAnsi="Arial" w:cs="Arial"/>
          <w:sz w:val="20"/>
          <w:lang w:val="es-CL"/>
        </w:rPr>
        <w:t>toma</w:t>
      </w:r>
      <w:r w:rsidRPr="000E27B2">
        <w:rPr>
          <w:rFonts w:ascii="Arial" w:hAnsi="Arial" w:cs="Arial"/>
          <w:sz w:val="20"/>
          <w:lang w:val="es-CL"/>
        </w:rPr>
        <w:t xml:space="preserve"> </w:t>
      </w:r>
      <w:r>
        <w:rPr>
          <w:rFonts w:ascii="Arial" w:hAnsi="Arial" w:cs="Arial"/>
          <w:sz w:val="20"/>
          <w:lang w:val="es-CL"/>
        </w:rPr>
        <w:t xml:space="preserve">la </w:t>
      </w:r>
      <w:r w:rsidRPr="000E27B2">
        <w:rPr>
          <w:rFonts w:ascii="Arial" w:hAnsi="Arial" w:cs="Arial"/>
          <w:sz w:val="20"/>
          <w:lang w:val="es-CL"/>
        </w:rPr>
        <w:t xml:space="preserve">JPY TIBOR a 3 meses </w:t>
      </w:r>
      <w:r>
        <w:rPr>
          <w:rFonts w:ascii="Arial" w:hAnsi="Arial" w:cs="Arial"/>
          <w:sz w:val="20"/>
          <w:lang w:val="es-CL"/>
        </w:rPr>
        <w:t>como</w:t>
      </w:r>
      <w:r w:rsidRPr="000E27B2">
        <w:rPr>
          <w:rFonts w:ascii="Arial" w:hAnsi="Arial" w:cs="Arial"/>
          <w:sz w:val="20"/>
          <w:lang w:val="es-CL"/>
        </w:rPr>
        <w:t xml:space="preserve"> tasa de interés.</w:t>
      </w:r>
    </w:p>
    <w:p w14:paraId="25A120C4" w14:textId="77777777" w:rsidR="000E27B2" w:rsidRPr="000E27B2" w:rsidRDefault="000E27B2" w:rsidP="000E27B2">
      <w:pPr>
        <w:pStyle w:val="MethodologyText"/>
        <w:ind w:left="720"/>
        <w:rPr>
          <w:rFonts w:ascii="Arial" w:hAnsi="Arial" w:cs="Arial"/>
          <w:sz w:val="20"/>
          <w:lang w:val="es-CL"/>
        </w:rPr>
      </w:pPr>
    </w:p>
    <w:p w14:paraId="20B2FBCC" w14:textId="2D5C371B" w:rsidR="000E27B2" w:rsidRDefault="000E27B2" w:rsidP="000E27B2">
      <w:pPr>
        <w:pStyle w:val="MethodologyText"/>
        <w:ind w:left="720"/>
        <w:rPr>
          <w:rFonts w:ascii="Arial" w:hAnsi="Arial" w:cs="Arial"/>
          <w:sz w:val="20"/>
          <w:lang w:val="es-CL"/>
        </w:rPr>
      </w:pPr>
      <w:r w:rsidRPr="000E27B2">
        <w:rPr>
          <w:rFonts w:ascii="Arial" w:hAnsi="Arial" w:cs="Arial"/>
          <w:sz w:val="20"/>
          <w:lang w:val="es-CL"/>
        </w:rPr>
        <w:t xml:space="preserve">El índice Dow Jones Industrial Average ™ Hedged JPY Inverse representa una versión inversa única del Dow Jones Industrial Average ™ JPY Hedged Index y </w:t>
      </w:r>
      <w:r w:rsidR="00530CB8">
        <w:rPr>
          <w:rFonts w:ascii="Arial" w:hAnsi="Arial" w:cs="Arial"/>
          <w:sz w:val="20"/>
          <w:lang w:val="es-CL"/>
        </w:rPr>
        <w:t>toma</w:t>
      </w:r>
      <w:r w:rsidR="00530CB8" w:rsidRPr="000E27B2">
        <w:rPr>
          <w:rFonts w:ascii="Arial" w:hAnsi="Arial" w:cs="Arial"/>
          <w:sz w:val="20"/>
          <w:lang w:val="es-CL"/>
        </w:rPr>
        <w:t xml:space="preserve"> </w:t>
      </w:r>
      <w:r w:rsidR="00530CB8">
        <w:rPr>
          <w:rFonts w:ascii="Arial" w:hAnsi="Arial" w:cs="Arial"/>
          <w:sz w:val="20"/>
          <w:lang w:val="es-CL"/>
        </w:rPr>
        <w:t>la</w:t>
      </w:r>
      <w:r w:rsidRPr="000E27B2">
        <w:rPr>
          <w:rFonts w:ascii="Arial" w:hAnsi="Arial" w:cs="Arial"/>
          <w:sz w:val="20"/>
          <w:lang w:val="es-CL"/>
        </w:rPr>
        <w:t xml:space="preserve"> JPY TIBOR a 3 meses </w:t>
      </w:r>
      <w:r w:rsidR="00530CB8">
        <w:rPr>
          <w:rFonts w:ascii="Arial" w:hAnsi="Arial" w:cs="Arial"/>
          <w:sz w:val="20"/>
          <w:lang w:val="es-CL"/>
        </w:rPr>
        <w:t>como</w:t>
      </w:r>
      <w:r w:rsidRPr="000E27B2">
        <w:rPr>
          <w:rFonts w:ascii="Arial" w:hAnsi="Arial" w:cs="Arial"/>
          <w:sz w:val="20"/>
          <w:lang w:val="es-CL"/>
        </w:rPr>
        <w:t xml:space="preserve"> tasa de interés.</w:t>
      </w:r>
    </w:p>
    <w:p w14:paraId="7E1F67D8" w14:textId="77777777" w:rsidR="00BC46DD" w:rsidRDefault="00BC46DD" w:rsidP="0091786E">
      <w:pPr>
        <w:pStyle w:val="MethodologyText"/>
        <w:ind w:left="720"/>
        <w:rPr>
          <w:rFonts w:ascii="Arial" w:hAnsi="Arial" w:cs="Arial"/>
          <w:sz w:val="20"/>
          <w:lang w:val="es-CL"/>
        </w:rPr>
      </w:pPr>
    </w:p>
    <w:p w14:paraId="15DFBDE9" w14:textId="3FD7033F" w:rsidR="005A467E" w:rsidRPr="00DA35F7" w:rsidRDefault="005A467E" w:rsidP="005A467E">
      <w:pPr>
        <w:pStyle w:val="MethodologyText"/>
        <w:ind w:left="720"/>
        <w:rPr>
          <w:rFonts w:ascii="Arial" w:hAnsi="Arial" w:cs="Arial"/>
          <w:sz w:val="20"/>
          <w:szCs w:val="20"/>
          <w:lang w:val="es-MX"/>
        </w:rPr>
      </w:pPr>
      <w:r w:rsidRPr="00DA35F7">
        <w:rPr>
          <w:rFonts w:ascii="Arial" w:hAnsi="Arial" w:cs="Arial"/>
          <w:sz w:val="20"/>
          <w:szCs w:val="20"/>
          <w:lang w:val="es"/>
        </w:rPr>
        <w:t xml:space="preserve">Es posible que existan versiones adicionales de índices de moneda, de cobertura monetaria, decrecientes, valor razonable y de control de riesgo. Considere que la mención de estas variantes de índices puede no ser exhaustiva. Para obtener una lista de la variedad de índices disponibles, consulte la sección </w:t>
      </w:r>
      <w:bookmarkStart w:id="21" w:name="_Hlk60139177"/>
      <w:r w:rsidR="00652504">
        <w:rPr>
          <w:rFonts w:ascii="Calibri" w:hAnsi="Calibri"/>
          <w:szCs w:val="22"/>
        </w:rPr>
        <w:fldChar w:fldCharType="begin"/>
      </w:r>
      <w:r w:rsidR="00652504" w:rsidRPr="00652504">
        <w:rPr>
          <w:lang w:val="es-MX"/>
        </w:rPr>
        <w:instrText>HYPERLINK "https://www.spglobal.com/spdji/en/governance/methodology-and-regulatory-status/"</w:instrText>
      </w:r>
      <w:r w:rsidR="00652504">
        <w:rPr>
          <w:rFonts w:ascii="Calibri" w:hAnsi="Calibri"/>
          <w:szCs w:val="22"/>
        </w:rPr>
      </w:r>
      <w:r w:rsidR="00652504">
        <w:rPr>
          <w:rFonts w:ascii="Calibri" w:hAnsi="Calibri"/>
          <w:szCs w:val="22"/>
        </w:rPr>
        <w:fldChar w:fldCharType="separate"/>
      </w:r>
      <w:r w:rsidR="00652504" w:rsidRPr="00652504">
        <w:rPr>
          <w:rStyle w:val="Hyperlink"/>
          <w:rFonts w:ascii="Arial" w:hAnsi="Arial" w:cs="Arial"/>
          <w:i/>
          <w:sz w:val="20"/>
          <w:szCs w:val="20"/>
          <w:lang w:val="es-MX"/>
        </w:rPr>
        <w:t>S&amp;P DJI Methodology &amp; Regulatory Status Database</w:t>
      </w:r>
      <w:r w:rsidR="00652504">
        <w:rPr>
          <w:rStyle w:val="Hyperlink"/>
          <w:rFonts w:ascii="Arial" w:hAnsi="Arial" w:cs="Arial"/>
          <w:i/>
          <w:sz w:val="20"/>
          <w:szCs w:val="20"/>
        </w:rPr>
        <w:fldChar w:fldCharType="end"/>
      </w:r>
      <w:bookmarkEnd w:id="21"/>
      <w:r w:rsidRPr="00DA35F7">
        <w:rPr>
          <w:rFonts w:ascii="Arial" w:hAnsi="Arial" w:cs="Arial"/>
          <w:sz w:val="20"/>
          <w:szCs w:val="20"/>
          <w:lang w:val="es-MX"/>
        </w:rPr>
        <w:t xml:space="preserve"> </w:t>
      </w:r>
    </w:p>
    <w:p w14:paraId="4385519C" w14:textId="77777777" w:rsidR="00BC46DD" w:rsidRPr="005A467E" w:rsidRDefault="00BC46DD" w:rsidP="00BC46DD">
      <w:pPr>
        <w:pStyle w:val="MethodologyText"/>
        <w:ind w:left="720"/>
        <w:rPr>
          <w:rFonts w:ascii="Arial" w:hAnsi="Arial" w:cs="Arial"/>
          <w:sz w:val="20"/>
          <w:szCs w:val="20"/>
          <w:lang w:val="es-MX"/>
        </w:rPr>
      </w:pPr>
    </w:p>
    <w:p w14:paraId="6C98AFD3" w14:textId="095764A9" w:rsidR="005A467E" w:rsidRDefault="005A467E" w:rsidP="005A467E">
      <w:pPr>
        <w:pStyle w:val="MethodologyText"/>
        <w:ind w:left="720"/>
        <w:rPr>
          <w:rFonts w:ascii="Arial" w:hAnsi="Arial" w:cs="Arial"/>
          <w:i/>
          <w:iCs/>
          <w:sz w:val="20"/>
          <w:szCs w:val="20"/>
          <w:lang w:val="es"/>
        </w:rPr>
      </w:pPr>
      <w:r>
        <w:rPr>
          <w:rFonts w:ascii="Arial" w:hAnsi="Arial" w:cs="Arial"/>
          <w:i/>
          <w:iCs/>
          <w:sz w:val="20"/>
          <w:szCs w:val="20"/>
          <w:lang w:val="es"/>
        </w:rPr>
        <w:t xml:space="preserve">Para obtener información acerca del cálculo de las distintas variantes de los índices, consulte la Metodología de las Matemáticas de los Índices de Renta Variable de S&amp;P Dow Jones Indices. </w:t>
      </w:r>
    </w:p>
    <w:p w14:paraId="6821BEC4" w14:textId="71A065A1" w:rsidR="00652504" w:rsidRDefault="00652504" w:rsidP="005A467E">
      <w:pPr>
        <w:pStyle w:val="MethodologyText"/>
        <w:ind w:left="720"/>
        <w:rPr>
          <w:rFonts w:ascii="Arial" w:hAnsi="Arial" w:cs="Arial"/>
          <w:i/>
          <w:iCs/>
          <w:sz w:val="20"/>
          <w:szCs w:val="20"/>
          <w:lang w:val="es"/>
        </w:rPr>
      </w:pPr>
    </w:p>
    <w:p w14:paraId="103CE09B" w14:textId="77777777" w:rsidR="00652504" w:rsidRPr="00C6493D" w:rsidRDefault="00652504" w:rsidP="00652504">
      <w:pPr>
        <w:ind w:left="720" w:right="720"/>
        <w:rPr>
          <w:rFonts w:ascii="Arial" w:hAnsi="Arial" w:cs="Arial"/>
          <w:i/>
          <w:sz w:val="20"/>
          <w:szCs w:val="20"/>
          <w:lang w:val="es-MX"/>
        </w:rPr>
      </w:pPr>
      <w:r w:rsidRPr="00C6493D">
        <w:rPr>
          <w:rFonts w:ascii="Arial" w:hAnsi="Arial" w:cs="Arial"/>
          <w:i/>
          <w:sz w:val="20"/>
          <w:szCs w:val="20"/>
          <w:lang w:val="es-MX"/>
        </w:rPr>
        <w:t>Para mayor información acerca de las entradas necesarias para calcular ciertas categorías de índices,</w:t>
      </w:r>
    </w:p>
    <w:p w14:paraId="0A814F36" w14:textId="77777777" w:rsidR="00652504" w:rsidRPr="00C6493D" w:rsidRDefault="00652504" w:rsidP="00652504">
      <w:pPr>
        <w:ind w:left="720" w:right="720"/>
        <w:rPr>
          <w:rFonts w:ascii="Arial" w:hAnsi="Arial" w:cs="Arial"/>
          <w:i/>
          <w:sz w:val="20"/>
          <w:szCs w:val="20"/>
          <w:lang w:val="es-MX"/>
        </w:rPr>
      </w:pPr>
      <w:r w:rsidRPr="00C6493D">
        <w:rPr>
          <w:rFonts w:ascii="Arial" w:hAnsi="Arial" w:cs="Arial"/>
          <w:i/>
          <w:sz w:val="20"/>
          <w:szCs w:val="20"/>
          <w:lang w:val="es-MX"/>
        </w:rPr>
        <w:t>incluyendo los decrecientes, de cobertura dinámica, valor razonable y de control de riesgo, consulte los</w:t>
      </w:r>
    </w:p>
    <w:p w14:paraId="3167B811" w14:textId="14F7779F" w:rsidR="00652504" w:rsidRPr="00652504" w:rsidRDefault="00652504" w:rsidP="00652504">
      <w:pPr>
        <w:ind w:left="720" w:right="720"/>
        <w:rPr>
          <w:rFonts w:ascii="Arial" w:hAnsi="Arial" w:cs="Arial"/>
          <w:i/>
          <w:sz w:val="20"/>
          <w:szCs w:val="20"/>
          <w:lang w:val="es-MX"/>
        </w:rPr>
      </w:pPr>
      <w:r w:rsidRPr="00C6493D">
        <w:rPr>
          <w:rFonts w:ascii="Arial" w:hAnsi="Arial" w:cs="Arial"/>
          <w:i/>
          <w:sz w:val="20"/>
          <w:szCs w:val="20"/>
          <w:lang w:val="es-MX"/>
        </w:rPr>
        <w:t xml:space="preserve">documentos de Parámetros disponibles en </w:t>
      </w:r>
      <w:hyperlink r:id="rId20" w:history="1">
        <w:r w:rsidR="00E3182B" w:rsidRPr="00E3182B">
          <w:rPr>
            <w:rStyle w:val="Hyperlink"/>
            <w:rFonts w:ascii="Arial" w:hAnsi="Arial" w:cs="Arial"/>
            <w:i/>
            <w:iCs/>
            <w:sz w:val="20"/>
            <w:szCs w:val="20"/>
            <w:lang w:val="es-MX"/>
          </w:rPr>
          <w:t>www.spglobal.com/spdji/</w:t>
        </w:r>
      </w:hyperlink>
      <w:r w:rsidR="00E3182B" w:rsidRPr="00E3182B">
        <w:rPr>
          <w:rFonts w:ascii="Arial" w:hAnsi="Arial" w:cs="Arial"/>
          <w:i/>
          <w:sz w:val="20"/>
          <w:lang w:val="es-MX"/>
        </w:rPr>
        <w:t>.</w:t>
      </w:r>
      <w:r>
        <w:rPr>
          <w:rFonts w:ascii="Arial" w:hAnsi="Arial" w:cs="Arial"/>
          <w:i/>
          <w:sz w:val="20"/>
          <w:szCs w:val="20"/>
          <w:lang w:val="es-MX"/>
        </w:rPr>
        <w:t xml:space="preserve"> </w:t>
      </w:r>
    </w:p>
    <w:p w14:paraId="389E2FE8" w14:textId="77777777" w:rsidR="0091786E" w:rsidRPr="009410E2" w:rsidRDefault="0091786E" w:rsidP="0091786E">
      <w:pPr>
        <w:pStyle w:val="Heading2"/>
        <w:ind w:left="720"/>
        <w:rPr>
          <w:rFonts w:ascii="Arial" w:hAnsi="Arial" w:cs="Arial"/>
          <w:sz w:val="20"/>
          <w:lang w:val="es-CL"/>
        </w:rPr>
      </w:pPr>
      <w:bookmarkStart w:id="22" w:name="_Toc198540688"/>
      <w:r w:rsidRPr="009410E2">
        <w:rPr>
          <w:rFonts w:ascii="Arial" w:hAnsi="Arial" w:cs="Arial"/>
          <w:sz w:val="20"/>
          <w:lang w:val="es-CL"/>
        </w:rPr>
        <w:t>Múltiples Series Accionarias</w:t>
      </w:r>
      <w:bookmarkEnd w:id="22"/>
    </w:p>
    <w:p w14:paraId="27A0B3AB" w14:textId="77777777" w:rsidR="00D44F8D" w:rsidRPr="00D44F8D" w:rsidRDefault="00D44F8D" w:rsidP="0091786E">
      <w:pPr>
        <w:pStyle w:val="MethodologyText"/>
        <w:ind w:left="720"/>
        <w:rPr>
          <w:rFonts w:ascii="Arial" w:hAnsi="Arial" w:cs="Arial"/>
          <w:sz w:val="20"/>
          <w:lang w:val="es-MX"/>
        </w:rPr>
      </w:pPr>
      <w:r w:rsidRPr="004C0B3A">
        <w:rPr>
          <w:rFonts w:ascii="Arial" w:hAnsi="Arial" w:cs="Arial"/>
          <w:sz w:val="20"/>
          <w:szCs w:val="20"/>
          <w:lang w:val="es-CL"/>
        </w:rPr>
        <w:t>Cada emisora está representada una sola vez a través de la serie accionaria listada</w:t>
      </w:r>
      <w:r>
        <w:rPr>
          <w:rFonts w:ascii="Arial" w:hAnsi="Arial" w:cs="Arial"/>
          <w:sz w:val="20"/>
          <w:szCs w:val="20"/>
          <w:lang w:val="es-CL"/>
        </w:rPr>
        <w:t xml:space="preserve">. Para obtener más información acerca del tratamiento de emisoras con múltiples series accionarias, consulte el inciso B de la sección Múltiples Series Accionarias de la Metodología de las Políticas y Prácticas de los Índices de Renta Variable de </w:t>
      </w:r>
      <w:r w:rsidRPr="00D44F8D">
        <w:rPr>
          <w:rFonts w:ascii="Arial" w:hAnsi="Arial" w:cs="Arial"/>
          <w:color w:val="000000"/>
          <w:sz w:val="20"/>
          <w:lang w:val="es-MX"/>
        </w:rPr>
        <w:t>S&amp;P Dow Jones Indices</w:t>
      </w:r>
      <w:r>
        <w:rPr>
          <w:rFonts w:ascii="Arial" w:hAnsi="Arial" w:cs="Arial"/>
          <w:color w:val="000000"/>
          <w:sz w:val="20"/>
          <w:lang w:val="es-MX"/>
        </w:rPr>
        <w:t>.</w:t>
      </w:r>
    </w:p>
    <w:p w14:paraId="28A30785" w14:textId="77777777" w:rsidR="00530CB8" w:rsidRDefault="00530CB8">
      <w:pPr>
        <w:rPr>
          <w:rFonts w:ascii="Arial" w:hAnsi="Arial" w:cs="Arial"/>
          <w:b/>
          <w:bCs/>
          <w:sz w:val="20"/>
          <w:lang w:val="es-MX"/>
        </w:rPr>
      </w:pPr>
      <w:r>
        <w:rPr>
          <w:rFonts w:ascii="Arial" w:hAnsi="Arial" w:cs="Arial"/>
          <w:sz w:val="20"/>
          <w:lang w:val="es-MX"/>
        </w:rPr>
        <w:br w:type="page"/>
      </w:r>
    </w:p>
    <w:p w14:paraId="5B197F89" w14:textId="45BAC1A1" w:rsidR="0091786E" w:rsidRPr="00865195" w:rsidRDefault="0091786E" w:rsidP="00865195">
      <w:pPr>
        <w:pStyle w:val="Heading2"/>
        <w:ind w:left="720"/>
        <w:rPr>
          <w:rFonts w:ascii="Arial" w:hAnsi="Arial" w:cs="Arial"/>
          <w:sz w:val="20"/>
          <w:lang w:val="es-MX"/>
        </w:rPr>
      </w:pPr>
      <w:bookmarkStart w:id="23" w:name="_Toc198540689"/>
      <w:r w:rsidRPr="00865195">
        <w:rPr>
          <w:rFonts w:ascii="Arial" w:hAnsi="Arial" w:cs="Arial"/>
          <w:sz w:val="20"/>
          <w:lang w:val="es-MX"/>
        </w:rPr>
        <w:t>Otros ajustes</w:t>
      </w:r>
      <w:bookmarkEnd w:id="23"/>
    </w:p>
    <w:p w14:paraId="0760901A" w14:textId="78BD5001" w:rsidR="00865195" w:rsidRPr="00530CB8" w:rsidRDefault="0091786E" w:rsidP="00530CB8">
      <w:pPr>
        <w:pStyle w:val="MethodologyText"/>
        <w:ind w:left="720"/>
        <w:rPr>
          <w:rFonts w:ascii="Arial" w:hAnsi="Arial" w:cs="Arial"/>
          <w:sz w:val="20"/>
          <w:lang w:val="es-CL"/>
        </w:rPr>
      </w:pPr>
      <w:r w:rsidRPr="00A0505D">
        <w:rPr>
          <w:rFonts w:ascii="Arial" w:hAnsi="Arial" w:cs="Arial"/>
          <w:sz w:val="20"/>
          <w:lang w:val="es-CL"/>
        </w:rPr>
        <w:t xml:space="preserve">En </w:t>
      </w:r>
      <w:r>
        <w:rPr>
          <w:rFonts w:ascii="Arial" w:hAnsi="Arial" w:cs="Arial"/>
          <w:sz w:val="20"/>
          <w:lang w:val="es-CL"/>
        </w:rPr>
        <w:t xml:space="preserve">los </w:t>
      </w:r>
      <w:r w:rsidRPr="00A0505D">
        <w:rPr>
          <w:rFonts w:ascii="Arial" w:hAnsi="Arial" w:cs="Arial"/>
          <w:sz w:val="20"/>
          <w:lang w:val="es-CL"/>
        </w:rPr>
        <w:t xml:space="preserve">casos </w:t>
      </w:r>
      <w:r>
        <w:rPr>
          <w:rFonts w:ascii="Arial" w:hAnsi="Arial" w:cs="Arial"/>
          <w:sz w:val="20"/>
          <w:lang w:val="es-CL"/>
        </w:rPr>
        <w:t>donde no se haya establecido</w:t>
      </w:r>
      <w:r w:rsidRPr="00A0505D">
        <w:rPr>
          <w:rFonts w:ascii="Arial" w:hAnsi="Arial" w:cs="Arial"/>
          <w:sz w:val="20"/>
          <w:lang w:val="es-CL"/>
        </w:rPr>
        <w:t xml:space="preserve"> </w:t>
      </w:r>
      <w:r>
        <w:rPr>
          <w:rFonts w:ascii="Arial" w:hAnsi="Arial" w:cs="Arial"/>
          <w:sz w:val="20"/>
          <w:lang w:val="es-CL"/>
        </w:rPr>
        <w:t xml:space="preserve">un </w:t>
      </w:r>
      <w:r w:rsidRPr="00A0505D">
        <w:rPr>
          <w:rFonts w:ascii="Arial" w:hAnsi="Arial" w:cs="Arial"/>
          <w:sz w:val="20"/>
          <w:lang w:val="es-CL"/>
        </w:rPr>
        <w:t>precio de mercado</w:t>
      </w:r>
      <w:r>
        <w:rPr>
          <w:rFonts w:ascii="Arial" w:hAnsi="Arial" w:cs="Arial"/>
          <w:sz w:val="20"/>
          <w:lang w:val="es-CL"/>
        </w:rPr>
        <w:t xml:space="preserve"> que permita excluir un componente, el Comité de Índices podrá, a su entera discrecionalidad eliminarlo a un precio mínimo o igual a cero, en reconocimiento de las dificultades enfrentadas por los inversionistas al negociar acciones de </w:t>
      </w:r>
      <w:r w:rsidRPr="00FC5176">
        <w:rPr>
          <w:rFonts w:ascii="Arial" w:hAnsi="Arial" w:cs="Arial"/>
          <w:sz w:val="20"/>
          <w:lang w:val="es-CL"/>
        </w:rPr>
        <w:t>empresas suspendidas o en bancarrota.</w:t>
      </w:r>
    </w:p>
    <w:p w14:paraId="1E84FCB4" w14:textId="77777777" w:rsidR="00D44F8D" w:rsidRPr="00E75536" w:rsidRDefault="00D44F8D" w:rsidP="00D44F8D">
      <w:pPr>
        <w:pStyle w:val="Heading2"/>
        <w:ind w:left="720"/>
        <w:rPr>
          <w:rFonts w:ascii="Arial" w:hAnsi="Arial" w:cs="Arial"/>
          <w:sz w:val="20"/>
          <w:lang w:val="es-CL"/>
        </w:rPr>
      </w:pPr>
      <w:bookmarkStart w:id="24" w:name="_Toc198540690"/>
      <w:r>
        <w:rPr>
          <w:rFonts w:ascii="Arial" w:hAnsi="Arial" w:cs="Arial"/>
          <w:sz w:val="20"/>
          <w:lang w:val="es-CL"/>
        </w:rPr>
        <w:t>Cálculo</w:t>
      </w:r>
      <w:r w:rsidRPr="00E75536">
        <w:rPr>
          <w:rFonts w:ascii="Arial" w:hAnsi="Arial" w:cs="Arial"/>
          <w:sz w:val="20"/>
          <w:lang w:val="es-CL"/>
        </w:rPr>
        <w:t xml:space="preserve"> de los índices</w:t>
      </w:r>
      <w:bookmarkEnd w:id="24"/>
    </w:p>
    <w:p w14:paraId="6EDF5543" w14:textId="5F3011F2" w:rsidR="00D44F8D" w:rsidRDefault="00D44F8D" w:rsidP="00D44F8D">
      <w:pPr>
        <w:pStyle w:val="MethodologyText"/>
        <w:spacing w:after="200"/>
        <w:ind w:left="720"/>
        <w:rPr>
          <w:rFonts w:ascii="Arial" w:hAnsi="Arial" w:cs="Arial"/>
          <w:sz w:val="20"/>
          <w:lang w:val="es-CL"/>
        </w:rPr>
      </w:pPr>
      <w:r w:rsidRPr="00BC2601">
        <w:rPr>
          <w:rFonts w:ascii="Arial" w:hAnsi="Arial" w:cs="Arial"/>
          <w:sz w:val="20"/>
          <w:lang w:val="es-CL"/>
        </w:rPr>
        <w:t xml:space="preserve">Los cálculos de los índices </w:t>
      </w:r>
      <w:r>
        <w:rPr>
          <w:rFonts w:ascii="Arial" w:hAnsi="Arial" w:cs="Arial"/>
          <w:sz w:val="20"/>
          <w:lang w:val="es-CL"/>
        </w:rPr>
        <w:t>siguen</w:t>
      </w:r>
      <w:r w:rsidRPr="00BC2601">
        <w:rPr>
          <w:rFonts w:ascii="Arial" w:hAnsi="Arial" w:cs="Arial"/>
          <w:sz w:val="20"/>
          <w:lang w:val="es-CL"/>
        </w:rPr>
        <w:t xml:space="preserve"> la </w:t>
      </w:r>
      <w:r>
        <w:rPr>
          <w:rFonts w:ascii="Arial" w:hAnsi="Arial" w:cs="Arial"/>
          <w:sz w:val="20"/>
          <w:lang w:val="es-CL"/>
        </w:rPr>
        <w:t>M</w:t>
      </w:r>
      <w:r w:rsidRPr="00BC2601">
        <w:rPr>
          <w:rFonts w:ascii="Arial" w:hAnsi="Arial" w:cs="Arial"/>
          <w:sz w:val="20"/>
          <w:lang w:val="es-CL"/>
        </w:rPr>
        <w:t xml:space="preserve">etodología de </w:t>
      </w:r>
      <w:r>
        <w:rPr>
          <w:rFonts w:ascii="Arial" w:hAnsi="Arial" w:cs="Arial"/>
          <w:sz w:val="20"/>
          <w:lang w:val="es-CL"/>
        </w:rPr>
        <w:t>D</w:t>
      </w:r>
      <w:r w:rsidRPr="00BC2601">
        <w:rPr>
          <w:rFonts w:ascii="Arial" w:hAnsi="Arial" w:cs="Arial"/>
          <w:sz w:val="20"/>
          <w:lang w:val="es-CL"/>
        </w:rPr>
        <w:t>ivi</w:t>
      </w:r>
      <w:r>
        <w:rPr>
          <w:rFonts w:ascii="Arial" w:hAnsi="Arial" w:cs="Arial"/>
          <w:sz w:val="20"/>
          <w:lang w:val="es-CL"/>
        </w:rPr>
        <w:t xml:space="preserve">sor utilizada en todos los </w:t>
      </w:r>
      <w:r w:rsidRPr="00FF1E66">
        <w:rPr>
          <w:rFonts w:ascii="Arial" w:hAnsi="Arial" w:cs="Arial"/>
          <w:sz w:val="20"/>
          <w:lang w:val="es-CL"/>
        </w:rPr>
        <w:t>índices de renta variable</w:t>
      </w:r>
      <w:r>
        <w:rPr>
          <w:rFonts w:ascii="Arial" w:hAnsi="Arial" w:cs="Arial"/>
          <w:sz w:val="20"/>
          <w:lang w:val="es-CL"/>
        </w:rPr>
        <w:t xml:space="preserve"> de S&amp;P Dow Jones Indices.</w:t>
      </w:r>
    </w:p>
    <w:p w14:paraId="6BC0B9F0" w14:textId="3C38C61B" w:rsidR="00B65752" w:rsidRDefault="00B65752" w:rsidP="00B65752">
      <w:pPr>
        <w:pStyle w:val="MethodologyText"/>
        <w:ind w:left="720"/>
        <w:rPr>
          <w:rFonts w:ascii="Arial" w:hAnsi="Arial" w:cs="Arial"/>
          <w:i/>
          <w:sz w:val="20"/>
          <w:lang w:val="es-MX"/>
        </w:rPr>
      </w:pPr>
      <w:bookmarkStart w:id="25" w:name="_Toc393806289"/>
      <w:r w:rsidRPr="005C0999">
        <w:rPr>
          <w:rFonts w:ascii="Arial" w:hAnsi="Arial" w:cs="Arial"/>
          <w:i/>
          <w:sz w:val="20"/>
          <w:lang w:val="es-MX"/>
        </w:rPr>
        <w:t>Consulte el documento Metodología de las Matemáticas de los Índices de Renta Variable de S&amp;P Dow Jones Indices</w:t>
      </w:r>
      <w:r>
        <w:rPr>
          <w:rFonts w:ascii="Arial" w:hAnsi="Arial" w:cs="Arial"/>
          <w:i/>
          <w:sz w:val="20"/>
          <w:lang w:val="es-MX"/>
        </w:rPr>
        <w:t xml:space="preserve"> </w:t>
      </w:r>
      <w:r w:rsidRPr="005C0999">
        <w:rPr>
          <w:rFonts w:ascii="Arial" w:hAnsi="Arial" w:cs="Arial"/>
          <w:i/>
          <w:sz w:val="20"/>
          <w:lang w:val="es-MX"/>
        </w:rPr>
        <w:t>para</w:t>
      </w:r>
      <w:r>
        <w:rPr>
          <w:rFonts w:ascii="Arial" w:hAnsi="Arial" w:cs="Arial"/>
          <w:i/>
          <w:sz w:val="20"/>
          <w:lang w:val="es-MX"/>
        </w:rPr>
        <w:t xml:space="preserve"> obtener mas información acerca de la metodología del cálculo de los índices. </w:t>
      </w:r>
    </w:p>
    <w:p w14:paraId="08D6DD4F" w14:textId="77777777" w:rsidR="00D44F8D" w:rsidRPr="000C3FB8" w:rsidRDefault="00D44F8D" w:rsidP="00D44F8D">
      <w:pPr>
        <w:pStyle w:val="Heading2"/>
        <w:ind w:left="720"/>
        <w:rPr>
          <w:rFonts w:ascii="Arial" w:hAnsi="Arial" w:cs="Arial"/>
          <w:sz w:val="20"/>
          <w:lang w:val="es-CL"/>
        </w:rPr>
      </w:pPr>
      <w:bookmarkStart w:id="26" w:name="_Toc198540691"/>
      <w:r w:rsidRPr="000C3FB8">
        <w:rPr>
          <w:rFonts w:ascii="Arial" w:hAnsi="Arial" w:cs="Arial"/>
          <w:sz w:val="20"/>
          <w:lang w:val="es-CL"/>
        </w:rPr>
        <w:t xml:space="preserve">Fechas de </w:t>
      </w:r>
      <w:r>
        <w:rPr>
          <w:rFonts w:ascii="Arial" w:hAnsi="Arial" w:cs="Arial"/>
          <w:sz w:val="20"/>
          <w:lang w:val="es-CL"/>
        </w:rPr>
        <w:t>referencia</w:t>
      </w:r>
      <w:r w:rsidRPr="000C3FB8">
        <w:rPr>
          <w:rFonts w:ascii="Arial" w:hAnsi="Arial" w:cs="Arial"/>
          <w:sz w:val="20"/>
          <w:lang w:val="es-CL"/>
        </w:rPr>
        <w:t xml:space="preserve"> y disponibilidad de</w:t>
      </w:r>
      <w:r>
        <w:rPr>
          <w:rFonts w:ascii="Arial" w:hAnsi="Arial" w:cs="Arial"/>
          <w:sz w:val="20"/>
          <w:lang w:val="es-CL"/>
        </w:rPr>
        <w:t>l</w:t>
      </w:r>
      <w:r w:rsidRPr="000C3FB8">
        <w:rPr>
          <w:rFonts w:ascii="Arial" w:hAnsi="Arial" w:cs="Arial"/>
          <w:sz w:val="20"/>
          <w:lang w:val="es-CL"/>
        </w:rPr>
        <w:t xml:space="preserve"> historial</w:t>
      </w:r>
      <w:bookmarkEnd w:id="25"/>
      <w:bookmarkEnd w:id="26"/>
    </w:p>
    <w:p w14:paraId="35F4DDD1" w14:textId="77777777" w:rsidR="00D44F8D" w:rsidRPr="00C5386C" w:rsidRDefault="00D44F8D" w:rsidP="00D44F8D">
      <w:pPr>
        <w:pStyle w:val="MethodologyText"/>
        <w:ind w:left="720"/>
        <w:rPr>
          <w:rFonts w:ascii="Arial" w:hAnsi="Arial" w:cs="Arial"/>
          <w:sz w:val="20"/>
          <w:lang w:val="es-CL"/>
        </w:rPr>
      </w:pPr>
      <w:r w:rsidRPr="00C5386C">
        <w:rPr>
          <w:rFonts w:ascii="Arial" w:hAnsi="Arial" w:cs="Arial"/>
          <w:sz w:val="20"/>
          <w:lang w:val="es-CL"/>
        </w:rPr>
        <w:t>La disponibilidad del historial del índice, así como sus fec</w:t>
      </w:r>
      <w:r>
        <w:rPr>
          <w:rFonts w:ascii="Arial" w:hAnsi="Arial" w:cs="Arial"/>
          <w:sz w:val="20"/>
          <w:lang w:val="es-CL"/>
        </w:rPr>
        <w:t>has de referencia y valores iniciales se muestran en la tabla a continuación:</w:t>
      </w:r>
    </w:p>
    <w:p w14:paraId="0DEE64A9" w14:textId="77777777" w:rsidR="00D44F8D" w:rsidRPr="00C5386C" w:rsidRDefault="00D44F8D" w:rsidP="00D44F8D">
      <w:pPr>
        <w:pStyle w:val="MethodologyText"/>
        <w:ind w:left="720"/>
        <w:rPr>
          <w:rFonts w:ascii="Arial" w:hAnsi="Arial" w:cs="Arial"/>
          <w:sz w:val="20"/>
          <w:lang w:val="es-CL"/>
        </w:rPr>
      </w:pPr>
    </w:p>
    <w:tbl>
      <w:tblPr>
        <w:tblW w:w="9187" w:type="dxa"/>
        <w:tblInd w:w="835" w:type="dxa"/>
        <w:tblLayout w:type="fixed"/>
        <w:tblLook w:val="04A0" w:firstRow="1" w:lastRow="0" w:firstColumn="1" w:lastColumn="0" w:noHBand="0" w:noVBand="1"/>
      </w:tblPr>
      <w:tblGrid>
        <w:gridCol w:w="3593"/>
        <w:gridCol w:w="1260"/>
        <w:gridCol w:w="1440"/>
        <w:gridCol w:w="1260"/>
        <w:gridCol w:w="1634"/>
      </w:tblGrid>
      <w:tr w:rsidR="00D44F8D" w:rsidRPr="005D17EB" w14:paraId="41A69528" w14:textId="77777777" w:rsidTr="00716523">
        <w:trPr>
          <w:trHeight w:val="288"/>
        </w:trPr>
        <w:tc>
          <w:tcPr>
            <w:tcW w:w="359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0D9850AF" w14:textId="77777777" w:rsidR="00D44F8D" w:rsidRPr="00C5386C" w:rsidRDefault="00D44F8D" w:rsidP="00716523">
            <w:pPr>
              <w:jc w:val="center"/>
              <w:rPr>
                <w:rFonts w:ascii="Arial" w:hAnsi="Arial" w:cs="Arial"/>
                <w:b/>
                <w:bCs/>
                <w:sz w:val="18"/>
                <w:szCs w:val="18"/>
                <w:lang w:val="es-CL" w:eastAsia="ja-JP"/>
              </w:rPr>
            </w:pPr>
          </w:p>
          <w:p w14:paraId="275C0046" w14:textId="77777777" w:rsidR="00D44F8D" w:rsidRPr="005D17EB" w:rsidRDefault="00D44F8D" w:rsidP="00716523">
            <w:pPr>
              <w:jc w:val="center"/>
              <w:rPr>
                <w:rFonts w:ascii="Arial" w:hAnsi="Arial" w:cs="Arial"/>
                <w:b/>
                <w:bCs/>
                <w:sz w:val="18"/>
                <w:szCs w:val="18"/>
                <w:lang w:val="es-CL" w:eastAsia="ja-JP"/>
              </w:rPr>
            </w:pPr>
            <w:r>
              <w:rPr>
                <w:rFonts w:ascii="Arial" w:hAnsi="Arial" w:cs="Arial"/>
                <w:b/>
                <w:bCs/>
                <w:sz w:val="18"/>
                <w:szCs w:val="18"/>
                <w:lang w:val="es-CL" w:eastAsia="ja-JP"/>
              </w:rPr>
              <w:t>Índice</w:t>
            </w:r>
          </w:p>
        </w:tc>
        <w:tc>
          <w:tcPr>
            <w:tcW w:w="1260" w:type="dxa"/>
            <w:tcBorders>
              <w:top w:val="single" w:sz="4" w:space="0" w:color="auto"/>
              <w:left w:val="nil"/>
              <w:bottom w:val="single" w:sz="4" w:space="0" w:color="auto"/>
              <w:right w:val="single" w:sz="4" w:space="0" w:color="auto"/>
            </w:tcBorders>
            <w:shd w:val="clear" w:color="auto" w:fill="000000" w:themeFill="text1"/>
            <w:vAlign w:val="center"/>
            <w:hideMark/>
          </w:tcPr>
          <w:p w14:paraId="0F8347D6" w14:textId="77777777" w:rsidR="00D44F8D" w:rsidRPr="005D17EB" w:rsidRDefault="00D44F8D" w:rsidP="00716523">
            <w:pPr>
              <w:jc w:val="center"/>
              <w:rPr>
                <w:rFonts w:ascii="Arial" w:hAnsi="Arial" w:cs="Arial"/>
                <w:b/>
                <w:bCs/>
                <w:sz w:val="18"/>
                <w:szCs w:val="18"/>
                <w:lang w:val="es-CL" w:eastAsia="ja-JP"/>
              </w:rPr>
            </w:pPr>
            <w:r>
              <w:rPr>
                <w:rFonts w:ascii="Arial" w:hAnsi="Arial" w:cs="Arial"/>
                <w:b/>
                <w:bCs/>
                <w:sz w:val="18"/>
                <w:szCs w:val="18"/>
                <w:lang w:val="es-CL" w:eastAsia="ja-JP"/>
              </w:rPr>
              <w:t xml:space="preserve">Fecha de </w:t>
            </w:r>
            <w:r w:rsidRPr="00930E09">
              <w:rPr>
                <w:rFonts w:ascii="Arial" w:hAnsi="Arial" w:cs="Arial"/>
                <w:b/>
                <w:bCs/>
                <w:sz w:val="18"/>
                <w:szCs w:val="18"/>
                <w:lang w:val="es-CL" w:eastAsia="ja-JP"/>
              </w:rPr>
              <w:t>lanzamiento</w:t>
            </w:r>
          </w:p>
        </w:tc>
        <w:tc>
          <w:tcPr>
            <w:tcW w:w="144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3A679E61" w14:textId="77777777" w:rsidR="00D44F8D" w:rsidRPr="005D17EB" w:rsidRDefault="00D44F8D" w:rsidP="00716523">
            <w:pPr>
              <w:jc w:val="center"/>
              <w:rPr>
                <w:rFonts w:ascii="Arial" w:hAnsi="Arial" w:cs="Arial"/>
                <w:b/>
                <w:bCs/>
                <w:sz w:val="18"/>
                <w:szCs w:val="18"/>
                <w:lang w:val="es-CL" w:eastAsia="ja-JP"/>
              </w:rPr>
            </w:pPr>
            <w:r>
              <w:rPr>
                <w:rFonts w:ascii="Arial" w:hAnsi="Arial" w:cs="Arial"/>
                <w:b/>
                <w:bCs/>
                <w:sz w:val="18"/>
                <w:szCs w:val="18"/>
                <w:lang w:val="es-CL" w:eastAsia="ja-JP"/>
              </w:rPr>
              <w:t>Fecha de primer valor</w:t>
            </w:r>
          </w:p>
        </w:tc>
        <w:tc>
          <w:tcPr>
            <w:tcW w:w="126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3433CD93" w14:textId="77777777" w:rsidR="00D44F8D" w:rsidRPr="005D17EB" w:rsidRDefault="00D44F8D" w:rsidP="00716523">
            <w:pPr>
              <w:jc w:val="center"/>
              <w:rPr>
                <w:rFonts w:ascii="Arial" w:hAnsi="Arial" w:cs="Arial"/>
                <w:b/>
                <w:bCs/>
                <w:sz w:val="18"/>
                <w:szCs w:val="18"/>
                <w:lang w:val="es-CL" w:eastAsia="ja-JP"/>
              </w:rPr>
            </w:pPr>
            <w:r>
              <w:rPr>
                <w:rFonts w:ascii="Arial" w:hAnsi="Arial" w:cs="Arial"/>
                <w:b/>
                <w:bCs/>
                <w:sz w:val="18"/>
                <w:szCs w:val="18"/>
                <w:lang w:val="es-CL" w:eastAsia="ja-JP"/>
              </w:rPr>
              <w:t>Fecha de referencia</w:t>
            </w:r>
          </w:p>
        </w:tc>
        <w:tc>
          <w:tcPr>
            <w:tcW w:w="1634" w:type="dxa"/>
            <w:tcBorders>
              <w:top w:val="single" w:sz="4" w:space="0" w:color="auto"/>
              <w:left w:val="nil"/>
              <w:bottom w:val="single" w:sz="4" w:space="0" w:color="auto"/>
              <w:right w:val="single" w:sz="4" w:space="0" w:color="auto"/>
            </w:tcBorders>
            <w:shd w:val="clear" w:color="auto" w:fill="000000" w:themeFill="text1"/>
            <w:vAlign w:val="center"/>
            <w:hideMark/>
          </w:tcPr>
          <w:p w14:paraId="42624E2E" w14:textId="77777777" w:rsidR="00D44F8D" w:rsidRPr="005D17EB" w:rsidRDefault="00D44F8D" w:rsidP="00716523">
            <w:pPr>
              <w:jc w:val="center"/>
              <w:rPr>
                <w:rFonts w:ascii="Arial" w:hAnsi="Arial" w:cs="Arial"/>
                <w:b/>
                <w:bCs/>
                <w:sz w:val="18"/>
                <w:szCs w:val="18"/>
                <w:lang w:val="es-CL" w:eastAsia="ja-JP"/>
              </w:rPr>
            </w:pPr>
          </w:p>
          <w:p w14:paraId="505E0304" w14:textId="77777777" w:rsidR="00D44F8D" w:rsidRPr="005D17EB" w:rsidRDefault="00D44F8D" w:rsidP="00716523">
            <w:pPr>
              <w:jc w:val="center"/>
              <w:rPr>
                <w:rFonts w:ascii="Arial" w:hAnsi="Arial" w:cs="Arial"/>
                <w:b/>
                <w:bCs/>
                <w:sz w:val="18"/>
                <w:szCs w:val="18"/>
                <w:lang w:val="es-CL" w:eastAsia="ja-JP"/>
              </w:rPr>
            </w:pPr>
            <w:r>
              <w:rPr>
                <w:rFonts w:ascii="Arial" w:hAnsi="Arial" w:cs="Arial"/>
                <w:b/>
                <w:bCs/>
                <w:sz w:val="18"/>
                <w:szCs w:val="18"/>
                <w:lang w:val="es-CL" w:eastAsia="ja-JP"/>
              </w:rPr>
              <w:t>Valor inicial</w:t>
            </w:r>
          </w:p>
        </w:tc>
      </w:tr>
      <w:tr w:rsidR="00D44F8D" w:rsidRPr="005D17EB" w14:paraId="2771B9DC" w14:textId="77777777" w:rsidTr="00716523">
        <w:trPr>
          <w:trHeight w:val="288"/>
        </w:trPr>
        <w:tc>
          <w:tcPr>
            <w:tcW w:w="3593" w:type="dxa"/>
            <w:tcBorders>
              <w:top w:val="nil"/>
              <w:left w:val="single" w:sz="4" w:space="0" w:color="auto"/>
              <w:bottom w:val="single" w:sz="4" w:space="0" w:color="auto"/>
              <w:right w:val="single" w:sz="4" w:space="0" w:color="auto"/>
            </w:tcBorders>
            <w:vAlign w:val="center"/>
          </w:tcPr>
          <w:p w14:paraId="2EB4FE2B" w14:textId="77777777" w:rsidR="00D44F8D" w:rsidRPr="005D17EB" w:rsidRDefault="00D44F8D" w:rsidP="00716523">
            <w:pPr>
              <w:rPr>
                <w:rFonts w:ascii="Arial" w:hAnsi="Arial" w:cs="Arial"/>
                <w:sz w:val="18"/>
                <w:szCs w:val="18"/>
                <w:lang w:val="es-CL" w:eastAsia="ja-JP"/>
              </w:rPr>
            </w:pPr>
            <w:r w:rsidRPr="005D17EB">
              <w:rPr>
                <w:rFonts w:ascii="Arial" w:hAnsi="Arial" w:cs="Arial"/>
                <w:sz w:val="18"/>
                <w:szCs w:val="18"/>
                <w:lang w:val="es-CL"/>
              </w:rPr>
              <w:t>Dow Jones Industrial Average™</w:t>
            </w:r>
          </w:p>
        </w:tc>
        <w:tc>
          <w:tcPr>
            <w:tcW w:w="1260" w:type="dxa"/>
            <w:tcBorders>
              <w:top w:val="single" w:sz="4" w:space="0" w:color="auto"/>
              <w:left w:val="nil"/>
              <w:bottom w:val="single" w:sz="4" w:space="0" w:color="auto"/>
              <w:right w:val="single" w:sz="4" w:space="0" w:color="auto"/>
            </w:tcBorders>
            <w:vAlign w:val="center"/>
          </w:tcPr>
          <w:p w14:paraId="70877AE7" w14:textId="77777777" w:rsidR="00D44F8D" w:rsidRPr="005D17EB" w:rsidRDefault="00D44F8D" w:rsidP="00716523">
            <w:pPr>
              <w:jc w:val="center"/>
              <w:rPr>
                <w:rFonts w:ascii="Arial" w:hAnsi="Arial" w:cs="Arial"/>
                <w:sz w:val="18"/>
                <w:szCs w:val="18"/>
                <w:lang w:val="es-CL" w:eastAsia="ja-JP"/>
              </w:rPr>
            </w:pPr>
            <w:r>
              <w:rPr>
                <w:rFonts w:ascii="Arial" w:hAnsi="Arial" w:cs="Arial"/>
                <w:sz w:val="18"/>
                <w:szCs w:val="18"/>
                <w:lang w:val="es-CL" w:eastAsia="ja-JP"/>
              </w:rPr>
              <w:t>26/05</w:t>
            </w:r>
            <w:r w:rsidRPr="005D17EB">
              <w:rPr>
                <w:rFonts w:ascii="Arial" w:hAnsi="Arial" w:cs="Arial"/>
                <w:sz w:val="18"/>
                <w:szCs w:val="18"/>
                <w:lang w:val="es-CL" w:eastAsia="ja-JP"/>
              </w:rPr>
              <w:t>/1896</w:t>
            </w:r>
          </w:p>
        </w:tc>
        <w:tc>
          <w:tcPr>
            <w:tcW w:w="1440" w:type="dxa"/>
            <w:tcBorders>
              <w:top w:val="nil"/>
              <w:left w:val="single" w:sz="4" w:space="0" w:color="auto"/>
              <w:bottom w:val="single" w:sz="4" w:space="0" w:color="auto"/>
              <w:right w:val="single" w:sz="4" w:space="0" w:color="auto"/>
            </w:tcBorders>
            <w:vAlign w:val="center"/>
          </w:tcPr>
          <w:p w14:paraId="1882F478" w14:textId="77777777" w:rsidR="00D44F8D" w:rsidRPr="005D17EB" w:rsidRDefault="00D44F8D" w:rsidP="00716523">
            <w:pPr>
              <w:jc w:val="center"/>
              <w:rPr>
                <w:rFonts w:ascii="Arial" w:hAnsi="Arial" w:cs="Arial"/>
                <w:sz w:val="18"/>
                <w:szCs w:val="18"/>
                <w:lang w:val="es-CL" w:eastAsia="ja-JP"/>
              </w:rPr>
            </w:pPr>
            <w:r>
              <w:rPr>
                <w:rFonts w:ascii="Arial" w:hAnsi="Arial" w:cs="Arial"/>
                <w:sz w:val="18"/>
                <w:szCs w:val="18"/>
                <w:lang w:val="es-CL" w:eastAsia="ja-JP"/>
              </w:rPr>
              <w:t>26/05</w:t>
            </w:r>
            <w:r w:rsidRPr="005D17EB">
              <w:rPr>
                <w:rFonts w:ascii="Arial" w:hAnsi="Arial" w:cs="Arial"/>
                <w:sz w:val="18"/>
                <w:szCs w:val="18"/>
                <w:lang w:val="es-CL" w:eastAsia="ja-JP"/>
              </w:rPr>
              <w:t>/1896</w:t>
            </w:r>
          </w:p>
        </w:tc>
        <w:tc>
          <w:tcPr>
            <w:tcW w:w="1260" w:type="dxa"/>
            <w:tcBorders>
              <w:top w:val="nil"/>
              <w:left w:val="single" w:sz="4" w:space="0" w:color="auto"/>
              <w:bottom w:val="single" w:sz="4" w:space="0" w:color="auto"/>
              <w:right w:val="single" w:sz="4" w:space="0" w:color="auto"/>
            </w:tcBorders>
            <w:vAlign w:val="center"/>
          </w:tcPr>
          <w:p w14:paraId="72E95F81" w14:textId="77777777" w:rsidR="00D44F8D" w:rsidRPr="005D17EB" w:rsidRDefault="00D44F8D" w:rsidP="00716523">
            <w:pPr>
              <w:jc w:val="center"/>
              <w:rPr>
                <w:rFonts w:ascii="Arial" w:hAnsi="Arial" w:cs="Arial"/>
                <w:sz w:val="18"/>
                <w:szCs w:val="18"/>
                <w:lang w:val="es-CL" w:eastAsia="ja-JP"/>
              </w:rPr>
            </w:pPr>
            <w:r>
              <w:rPr>
                <w:rFonts w:ascii="Arial" w:hAnsi="Arial" w:cs="Arial"/>
                <w:sz w:val="18"/>
                <w:szCs w:val="18"/>
                <w:lang w:val="es-CL" w:eastAsia="ja-JP"/>
              </w:rPr>
              <w:t>26/05</w:t>
            </w:r>
            <w:r w:rsidRPr="005D17EB">
              <w:rPr>
                <w:rFonts w:ascii="Arial" w:hAnsi="Arial" w:cs="Arial"/>
                <w:sz w:val="18"/>
                <w:szCs w:val="18"/>
                <w:lang w:val="es-CL" w:eastAsia="ja-JP"/>
              </w:rPr>
              <w:t>/1896</w:t>
            </w:r>
          </w:p>
        </w:tc>
        <w:tc>
          <w:tcPr>
            <w:tcW w:w="1634" w:type="dxa"/>
            <w:tcBorders>
              <w:top w:val="nil"/>
              <w:left w:val="nil"/>
              <w:bottom w:val="single" w:sz="4" w:space="0" w:color="auto"/>
              <w:right w:val="single" w:sz="4" w:space="0" w:color="auto"/>
            </w:tcBorders>
            <w:noWrap/>
            <w:vAlign w:val="center"/>
          </w:tcPr>
          <w:p w14:paraId="7E01D5BD" w14:textId="77777777" w:rsidR="00D44F8D" w:rsidRPr="005D17EB" w:rsidRDefault="00D44F8D" w:rsidP="00716523">
            <w:pPr>
              <w:jc w:val="center"/>
              <w:rPr>
                <w:rFonts w:ascii="Arial" w:hAnsi="Arial" w:cs="Arial"/>
                <w:sz w:val="18"/>
                <w:szCs w:val="18"/>
                <w:lang w:val="es-CL" w:eastAsia="ja-JP"/>
              </w:rPr>
            </w:pPr>
            <w:r w:rsidRPr="005D17EB">
              <w:rPr>
                <w:rFonts w:ascii="Arial" w:hAnsi="Arial" w:cs="Arial"/>
                <w:sz w:val="18"/>
                <w:szCs w:val="18"/>
                <w:lang w:val="es-CL" w:eastAsia="ja-JP"/>
              </w:rPr>
              <w:t>40.94</w:t>
            </w:r>
          </w:p>
        </w:tc>
      </w:tr>
      <w:tr w:rsidR="00D44F8D" w:rsidRPr="005D17EB" w14:paraId="34C4838E" w14:textId="77777777" w:rsidTr="00716523">
        <w:trPr>
          <w:trHeight w:val="288"/>
        </w:trPr>
        <w:tc>
          <w:tcPr>
            <w:tcW w:w="3593" w:type="dxa"/>
            <w:tcBorders>
              <w:top w:val="single" w:sz="4" w:space="0" w:color="auto"/>
              <w:left w:val="single" w:sz="4" w:space="0" w:color="auto"/>
              <w:bottom w:val="single" w:sz="4" w:space="0" w:color="auto"/>
              <w:right w:val="single" w:sz="4" w:space="0" w:color="auto"/>
            </w:tcBorders>
            <w:vAlign w:val="center"/>
          </w:tcPr>
          <w:p w14:paraId="50F3ECAF" w14:textId="77777777" w:rsidR="00D44F8D" w:rsidRPr="005D17EB" w:rsidRDefault="00D44F8D" w:rsidP="00716523">
            <w:pPr>
              <w:rPr>
                <w:rFonts w:ascii="Arial" w:hAnsi="Arial" w:cs="Arial"/>
                <w:sz w:val="18"/>
                <w:szCs w:val="18"/>
                <w:lang w:val="es-CL" w:eastAsia="ja-JP"/>
              </w:rPr>
            </w:pPr>
            <w:r w:rsidRPr="005D17EB">
              <w:rPr>
                <w:rFonts w:ascii="Arial" w:hAnsi="Arial" w:cs="Arial"/>
                <w:sz w:val="18"/>
                <w:szCs w:val="18"/>
                <w:lang w:val="es-CL"/>
              </w:rPr>
              <w:t>Dow Jones Transportation Average™</w:t>
            </w:r>
          </w:p>
        </w:tc>
        <w:tc>
          <w:tcPr>
            <w:tcW w:w="1260" w:type="dxa"/>
            <w:tcBorders>
              <w:top w:val="single" w:sz="4" w:space="0" w:color="auto"/>
              <w:left w:val="nil"/>
              <w:bottom w:val="single" w:sz="4" w:space="0" w:color="auto"/>
              <w:right w:val="single" w:sz="4" w:space="0" w:color="auto"/>
            </w:tcBorders>
            <w:vAlign w:val="center"/>
          </w:tcPr>
          <w:p w14:paraId="38CBE585" w14:textId="77777777" w:rsidR="00D44F8D" w:rsidRPr="005D17EB" w:rsidRDefault="00D44F8D" w:rsidP="00716523">
            <w:pPr>
              <w:jc w:val="center"/>
              <w:rPr>
                <w:rFonts w:ascii="Arial" w:hAnsi="Arial" w:cs="Arial"/>
                <w:sz w:val="18"/>
                <w:szCs w:val="18"/>
                <w:lang w:val="es-CL" w:eastAsia="ja-JP"/>
              </w:rPr>
            </w:pPr>
            <w:r>
              <w:rPr>
                <w:rFonts w:ascii="Arial" w:hAnsi="Arial" w:cs="Arial"/>
                <w:sz w:val="18"/>
                <w:szCs w:val="18"/>
                <w:lang w:val="es-CL" w:eastAsia="ja-JP"/>
              </w:rPr>
              <w:t>26</w:t>
            </w:r>
            <w:r w:rsidRPr="005D17EB">
              <w:rPr>
                <w:rFonts w:ascii="Arial" w:hAnsi="Arial" w:cs="Arial"/>
                <w:sz w:val="18"/>
                <w:szCs w:val="18"/>
                <w:lang w:val="es-CL" w:eastAsia="ja-JP"/>
              </w:rPr>
              <w:t>/</w:t>
            </w:r>
            <w:r>
              <w:rPr>
                <w:rFonts w:ascii="Arial" w:hAnsi="Arial" w:cs="Arial"/>
                <w:sz w:val="18"/>
                <w:szCs w:val="18"/>
                <w:lang w:val="es-CL" w:eastAsia="ja-JP"/>
              </w:rPr>
              <w:t>10</w:t>
            </w:r>
            <w:r w:rsidRPr="005D17EB">
              <w:rPr>
                <w:rFonts w:ascii="Arial" w:hAnsi="Arial" w:cs="Arial"/>
                <w:sz w:val="18"/>
                <w:szCs w:val="18"/>
                <w:lang w:val="es-CL" w:eastAsia="ja-JP"/>
              </w:rPr>
              <w:t>/1896</w:t>
            </w:r>
          </w:p>
        </w:tc>
        <w:tc>
          <w:tcPr>
            <w:tcW w:w="1440" w:type="dxa"/>
            <w:tcBorders>
              <w:top w:val="single" w:sz="4" w:space="0" w:color="auto"/>
              <w:left w:val="single" w:sz="4" w:space="0" w:color="auto"/>
              <w:bottom w:val="single" w:sz="4" w:space="0" w:color="auto"/>
              <w:right w:val="single" w:sz="4" w:space="0" w:color="auto"/>
            </w:tcBorders>
            <w:vAlign w:val="center"/>
          </w:tcPr>
          <w:p w14:paraId="0130E108" w14:textId="77777777" w:rsidR="00D44F8D" w:rsidRPr="005D17EB" w:rsidRDefault="00D44F8D" w:rsidP="00716523">
            <w:pPr>
              <w:jc w:val="center"/>
              <w:rPr>
                <w:rFonts w:ascii="Arial" w:hAnsi="Arial" w:cs="Arial"/>
                <w:sz w:val="18"/>
                <w:szCs w:val="18"/>
                <w:lang w:val="es-CL" w:eastAsia="ja-JP"/>
              </w:rPr>
            </w:pPr>
            <w:r>
              <w:rPr>
                <w:rFonts w:ascii="Arial" w:hAnsi="Arial" w:cs="Arial"/>
                <w:sz w:val="18"/>
                <w:szCs w:val="18"/>
                <w:lang w:val="es-CL" w:eastAsia="ja-JP"/>
              </w:rPr>
              <w:t>26</w:t>
            </w:r>
            <w:r w:rsidRPr="005D17EB">
              <w:rPr>
                <w:rFonts w:ascii="Arial" w:hAnsi="Arial" w:cs="Arial"/>
                <w:sz w:val="18"/>
                <w:szCs w:val="18"/>
                <w:lang w:val="es-CL" w:eastAsia="ja-JP"/>
              </w:rPr>
              <w:t>/</w:t>
            </w:r>
            <w:r>
              <w:rPr>
                <w:rFonts w:ascii="Arial" w:hAnsi="Arial" w:cs="Arial"/>
                <w:sz w:val="18"/>
                <w:szCs w:val="18"/>
                <w:lang w:val="es-CL" w:eastAsia="ja-JP"/>
              </w:rPr>
              <w:t>10</w:t>
            </w:r>
            <w:r w:rsidRPr="005D17EB">
              <w:rPr>
                <w:rFonts w:ascii="Arial" w:hAnsi="Arial" w:cs="Arial"/>
                <w:sz w:val="18"/>
                <w:szCs w:val="18"/>
                <w:lang w:val="es-CL" w:eastAsia="ja-JP"/>
              </w:rPr>
              <w:t>/1896</w:t>
            </w:r>
          </w:p>
        </w:tc>
        <w:tc>
          <w:tcPr>
            <w:tcW w:w="1260" w:type="dxa"/>
            <w:tcBorders>
              <w:top w:val="single" w:sz="4" w:space="0" w:color="auto"/>
              <w:left w:val="single" w:sz="4" w:space="0" w:color="auto"/>
              <w:bottom w:val="single" w:sz="4" w:space="0" w:color="auto"/>
              <w:right w:val="single" w:sz="4" w:space="0" w:color="auto"/>
            </w:tcBorders>
            <w:vAlign w:val="center"/>
          </w:tcPr>
          <w:p w14:paraId="4B35AED8" w14:textId="77777777" w:rsidR="00D44F8D" w:rsidRPr="005D17EB" w:rsidRDefault="00D44F8D" w:rsidP="00716523">
            <w:pPr>
              <w:jc w:val="center"/>
              <w:rPr>
                <w:rFonts w:ascii="Arial" w:hAnsi="Arial" w:cs="Arial"/>
                <w:sz w:val="18"/>
                <w:szCs w:val="18"/>
                <w:lang w:val="es-CL" w:eastAsia="ja-JP"/>
              </w:rPr>
            </w:pPr>
            <w:r>
              <w:rPr>
                <w:rFonts w:ascii="Arial" w:hAnsi="Arial" w:cs="Arial"/>
                <w:sz w:val="18"/>
                <w:szCs w:val="18"/>
                <w:lang w:val="es-CL" w:eastAsia="ja-JP"/>
              </w:rPr>
              <w:t>26</w:t>
            </w:r>
            <w:r w:rsidRPr="005D17EB">
              <w:rPr>
                <w:rFonts w:ascii="Arial" w:hAnsi="Arial" w:cs="Arial"/>
                <w:sz w:val="18"/>
                <w:szCs w:val="18"/>
                <w:lang w:val="es-CL" w:eastAsia="ja-JP"/>
              </w:rPr>
              <w:t>/</w:t>
            </w:r>
            <w:r>
              <w:rPr>
                <w:rFonts w:ascii="Arial" w:hAnsi="Arial" w:cs="Arial"/>
                <w:sz w:val="18"/>
                <w:szCs w:val="18"/>
                <w:lang w:val="es-CL" w:eastAsia="ja-JP"/>
              </w:rPr>
              <w:t>10</w:t>
            </w:r>
            <w:r w:rsidRPr="005D17EB">
              <w:rPr>
                <w:rFonts w:ascii="Arial" w:hAnsi="Arial" w:cs="Arial"/>
                <w:sz w:val="18"/>
                <w:szCs w:val="18"/>
                <w:lang w:val="es-CL" w:eastAsia="ja-JP"/>
              </w:rPr>
              <w:t>/1896</w:t>
            </w:r>
          </w:p>
        </w:tc>
        <w:tc>
          <w:tcPr>
            <w:tcW w:w="1634" w:type="dxa"/>
            <w:tcBorders>
              <w:top w:val="single" w:sz="4" w:space="0" w:color="auto"/>
              <w:left w:val="nil"/>
              <w:bottom w:val="single" w:sz="4" w:space="0" w:color="auto"/>
              <w:right w:val="single" w:sz="4" w:space="0" w:color="auto"/>
            </w:tcBorders>
            <w:noWrap/>
            <w:vAlign w:val="center"/>
          </w:tcPr>
          <w:p w14:paraId="6581847C" w14:textId="77777777" w:rsidR="00D44F8D" w:rsidRPr="005D17EB" w:rsidRDefault="00D44F8D" w:rsidP="00716523">
            <w:pPr>
              <w:jc w:val="center"/>
              <w:rPr>
                <w:rFonts w:ascii="Arial" w:hAnsi="Arial" w:cs="Arial"/>
                <w:sz w:val="18"/>
                <w:szCs w:val="18"/>
                <w:lang w:val="es-CL" w:eastAsia="ja-JP"/>
              </w:rPr>
            </w:pPr>
            <w:r w:rsidRPr="005D17EB">
              <w:rPr>
                <w:rFonts w:ascii="Arial" w:hAnsi="Arial" w:cs="Arial"/>
                <w:sz w:val="18"/>
                <w:szCs w:val="18"/>
                <w:lang w:val="es-CL" w:eastAsia="ja-JP"/>
              </w:rPr>
              <w:t>51.72</w:t>
            </w:r>
          </w:p>
        </w:tc>
      </w:tr>
      <w:tr w:rsidR="00D44F8D" w:rsidRPr="005D17EB" w14:paraId="49EBB3F6" w14:textId="77777777" w:rsidTr="00716523">
        <w:trPr>
          <w:trHeight w:val="288"/>
        </w:trPr>
        <w:tc>
          <w:tcPr>
            <w:tcW w:w="3593" w:type="dxa"/>
            <w:tcBorders>
              <w:top w:val="single" w:sz="4" w:space="0" w:color="auto"/>
              <w:left w:val="single" w:sz="4" w:space="0" w:color="auto"/>
              <w:bottom w:val="single" w:sz="4" w:space="0" w:color="auto"/>
              <w:right w:val="single" w:sz="4" w:space="0" w:color="auto"/>
            </w:tcBorders>
            <w:vAlign w:val="center"/>
          </w:tcPr>
          <w:p w14:paraId="71F7B7BF" w14:textId="77777777" w:rsidR="00D44F8D" w:rsidRPr="005D17EB" w:rsidRDefault="00D44F8D" w:rsidP="00716523">
            <w:pPr>
              <w:rPr>
                <w:rFonts w:ascii="Arial" w:hAnsi="Arial" w:cs="Arial"/>
                <w:sz w:val="18"/>
                <w:szCs w:val="18"/>
                <w:lang w:val="es-CL"/>
              </w:rPr>
            </w:pPr>
            <w:r w:rsidRPr="005D17EB">
              <w:rPr>
                <w:rFonts w:ascii="Arial" w:hAnsi="Arial" w:cs="Arial"/>
                <w:sz w:val="18"/>
                <w:szCs w:val="18"/>
                <w:lang w:val="es-CL"/>
              </w:rPr>
              <w:t>Dow Jones Utility Average™</w:t>
            </w:r>
          </w:p>
        </w:tc>
        <w:tc>
          <w:tcPr>
            <w:tcW w:w="1260" w:type="dxa"/>
            <w:tcBorders>
              <w:top w:val="single" w:sz="4" w:space="0" w:color="auto"/>
              <w:left w:val="nil"/>
              <w:bottom w:val="single" w:sz="4" w:space="0" w:color="auto"/>
              <w:right w:val="single" w:sz="4" w:space="0" w:color="auto"/>
            </w:tcBorders>
            <w:vAlign w:val="center"/>
          </w:tcPr>
          <w:p w14:paraId="4751206F" w14:textId="77777777" w:rsidR="00D44F8D" w:rsidRPr="005D17EB" w:rsidRDefault="00D44F8D" w:rsidP="00716523">
            <w:pPr>
              <w:jc w:val="center"/>
              <w:rPr>
                <w:rFonts w:ascii="Arial" w:hAnsi="Arial" w:cs="Arial"/>
                <w:sz w:val="18"/>
                <w:szCs w:val="18"/>
                <w:lang w:val="es-CL" w:eastAsia="ja-JP"/>
              </w:rPr>
            </w:pPr>
            <w:r>
              <w:rPr>
                <w:rFonts w:ascii="Arial" w:hAnsi="Arial" w:cs="Arial"/>
                <w:sz w:val="18"/>
                <w:szCs w:val="18"/>
                <w:lang w:val="es-CL" w:eastAsia="ja-JP"/>
              </w:rPr>
              <w:t>02/01</w:t>
            </w:r>
            <w:r w:rsidRPr="005D17EB">
              <w:rPr>
                <w:rFonts w:ascii="Arial" w:hAnsi="Arial" w:cs="Arial"/>
                <w:sz w:val="18"/>
                <w:szCs w:val="18"/>
                <w:lang w:val="es-CL" w:eastAsia="ja-JP"/>
              </w:rPr>
              <w:t>/1929</w:t>
            </w:r>
          </w:p>
        </w:tc>
        <w:tc>
          <w:tcPr>
            <w:tcW w:w="1440" w:type="dxa"/>
            <w:tcBorders>
              <w:top w:val="single" w:sz="4" w:space="0" w:color="auto"/>
              <w:left w:val="single" w:sz="4" w:space="0" w:color="auto"/>
              <w:bottom w:val="single" w:sz="4" w:space="0" w:color="auto"/>
              <w:right w:val="single" w:sz="4" w:space="0" w:color="auto"/>
            </w:tcBorders>
            <w:vAlign w:val="center"/>
          </w:tcPr>
          <w:p w14:paraId="0E561A85" w14:textId="77777777" w:rsidR="00D44F8D" w:rsidRPr="005D17EB" w:rsidRDefault="00D44F8D" w:rsidP="00716523">
            <w:pPr>
              <w:jc w:val="center"/>
              <w:rPr>
                <w:rFonts w:ascii="Arial" w:hAnsi="Arial" w:cs="Arial"/>
                <w:sz w:val="18"/>
                <w:szCs w:val="18"/>
                <w:lang w:val="es-CL" w:eastAsia="ja-JP"/>
              </w:rPr>
            </w:pPr>
            <w:r>
              <w:rPr>
                <w:rFonts w:ascii="Arial" w:hAnsi="Arial" w:cs="Arial"/>
                <w:sz w:val="18"/>
                <w:szCs w:val="18"/>
                <w:lang w:val="es-CL" w:eastAsia="ja-JP"/>
              </w:rPr>
              <w:t>02/01</w:t>
            </w:r>
            <w:r w:rsidRPr="005D17EB">
              <w:rPr>
                <w:rFonts w:ascii="Arial" w:hAnsi="Arial" w:cs="Arial"/>
                <w:sz w:val="18"/>
                <w:szCs w:val="18"/>
                <w:lang w:val="es-CL" w:eastAsia="ja-JP"/>
              </w:rPr>
              <w:t>/1929</w:t>
            </w:r>
          </w:p>
        </w:tc>
        <w:tc>
          <w:tcPr>
            <w:tcW w:w="1260" w:type="dxa"/>
            <w:tcBorders>
              <w:top w:val="single" w:sz="4" w:space="0" w:color="auto"/>
              <w:left w:val="single" w:sz="4" w:space="0" w:color="auto"/>
              <w:bottom w:val="single" w:sz="4" w:space="0" w:color="auto"/>
              <w:right w:val="single" w:sz="4" w:space="0" w:color="auto"/>
            </w:tcBorders>
            <w:vAlign w:val="center"/>
          </w:tcPr>
          <w:p w14:paraId="18440BC7" w14:textId="77777777" w:rsidR="00D44F8D" w:rsidRPr="005D17EB" w:rsidRDefault="00D44F8D" w:rsidP="00716523">
            <w:pPr>
              <w:jc w:val="center"/>
              <w:rPr>
                <w:rFonts w:ascii="Arial" w:hAnsi="Arial" w:cs="Arial"/>
                <w:sz w:val="18"/>
                <w:szCs w:val="18"/>
                <w:lang w:val="es-CL" w:eastAsia="ja-JP"/>
              </w:rPr>
            </w:pPr>
            <w:r>
              <w:rPr>
                <w:rFonts w:ascii="Arial" w:hAnsi="Arial" w:cs="Arial"/>
                <w:sz w:val="18"/>
                <w:szCs w:val="18"/>
                <w:lang w:val="es-CL" w:eastAsia="ja-JP"/>
              </w:rPr>
              <w:t>02/01</w:t>
            </w:r>
            <w:r w:rsidRPr="005D17EB">
              <w:rPr>
                <w:rFonts w:ascii="Arial" w:hAnsi="Arial" w:cs="Arial"/>
                <w:sz w:val="18"/>
                <w:szCs w:val="18"/>
                <w:lang w:val="es-CL" w:eastAsia="ja-JP"/>
              </w:rPr>
              <w:t>/1929</w:t>
            </w:r>
          </w:p>
        </w:tc>
        <w:tc>
          <w:tcPr>
            <w:tcW w:w="1634" w:type="dxa"/>
            <w:tcBorders>
              <w:top w:val="single" w:sz="4" w:space="0" w:color="auto"/>
              <w:left w:val="nil"/>
              <w:bottom w:val="single" w:sz="4" w:space="0" w:color="auto"/>
              <w:right w:val="single" w:sz="4" w:space="0" w:color="auto"/>
            </w:tcBorders>
            <w:noWrap/>
            <w:vAlign w:val="center"/>
          </w:tcPr>
          <w:p w14:paraId="05849242" w14:textId="77777777" w:rsidR="00D44F8D" w:rsidRPr="005D17EB" w:rsidRDefault="00D44F8D" w:rsidP="00716523">
            <w:pPr>
              <w:jc w:val="center"/>
              <w:rPr>
                <w:rFonts w:ascii="Arial" w:hAnsi="Arial" w:cs="Arial"/>
                <w:sz w:val="18"/>
                <w:szCs w:val="18"/>
                <w:lang w:val="es-CL" w:eastAsia="ja-JP"/>
              </w:rPr>
            </w:pPr>
            <w:r w:rsidRPr="005D17EB">
              <w:rPr>
                <w:rFonts w:ascii="Arial" w:hAnsi="Arial" w:cs="Arial"/>
                <w:sz w:val="18"/>
                <w:szCs w:val="18"/>
                <w:lang w:val="es-CL" w:eastAsia="ja-JP"/>
              </w:rPr>
              <w:t>85.64</w:t>
            </w:r>
          </w:p>
        </w:tc>
      </w:tr>
      <w:tr w:rsidR="00D44F8D" w:rsidRPr="005D17EB" w14:paraId="5793DCC4" w14:textId="77777777" w:rsidTr="00716523">
        <w:trPr>
          <w:trHeight w:val="288"/>
        </w:trPr>
        <w:tc>
          <w:tcPr>
            <w:tcW w:w="3593" w:type="dxa"/>
            <w:tcBorders>
              <w:top w:val="single" w:sz="4" w:space="0" w:color="auto"/>
              <w:left w:val="single" w:sz="4" w:space="0" w:color="auto"/>
              <w:bottom w:val="single" w:sz="4" w:space="0" w:color="auto"/>
              <w:right w:val="single" w:sz="4" w:space="0" w:color="auto"/>
            </w:tcBorders>
            <w:vAlign w:val="center"/>
          </w:tcPr>
          <w:p w14:paraId="7263B0DE" w14:textId="77777777" w:rsidR="00D44F8D" w:rsidRPr="005D17EB" w:rsidRDefault="00D44F8D" w:rsidP="00716523">
            <w:pPr>
              <w:rPr>
                <w:rFonts w:ascii="Arial" w:hAnsi="Arial" w:cs="Arial"/>
                <w:sz w:val="18"/>
                <w:szCs w:val="18"/>
                <w:lang w:val="es-CL"/>
              </w:rPr>
            </w:pPr>
            <w:r w:rsidRPr="005D17EB">
              <w:rPr>
                <w:rFonts w:ascii="Arial" w:hAnsi="Arial" w:cs="Arial"/>
                <w:sz w:val="18"/>
                <w:szCs w:val="18"/>
                <w:lang w:val="es-CL"/>
              </w:rPr>
              <w:t>Dow Jones Composite Average™</w:t>
            </w:r>
          </w:p>
        </w:tc>
        <w:tc>
          <w:tcPr>
            <w:tcW w:w="1260" w:type="dxa"/>
            <w:tcBorders>
              <w:top w:val="single" w:sz="4" w:space="0" w:color="auto"/>
              <w:left w:val="nil"/>
              <w:bottom w:val="single" w:sz="4" w:space="0" w:color="auto"/>
              <w:right w:val="single" w:sz="4" w:space="0" w:color="auto"/>
            </w:tcBorders>
            <w:vAlign w:val="center"/>
          </w:tcPr>
          <w:p w14:paraId="75851FF1" w14:textId="77777777" w:rsidR="00D44F8D" w:rsidRPr="005D17EB" w:rsidRDefault="00D44F8D" w:rsidP="00716523">
            <w:pPr>
              <w:jc w:val="center"/>
              <w:rPr>
                <w:rFonts w:ascii="Arial" w:hAnsi="Arial" w:cs="Arial"/>
                <w:sz w:val="18"/>
                <w:szCs w:val="18"/>
                <w:lang w:val="es-CL" w:eastAsia="ja-JP"/>
              </w:rPr>
            </w:pPr>
            <w:r>
              <w:rPr>
                <w:rFonts w:ascii="Arial" w:hAnsi="Arial" w:cs="Arial"/>
                <w:sz w:val="18"/>
                <w:szCs w:val="18"/>
                <w:lang w:val="es-CL" w:eastAsia="ja-JP"/>
              </w:rPr>
              <w:t>02/01</w:t>
            </w:r>
            <w:r w:rsidRPr="005D17EB">
              <w:rPr>
                <w:rFonts w:ascii="Arial" w:hAnsi="Arial" w:cs="Arial"/>
                <w:sz w:val="18"/>
                <w:szCs w:val="18"/>
                <w:lang w:val="es-CL" w:eastAsia="ja-JP"/>
              </w:rPr>
              <w:t>/1934</w:t>
            </w:r>
          </w:p>
        </w:tc>
        <w:tc>
          <w:tcPr>
            <w:tcW w:w="1440" w:type="dxa"/>
            <w:tcBorders>
              <w:top w:val="single" w:sz="4" w:space="0" w:color="auto"/>
              <w:left w:val="single" w:sz="4" w:space="0" w:color="auto"/>
              <w:bottom w:val="single" w:sz="4" w:space="0" w:color="auto"/>
              <w:right w:val="single" w:sz="4" w:space="0" w:color="auto"/>
            </w:tcBorders>
            <w:vAlign w:val="center"/>
          </w:tcPr>
          <w:p w14:paraId="0F2764F4" w14:textId="77777777" w:rsidR="00D44F8D" w:rsidRPr="005D17EB" w:rsidRDefault="00D44F8D" w:rsidP="00716523">
            <w:pPr>
              <w:jc w:val="center"/>
              <w:rPr>
                <w:rFonts w:ascii="Arial" w:hAnsi="Arial" w:cs="Arial"/>
                <w:sz w:val="18"/>
                <w:szCs w:val="18"/>
                <w:lang w:val="es-CL" w:eastAsia="ja-JP"/>
              </w:rPr>
            </w:pPr>
            <w:r>
              <w:rPr>
                <w:rFonts w:ascii="Arial" w:hAnsi="Arial" w:cs="Arial"/>
                <w:sz w:val="18"/>
                <w:szCs w:val="18"/>
                <w:lang w:val="es-CL" w:eastAsia="ja-JP"/>
              </w:rPr>
              <w:t>02/01</w:t>
            </w:r>
            <w:r w:rsidRPr="005D17EB">
              <w:rPr>
                <w:rFonts w:ascii="Arial" w:hAnsi="Arial" w:cs="Arial"/>
                <w:sz w:val="18"/>
                <w:szCs w:val="18"/>
                <w:lang w:val="es-CL" w:eastAsia="ja-JP"/>
              </w:rPr>
              <w:t>/1934</w:t>
            </w:r>
          </w:p>
        </w:tc>
        <w:tc>
          <w:tcPr>
            <w:tcW w:w="1260" w:type="dxa"/>
            <w:tcBorders>
              <w:top w:val="single" w:sz="4" w:space="0" w:color="auto"/>
              <w:left w:val="single" w:sz="4" w:space="0" w:color="auto"/>
              <w:bottom w:val="single" w:sz="4" w:space="0" w:color="auto"/>
              <w:right w:val="single" w:sz="4" w:space="0" w:color="auto"/>
            </w:tcBorders>
            <w:vAlign w:val="center"/>
          </w:tcPr>
          <w:p w14:paraId="7558969D" w14:textId="77777777" w:rsidR="00D44F8D" w:rsidRPr="005D17EB" w:rsidRDefault="00D44F8D" w:rsidP="00716523">
            <w:pPr>
              <w:jc w:val="center"/>
              <w:rPr>
                <w:rFonts w:ascii="Arial" w:hAnsi="Arial" w:cs="Arial"/>
                <w:sz w:val="18"/>
                <w:szCs w:val="18"/>
                <w:lang w:val="es-CL" w:eastAsia="ja-JP"/>
              </w:rPr>
            </w:pPr>
            <w:r>
              <w:rPr>
                <w:rFonts w:ascii="Arial" w:hAnsi="Arial" w:cs="Arial"/>
                <w:sz w:val="18"/>
                <w:szCs w:val="18"/>
                <w:lang w:val="es-CL" w:eastAsia="ja-JP"/>
              </w:rPr>
              <w:t>02/01</w:t>
            </w:r>
            <w:r w:rsidRPr="005D17EB">
              <w:rPr>
                <w:rFonts w:ascii="Arial" w:hAnsi="Arial" w:cs="Arial"/>
                <w:sz w:val="18"/>
                <w:szCs w:val="18"/>
                <w:lang w:val="es-CL" w:eastAsia="ja-JP"/>
              </w:rPr>
              <w:t>/1934</w:t>
            </w:r>
          </w:p>
        </w:tc>
        <w:tc>
          <w:tcPr>
            <w:tcW w:w="1634" w:type="dxa"/>
            <w:tcBorders>
              <w:top w:val="single" w:sz="4" w:space="0" w:color="auto"/>
              <w:left w:val="nil"/>
              <w:bottom w:val="single" w:sz="4" w:space="0" w:color="auto"/>
              <w:right w:val="single" w:sz="4" w:space="0" w:color="auto"/>
            </w:tcBorders>
            <w:noWrap/>
            <w:vAlign w:val="center"/>
          </w:tcPr>
          <w:p w14:paraId="62970B28" w14:textId="77777777" w:rsidR="00D44F8D" w:rsidRPr="005D17EB" w:rsidRDefault="00D44F8D" w:rsidP="00716523">
            <w:pPr>
              <w:jc w:val="center"/>
              <w:rPr>
                <w:rFonts w:ascii="Arial" w:hAnsi="Arial" w:cs="Arial"/>
                <w:sz w:val="18"/>
                <w:szCs w:val="18"/>
                <w:lang w:val="es-CL" w:eastAsia="ja-JP"/>
              </w:rPr>
            </w:pPr>
            <w:r w:rsidRPr="005D17EB">
              <w:rPr>
                <w:rFonts w:ascii="Arial" w:hAnsi="Arial" w:cs="Arial"/>
                <w:sz w:val="18"/>
                <w:szCs w:val="18"/>
                <w:lang w:val="es-CL" w:eastAsia="ja-JP"/>
              </w:rPr>
              <w:t>39.57</w:t>
            </w:r>
          </w:p>
        </w:tc>
      </w:tr>
      <w:tr w:rsidR="00D44F8D" w:rsidRPr="005D17EB" w14:paraId="5954F2E4" w14:textId="77777777" w:rsidTr="00716523">
        <w:trPr>
          <w:trHeight w:val="288"/>
        </w:trPr>
        <w:tc>
          <w:tcPr>
            <w:tcW w:w="3593" w:type="dxa"/>
            <w:tcBorders>
              <w:top w:val="single" w:sz="4" w:space="0" w:color="auto"/>
              <w:left w:val="single" w:sz="4" w:space="0" w:color="auto"/>
              <w:bottom w:val="single" w:sz="4" w:space="0" w:color="auto"/>
              <w:right w:val="single" w:sz="4" w:space="0" w:color="auto"/>
            </w:tcBorders>
            <w:vAlign w:val="center"/>
          </w:tcPr>
          <w:p w14:paraId="6C77BAB5" w14:textId="77777777" w:rsidR="00D44F8D" w:rsidRPr="00744BCC" w:rsidRDefault="00D44F8D" w:rsidP="00716523">
            <w:pPr>
              <w:rPr>
                <w:rFonts w:ascii="Arial" w:hAnsi="Arial" w:cs="Arial"/>
                <w:sz w:val="18"/>
                <w:szCs w:val="18"/>
              </w:rPr>
            </w:pPr>
            <w:r w:rsidRPr="00744BCC">
              <w:rPr>
                <w:rFonts w:ascii="Arial" w:hAnsi="Arial" w:cs="Arial"/>
                <w:sz w:val="18"/>
                <w:szCs w:val="18"/>
              </w:rPr>
              <w:t>Dow Jones Industrial Average Yield Weighted</w:t>
            </w:r>
          </w:p>
        </w:tc>
        <w:tc>
          <w:tcPr>
            <w:tcW w:w="1260" w:type="dxa"/>
            <w:tcBorders>
              <w:top w:val="single" w:sz="4" w:space="0" w:color="auto"/>
              <w:left w:val="nil"/>
              <w:bottom w:val="single" w:sz="4" w:space="0" w:color="auto"/>
              <w:right w:val="single" w:sz="4" w:space="0" w:color="auto"/>
            </w:tcBorders>
            <w:vAlign w:val="center"/>
          </w:tcPr>
          <w:p w14:paraId="48428FDD" w14:textId="77777777" w:rsidR="00D44F8D" w:rsidRPr="005D17EB" w:rsidRDefault="00D44F8D" w:rsidP="00716523">
            <w:pPr>
              <w:jc w:val="center"/>
              <w:rPr>
                <w:rFonts w:ascii="Arial" w:hAnsi="Arial" w:cs="Arial"/>
                <w:sz w:val="18"/>
                <w:szCs w:val="18"/>
                <w:lang w:val="es-CL" w:eastAsia="ja-JP"/>
              </w:rPr>
            </w:pPr>
            <w:r>
              <w:rPr>
                <w:rFonts w:ascii="Arial" w:hAnsi="Arial" w:cs="Arial"/>
                <w:sz w:val="18"/>
                <w:szCs w:val="18"/>
                <w:lang w:val="es-CL" w:eastAsia="ja-JP"/>
              </w:rPr>
              <w:t>08</w:t>
            </w:r>
            <w:r w:rsidRPr="005D17EB">
              <w:rPr>
                <w:rFonts w:ascii="Arial" w:hAnsi="Arial" w:cs="Arial"/>
                <w:sz w:val="18"/>
                <w:szCs w:val="18"/>
                <w:lang w:val="es-CL" w:eastAsia="ja-JP"/>
              </w:rPr>
              <w:t>/</w:t>
            </w:r>
            <w:r>
              <w:rPr>
                <w:rFonts w:ascii="Arial" w:hAnsi="Arial" w:cs="Arial"/>
                <w:sz w:val="18"/>
                <w:szCs w:val="18"/>
                <w:lang w:val="es-CL" w:eastAsia="ja-JP"/>
              </w:rPr>
              <w:t>12</w:t>
            </w:r>
            <w:r w:rsidRPr="005D17EB">
              <w:rPr>
                <w:rFonts w:ascii="Arial" w:hAnsi="Arial" w:cs="Arial"/>
                <w:sz w:val="18"/>
                <w:szCs w:val="18"/>
                <w:lang w:val="es-CL" w:eastAsia="ja-JP"/>
              </w:rPr>
              <w:t>/2015</w:t>
            </w:r>
          </w:p>
        </w:tc>
        <w:tc>
          <w:tcPr>
            <w:tcW w:w="1440" w:type="dxa"/>
            <w:tcBorders>
              <w:top w:val="single" w:sz="4" w:space="0" w:color="auto"/>
              <w:left w:val="single" w:sz="4" w:space="0" w:color="auto"/>
              <w:bottom w:val="single" w:sz="4" w:space="0" w:color="auto"/>
              <w:right w:val="single" w:sz="4" w:space="0" w:color="auto"/>
            </w:tcBorders>
            <w:vAlign w:val="center"/>
          </w:tcPr>
          <w:p w14:paraId="3C95F085" w14:textId="77777777" w:rsidR="00D44F8D" w:rsidRPr="005D17EB" w:rsidRDefault="00D44F8D" w:rsidP="00716523">
            <w:pPr>
              <w:jc w:val="center"/>
              <w:rPr>
                <w:rFonts w:ascii="Arial" w:hAnsi="Arial" w:cs="Arial"/>
                <w:sz w:val="18"/>
                <w:szCs w:val="18"/>
                <w:lang w:val="es-CL" w:eastAsia="ja-JP"/>
              </w:rPr>
            </w:pPr>
            <w:r>
              <w:rPr>
                <w:rFonts w:ascii="Arial" w:hAnsi="Arial" w:cs="Arial"/>
                <w:sz w:val="18"/>
                <w:szCs w:val="18"/>
                <w:lang w:val="es-CL" w:eastAsia="ja-JP"/>
              </w:rPr>
              <w:t>31</w:t>
            </w:r>
            <w:r w:rsidRPr="005D17EB">
              <w:rPr>
                <w:rFonts w:ascii="Arial" w:hAnsi="Arial" w:cs="Arial"/>
                <w:sz w:val="18"/>
                <w:szCs w:val="18"/>
                <w:lang w:val="es-CL" w:eastAsia="ja-JP"/>
              </w:rPr>
              <w:t>/</w:t>
            </w:r>
            <w:r>
              <w:rPr>
                <w:rFonts w:ascii="Arial" w:hAnsi="Arial" w:cs="Arial"/>
                <w:sz w:val="18"/>
                <w:szCs w:val="18"/>
                <w:lang w:val="es-CL" w:eastAsia="ja-JP"/>
              </w:rPr>
              <w:t>12</w:t>
            </w:r>
            <w:r w:rsidRPr="005D17EB">
              <w:rPr>
                <w:rFonts w:ascii="Arial" w:hAnsi="Arial" w:cs="Arial"/>
                <w:sz w:val="18"/>
                <w:szCs w:val="18"/>
                <w:lang w:val="es-CL" w:eastAsia="ja-JP"/>
              </w:rPr>
              <w:t>/1991</w:t>
            </w:r>
            <w:r w:rsidRPr="005D17EB">
              <w:rPr>
                <w:rFonts w:ascii="Arial" w:hAnsi="Arial" w:cs="Arial"/>
                <w:sz w:val="18"/>
                <w:szCs w:val="18"/>
                <w:vertAlign w:val="superscript"/>
                <w:lang w:val="es-CL" w:eastAsia="ja-JP"/>
              </w:rPr>
              <w:t>C</w:t>
            </w:r>
          </w:p>
          <w:p w14:paraId="5F38F2FC" w14:textId="77777777" w:rsidR="00D44F8D" w:rsidRPr="005D17EB" w:rsidRDefault="00D44F8D" w:rsidP="00716523">
            <w:pPr>
              <w:jc w:val="center"/>
              <w:rPr>
                <w:rFonts w:ascii="Arial" w:hAnsi="Arial" w:cs="Arial"/>
                <w:sz w:val="18"/>
                <w:szCs w:val="18"/>
                <w:lang w:val="es-CL" w:eastAsia="ja-JP"/>
              </w:rPr>
            </w:pPr>
            <w:r>
              <w:rPr>
                <w:rFonts w:ascii="Arial" w:hAnsi="Arial" w:cs="Arial"/>
                <w:sz w:val="18"/>
                <w:szCs w:val="18"/>
                <w:lang w:val="es-CL" w:eastAsia="ja-JP"/>
              </w:rPr>
              <w:t>15</w:t>
            </w:r>
            <w:r w:rsidRPr="005D17EB">
              <w:rPr>
                <w:rFonts w:ascii="Arial" w:hAnsi="Arial" w:cs="Arial"/>
                <w:sz w:val="18"/>
                <w:szCs w:val="18"/>
                <w:lang w:val="es-CL" w:eastAsia="ja-JP"/>
              </w:rPr>
              <w:t>/</w:t>
            </w:r>
            <w:r>
              <w:rPr>
                <w:rFonts w:ascii="Arial" w:hAnsi="Arial" w:cs="Arial"/>
                <w:sz w:val="18"/>
                <w:szCs w:val="18"/>
                <w:lang w:val="es-CL" w:eastAsia="ja-JP"/>
              </w:rPr>
              <w:t>03</w:t>
            </w:r>
            <w:r w:rsidRPr="005D17EB">
              <w:rPr>
                <w:rFonts w:ascii="Arial" w:hAnsi="Arial" w:cs="Arial"/>
                <w:sz w:val="18"/>
                <w:szCs w:val="18"/>
                <w:lang w:val="es-CL" w:eastAsia="ja-JP"/>
              </w:rPr>
              <w:t>/2013</w:t>
            </w:r>
            <w:r w:rsidRPr="005D17EB">
              <w:rPr>
                <w:rFonts w:ascii="Arial" w:hAnsi="Arial" w:cs="Arial"/>
                <w:sz w:val="18"/>
                <w:szCs w:val="18"/>
                <w:vertAlign w:val="superscript"/>
                <w:lang w:val="es-CL" w:eastAsia="ja-JP"/>
              </w:rPr>
              <w:t>D</w:t>
            </w:r>
          </w:p>
        </w:tc>
        <w:tc>
          <w:tcPr>
            <w:tcW w:w="1260" w:type="dxa"/>
            <w:tcBorders>
              <w:top w:val="single" w:sz="4" w:space="0" w:color="auto"/>
              <w:left w:val="single" w:sz="4" w:space="0" w:color="auto"/>
              <w:bottom w:val="single" w:sz="4" w:space="0" w:color="auto"/>
              <w:right w:val="single" w:sz="4" w:space="0" w:color="auto"/>
            </w:tcBorders>
            <w:vAlign w:val="center"/>
          </w:tcPr>
          <w:p w14:paraId="26CE9121" w14:textId="77777777" w:rsidR="00D44F8D" w:rsidRPr="005D17EB" w:rsidRDefault="00D44F8D" w:rsidP="00716523">
            <w:pPr>
              <w:jc w:val="center"/>
              <w:rPr>
                <w:rFonts w:ascii="Arial" w:hAnsi="Arial" w:cs="Arial"/>
                <w:sz w:val="18"/>
                <w:szCs w:val="18"/>
                <w:lang w:val="es-CL" w:eastAsia="ja-JP"/>
              </w:rPr>
            </w:pPr>
            <w:r>
              <w:rPr>
                <w:rFonts w:ascii="Arial" w:hAnsi="Arial" w:cs="Arial"/>
                <w:sz w:val="18"/>
                <w:szCs w:val="18"/>
                <w:lang w:val="es-CL" w:eastAsia="ja-JP"/>
              </w:rPr>
              <w:t>31</w:t>
            </w:r>
            <w:r w:rsidRPr="005D17EB">
              <w:rPr>
                <w:rFonts w:ascii="Arial" w:hAnsi="Arial" w:cs="Arial"/>
                <w:sz w:val="18"/>
                <w:szCs w:val="18"/>
                <w:lang w:val="es-CL" w:eastAsia="ja-JP"/>
              </w:rPr>
              <w:t>/</w:t>
            </w:r>
            <w:r>
              <w:rPr>
                <w:rFonts w:ascii="Arial" w:hAnsi="Arial" w:cs="Arial"/>
                <w:sz w:val="18"/>
                <w:szCs w:val="18"/>
                <w:lang w:val="es-CL" w:eastAsia="ja-JP"/>
              </w:rPr>
              <w:t>12</w:t>
            </w:r>
            <w:r w:rsidRPr="005D17EB">
              <w:rPr>
                <w:rFonts w:ascii="Arial" w:hAnsi="Arial" w:cs="Arial"/>
                <w:sz w:val="18"/>
                <w:szCs w:val="18"/>
                <w:lang w:val="es-CL" w:eastAsia="ja-JP"/>
              </w:rPr>
              <w:t>/1991</w:t>
            </w:r>
            <w:r w:rsidRPr="005D17EB">
              <w:rPr>
                <w:rFonts w:ascii="Arial" w:hAnsi="Arial" w:cs="Arial"/>
                <w:sz w:val="18"/>
                <w:szCs w:val="18"/>
                <w:vertAlign w:val="superscript"/>
                <w:lang w:val="es-CL" w:eastAsia="ja-JP"/>
              </w:rPr>
              <w:t>C</w:t>
            </w:r>
          </w:p>
          <w:p w14:paraId="5DA261D3" w14:textId="77777777" w:rsidR="00D44F8D" w:rsidRPr="005D17EB" w:rsidRDefault="00D44F8D" w:rsidP="00716523">
            <w:pPr>
              <w:jc w:val="center"/>
              <w:rPr>
                <w:rFonts w:ascii="Arial" w:hAnsi="Arial" w:cs="Arial"/>
                <w:sz w:val="18"/>
                <w:szCs w:val="18"/>
                <w:lang w:val="es-CL" w:eastAsia="ja-JP"/>
              </w:rPr>
            </w:pPr>
            <w:r>
              <w:rPr>
                <w:rFonts w:ascii="Arial" w:hAnsi="Arial" w:cs="Arial"/>
                <w:sz w:val="18"/>
                <w:szCs w:val="18"/>
                <w:lang w:val="es-CL" w:eastAsia="ja-JP"/>
              </w:rPr>
              <w:t>15</w:t>
            </w:r>
            <w:r w:rsidRPr="005D17EB">
              <w:rPr>
                <w:rFonts w:ascii="Arial" w:hAnsi="Arial" w:cs="Arial"/>
                <w:sz w:val="18"/>
                <w:szCs w:val="18"/>
                <w:lang w:val="es-CL" w:eastAsia="ja-JP"/>
              </w:rPr>
              <w:t>/</w:t>
            </w:r>
            <w:r>
              <w:rPr>
                <w:rFonts w:ascii="Arial" w:hAnsi="Arial" w:cs="Arial"/>
                <w:sz w:val="18"/>
                <w:szCs w:val="18"/>
                <w:lang w:val="es-CL" w:eastAsia="ja-JP"/>
              </w:rPr>
              <w:t>03</w:t>
            </w:r>
            <w:r w:rsidRPr="005D17EB">
              <w:rPr>
                <w:rFonts w:ascii="Arial" w:hAnsi="Arial" w:cs="Arial"/>
                <w:sz w:val="18"/>
                <w:szCs w:val="18"/>
                <w:lang w:val="es-CL" w:eastAsia="ja-JP"/>
              </w:rPr>
              <w:t>/2013</w:t>
            </w:r>
            <w:r w:rsidRPr="005D17EB">
              <w:rPr>
                <w:rFonts w:ascii="Arial" w:hAnsi="Arial" w:cs="Arial"/>
                <w:sz w:val="18"/>
                <w:szCs w:val="18"/>
                <w:vertAlign w:val="superscript"/>
                <w:lang w:val="es-CL" w:eastAsia="ja-JP"/>
              </w:rPr>
              <w:t>D</w:t>
            </w:r>
          </w:p>
        </w:tc>
        <w:tc>
          <w:tcPr>
            <w:tcW w:w="1634" w:type="dxa"/>
            <w:tcBorders>
              <w:top w:val="single" w:sz="4" w:space="0" w:color="auto"/>
              <w:left w:val="nil"/>
              <w:bottom w:val="single" w:sz="4" w:space="0" w:color="auto"/>
              <w:right w:val="single" w:sz="4" w:space="0" w:color="auto"/>
            </w:tcBorders>
            <w:noWrap/>
            <w:vAlign w:val="center"/>
          </w:tcPr>
          <w:p w14:paraId="398FB664" w14:textId="77777777" w:rsidR="00D44F8D" w:rsidRPr="005D17EB" w:rsidRDefault="00D44F8D" w:rsidP="00716523">
            <w:pPr>
              <w:jc w:val="center"/>
              <w:rPr>
                <w:rFonts w:ascii="Arial" w:hAnsi="Arial" w:cs="Arial"/>
                <w:sz w:val="18"/>
                <w:szCs w:val="18"/>
                <w:lang w:val="es-CL" w:eastAsia="ja-JP"/>
              </w:rPr>
            </w:pPr>
            <w:r w:rsidRPr="005D17EB">
              <w:rPr>
                <w:rFonts w:ascii="Arial" w:hAnsi="Arial" w:cs="Arial"/>
                <w:sz w:val="18"/>
                <w:szCs w:val="18"/>
                <w:lang w:val="es-CL" w:eastAsia="ja-JP"/>
              </w:rPr>
              <w:t>1000</w:t>
            </w:r>
          </w:p>
        </w:tc>
      </w:tr>
      <w:tr w:rsidR="00D44F8D" w:rsidRPr="005D17EB" w14:paraId="39236333" w14:textId="77777777" w:rsidTr="00716523">
        <w:trPr>
          <w:trHeight w:val="288"/>
        </w:trPr>
        <w:tc>
          <w:tcPr>
            <w:tcW w:w="3593" w:type="dxa"/>
            <w:tcBorders>
              <w:top w:val="single" w:sz="4" w:space="0" w:color="auto"/>
              <w:left w:val="single" w:sz="4" w:space="0" w:color="auto"/>
              <w:bottom w:val="single" w:sz="4" w:space="0" w:color="auto"/>
              <w:right w:val="single" w:sz="4" w:space="0" w:color="auto"/>
            </w:tcBorders>
            <w:vAlign w:val="center"/>
          </w:tcPr>
          <w:p w14:paraId="2AF7097E" w14:textId="77777777" w:rsidR="00D44F8D" w:rsidRPr="00744BCC" w:rsidRDefault="00D44F8D" w:rsidP="00716523">
            <w:pPr>
              <w:rPr>
                <w:rFonts w:ascii="Arial" w:hAnsi="Arial" w:cs="Arial"/>
                <w:sz w:val="18"/>
                <w:szCs w:val="18"/>
              </w:rPr>
            </w:pPr>
            <w:r>
              <w:rPr>
                <w:rFonts w:ascii="Arial" w:hAnsi="Arial" w:cs="Arial"/>
                <w:sz w:val="18"/>
                <w:szCs w:val="18"/>
              </w:rPr>
              <w:t>Dow Jones Industrial Average Equal Weight Index</w:t>
            </w:r>
          </w:p>
        </w:tc>
        <w:tc>
          <w:tcPr>
            <w:tcW w:w="1260" w:type="dxa"/>
            <w:tcBorders>
              <w:top w:val="single" w:sz="4" w:space="0" w:color="auto"/>
              <w:left w:val="nil"/>
              <w:bottom w:val="single" w:sz="4" w:space="0" w:color="auto"/>
              <w:right w:val="single" w:sz="4" w:space="0" w:color="auto"/>
            </w:tcBorders>
            <w:vAlign w:val="center"/>
          </w:tcPr>
          <w:p w14:paraId="6233F97E" w14:textId="77777777" w:rsidR="00D44F8D" w:rsidRPr="00BE4531" w:rsidRDefault="00D44F8D" w:rsidP="00716523">
            <w:pPr>
              <w:jc w:val="center"/>
              <w:rPr>
                <w:rFonts w:ascii="Arial" w:hAnsi="Arial" w:cs="Arial"/>
                <w:sz w:val="18"/>
                <w:szCs w:val="18"/>
                <w:lang w:eastAsia="ja-JP"/>
              </w:rPr>
            </w:pPr>
            <w:r>
              <w:rPr>
                <w:rFonts w:ascii="Arial" w:hAnsi="Arial" w:cs="Arial"/>
                <w:sz w:val="18"/>
                <w:szCs w:val="18"/>
                <w:lang w:eastAsia="ja-JP"/>
              </w:rPr>
              <w:t>13/02/2017</w:t>
            </w:r>
          </w:p>
        </w:tc>
        <w:tc>
          <w:tcPr>
            <w:tcW w:w="1440" w:type="dxa"/>
            <w:tcBorders>
              <w:top w:val="single" w:sz="4" w:space="0" w:color="auto"/>
              <w:left w:val="single" w:sz="4" w:space="0" w:color="auto"/>
              <w:bottom w:val="single" w:sz="4" w:space="0" w:color="auto"/>
              <w:right w:val="single" w:sz="4" w:space="0" w:color="auto"/>
            </w:tcBorders>
            <w:vAlign w:val="center"/>
          </w:tcPr>
          <w:p w14:paraId="7EF744FD" w14:textId="77777777" w:rsidR="00D44F8D" w:rsidRPr="005D17EB" w:rsidRDefault="00D44F8D" w:rsidP="00716523">
            <w:pPr>
              <w:jc w:val="center"/>
              <w:rPr>
                <w:rFonts w:ascii="Arial" w:hAnsi="Arial" w:cs="Arial"/>
                <w:sz w:val="18"/>
                <w:szCs w:val="18"/>
                <w:lang w:val="es-CL" w:eastAsia="ja-JP"/>
              </w:rPr>
            </w:pPr>
            <w:r>
              <w:rPr>
                <w:rFonts w:ascii="Arial" w:hAnsi="Arial" w:cs="Arial"/>
                <w:sz w:val="18"/>
                <w:szCs w:val="18"/>
                <w:lang w:val="es-CL" w:eastAsia="ja-JP"/>
              </w:rPr>
              <w:t>31</w:t>
            </w:r>
            <w:r w:rsidRPr="005D17EB">
              <w:rPr>
                <w:rFonts w:ascii="Arial" w:hAnsi="Arial" w:cs="Arial"/>
                <w:sz w:val="18"/>
                <w:szCs w:val="18"/>
                <w:lang w:val="es-CL" w:eastAsia="ja-JP"/>
              </w:rPr>
              <w:t>/</w:t>
            </w:r>
            <w:r>
              <w:rPr>
                <w:rFonts w:ascii="Arial" w:hAnsi="Arial" w:cs="Arial"/>
                <w:sz w:val="18"/>
                <w:szCs w:val="18"/>
                <w:lang w:val="es-CL" w:eastAsia="ja-JP"/>
              </w:rPr>
              <w:t>12</w:t>
            </w:r>
            <w:r w:rsidRPr="005D17EB">
              <w:rPr>
                <w:rFonts w:ascii="Arial" w:hAnsi="Arial" w:cs="Arial"/>
                <w:sz w:val="18"/>
                <w:szCs w:val="18"/>
                <w:lang w:val="es-CL" w:eastAsia="ja-JP"/>
              </w:rPr>
              <w:t>/1991</w:t>
            </w:r>
            <w:r w:rsidRPr="005D17EB">
              <w:rPr>
                <w:rFonts w:ascii="Arial" w:hAnsi="Arial" w:cs="Arial"/>
                <w:sz w:val="18"/>
                <w:szCs w:val="18"/>
                <w:vertAlign w:val="superscript"/>
                <w:lang w:val="es-CL" w:eastAsia="ja-JP"/>
              </w:rPr>
              <w:t>C</w:t>
            </w:r>
          </w:p>
          <w:p w14:paraId="6F1EA587" w14:textId="77777777" w:rsidR="00D44F8D" w:rsidRPr="00BE4531" w:rsidRDefault="00D44F8D" w:rsidP="00716523">
            <w:pPr>
              <w:jc w:val="center"/>
              <w:rPr>
                <w:rFonts w:ascii="Arial" w:hAnsi="Arial" w:cs="Arial"/>
                <w:sz w:val="18"/>
                <w:szCs w:val="18"/>
                <w:lang w:eastAsia="ja-JP"/>
              </w:rPr>
            </w:pPr>
            <w:r>
              <w:rPr>
                <w:rFonts w:ascii="Arial" w:hAnsi="Arial" w:cs="Arial"/>
                <w:sz w:val="18"/>
                <w:szCs w:val="18"/>
                <w:lang w:val="es-CL" w:eastAsia="ja-JP"/>
              </w:rPr>
              <w:t>15</w:t>
            </w:r>
            <w:r w:rsidRPr="005D17EB">
              <w:rPr>
                <w:rFonts w:ascii="Arial" w:hAnsi="Arial" w:cs="Arial"/>
                <w:sz w:val="18"/>
                <w:szCs w:val="18"/>
                <w:lang w:val="es-CL" w:eastAsia="ja-JP"/>
              </w:rPr>
              <w:t>/</w:t>
            </w:r>
            <w:r>
              <w:rPr>
                <w:rFonts w:ascii="Arial" w:hAnsi="Arial" w:cs="Arial"/>
                <w:sz w:val="18"/>
                <w:szCs w:val="18"/>
                <w:lang w:val="es-CL" w:eastAsia="ja-JP"/>
              </w:rPr>
              <w:t>03</w:t>
            </w:r>
            <w:r w:rsidRPr="005D17EB">
              <w:rPr>
                <w:rFonts w:ascii="Arial" w:hAnsi="Arial" w:cs="Arial"/>
                <w:sz w:val="18"/>
                <w:szCs w:val="18"/>
                <w:lang w:val="es-CL" w:eastAsia="ja-JP"/>
              </w:rPr>
              <w:t>/2013</w:t>
            </w:r>
            <w:r w:rsidRPr="005D17EB">
              <w:rPr>
                <w:rFonts w:ascii="Arial" w:hAnsi="Arial" w:cs="Arial"/>
                <w:sz w:val="18"/>
                <w:szCs w:val="18"/>
                <w:vertAlign w:val="superscript"/>
                <w:lang w:val="es-CL" w:eastAsia="ja-JP"/>
              </w:rPr>
              <w:t>D</w:t>
            </w:r>
          </w:p>
        </w:tc>
        <w:tc>
          <w:tcPr>
            <w:tcW w:w="1260" w:type="dxa"/>
            <w:tcBorders>
              <w:top w:val="single" w:sz="4" w:space="0" w:color="auto"/>
              <w:left w:val="single" w:sz="4" w:space="0" w:color="auto"/>
              <w:bottom w:val="single" w:sz="4" w:space="0" w:color="auto"/>
              <w:right w:val="single" w:sz="4" w:space="0" w:color="auto"/>
            </w:tcBorders>
            <w:vAlign w:val="center"/>
          </w:tcPr>
          <w:p w14:paraId="05C1238F" w14:textId="77777777" w:rsidR="00D44F8D" w:rsidRPr="005D17EB" w:rsidRDefault="00D44F8D" w:rsidP="00716523">
            <w:pPr>
              <w:jc w:val="center"/>
              <w:rPr>
                <w:rFonts w:ascii="Arial" w:hAnsi="Arial" w:cs="Arial"/>
                <w:sz w:val="18"/>
                <w:szCs w:val="18"/>
                <w:lang w:val="es-CL" w:eastAsia="ja-JP"/>
              </w:rPr>
            </w:pPr>
            <w:r>
              <w:rPr>
                <w:rFonts w:ascii="Arial" w:hAnsi="Arial" w:cs="Arial"/>
                <w:sz w:val="18"/>
                <w:szCs w:val="18"/>
                <w:lang w:val="es-CL" w:eastAsia="ja-JP"/>
              </w:rPr>
              <w:t>31</w:t>
            </w:r>
            <w:r w:rsidRPr="005D17EB">
              <w:rPr>
                <w:rFonts w:ascii="Arial" w:hAnsi="Arial" w:cs="Arial"/>
                <w:sz w:val="18"/>
                <w:szCs w:val="18"/>
                <w:lang w:val="es-CL" w:eastAsia="ja-JP"/>
              </w:rPr>
              <w:t>/</w:t>
            </w:r>
            <w:r>
              <w:rPr>
                <w:rFonts w:ascii="Arial" w:hAnsi="Arial" w:cs="Arial"/>
                <w:sz w:val="18"/>
                <w:szCs w:val="18"/>
                <w:lang w:val="es-CL" w:eastAsia="ja-JP"/>
              </w:rPr>
              <w:t>12</w:t>
            </w:r>
            <w:r w:rsidRPr="005D17EB">
              <w:rPr>
                <w:rFonts w:ascii="Arial" w:hAnsi="Arial" w:cs="Arial"/>
                <w:sz w:val="18"/>
                <w:szCs w:val="18"/>
                <w:lang w:val="es-CL" w:eastAsia="ja-JP"/>
              </w:rPr>
              <w:t>/1991</w:t>
            </w:r>
            <w:r w:rsidRPr="005D17EB">
              <w:rPr>
                <w:rFonts w:ascii="Arial" w:hAnsi="Arial" w:cs="Arial"/>
                <w:sz w:val="18"/>
                <w:szCs w:val="18"/>
                <w:vertAlign w:val="superscript"/>
                <w:lang w:val="es-CL" w:eastAsia="ja-JP"/>
              </w:rPr>
              <w:t>C</w:t>
            </w:r>
          </w:p>
          <w:p w14:paraId="5D7DCDA2" w14:textId="77777777" w:rsidR="00D44F8D" w:rsidRPr="00BE4531" w:rsidRDefault="00D44F8D" w:rsidP="00716523">
            <w:pPr>
              <w:jc w:val="center"/>
              <w:rPr>
                <w:rFonts w:ascii="Arial" w:hAnsi="Arial" w:cs="Arial"/>
                <w:sz w:val="18"/>
                <w:szCs w:val="18"/>
                <w:lang w:eastAsia="ja-JP"/>
              </w:rPr>
            </w:pPr>
            <w:r>
              <w:rPr>
                <w:rFonts w:ascii="Arial" w:hAnsi="Arial" w:cs="Arial"/>
                <w:sz w:val="18"/>
                <w:szCs w:val="18"/>
                <w:lang w:val="es-CL" w:eastAsia="ja-JP"/>
              </w:rPr>
              <w:t>15</w:t>
            </w:r>
            <w:r w:rsidRPr="005D17EB">
              <w:rPr>
                <w:rFonts w:ascii="Arial" w:hAnsi="Arial" w:cs="Arial"/>
                <w:sz w:val="18"/>
                <w:szCs w:val="18"/>
                <w:lang w:val="es-CL" w:eastAsia="ja-JP"/>
              </w:rPr>
              <w:t>/</w:t>
            </w:r>
            <w:r>
              <w:rPr>
                <w:rFonts w:ascii="Arial" w:hAnsi="Arial" w:cs="Arial"/>
                <w:sz w:val="18"/>
                <w:szCs w:val="18"/>
                <w:lang w:val="es-CL" w:eastAsia="ja-JP"/>
              </w:rPr>
              <w:t>03</w:t>
            </w:r>
            <w:r w:rsidRPr="005D17EB">
              <w:rPr>
                <w:rFonts w:ascii="Arial" w:hAnsi="Arial" w:cs="Arial"/>
                <w:sz w:val="18"/>
                <w:szCs w:val="18"/>
                <w:lang w:val="es-CL" w:eastAsia="ja-JP"/>
              </w:rPr>
              <w:t>/2013</w:t>
            </w:r>
            <w:r w:rsidRPr="005D17EB">
              <w:rPr>
                <w:rFonts w:ascii="Arial" w:hAnsi="Arial" w:cs="Arial"/>
                <w:sz w:val="18"/>
                <w:szCs w:val="18"/>
                <w:vertAlign w:val="superscript"/>
                <w:lang w:val="es-CL" w:eastAsia="ja-JP"/>
              </w:rPr>
              <w:t>D</w:t>
            </w:r>
          </w:p>
        </w:tc>
        <w:tc>
          <w:tcPr>
            <w:tcW w:w="1634" w:type="dxa"/>
            <w:tcBorders>
              <w:top w:val="single" w:sz="4" w:space="0" w:color="auto"/>
              <w:left w:val="nil"/>
              <w:bottom w:val="single" w:sz="4" w:space="0" w:color="auto"/>
              <w:right w:val="single" w:sz="4" w:space="0" w:color="auto"/>
            </w:tcBorders>
            <w:noWrap/>
            <w:vAlign w:val="center"/>
          </w:tcPr>
          <w:p w14:paraId="3E46B1E5" w14:textId="77777777" w:rsidR="00D44F8D" w:rsidRPr="00BE4531" w:rsidRDefault="00D44F8D" w:rsidP="00716523">
            <w:pPr>
              <w:jc w:val="center"/>
              <w:rPr>
                <w:rFonts w:ascii="Arial" w:hAnsi="Arial" w:cs="Arial"/>
                <w:sz w:val="18"/>
                <w:szCs w:val="18"/>
                <w:lang w:eastAsia="ja-JP"/>
              </w:rPr>
            </w:pPr>
            <w:r w:rsidRPr="005D17EB">
              <w:rPr>
                <w:rFonts w:ascii="Arial" w:hAnsi="Arial" w:cs="Arial"/>
                <w:sz w:val="18"/>
                <w:szCs w:val="18"/>
                <w:lang w:val="es-CL" w:eastAsia="ja-JP"/>
              </w:rPr>
              <w:t>1000</w:t>
            </w:r>
          </w:p>
        </w:tc>
      </w:tr>
      <w:tr w:rsidR="00D44F8D" w:rsidRPr="005D17EB" w14:paraId="256F9617" w14:textId="77777777" w:rsidTr="00716523">
        <w:trPr>
          <w:trHeight w:val="288"/>
        </w:trPr>
        <w:tc>
          <w:tcPr>
            <w:tcW w:w="3593" w:type="dxa"/>
            <w:tcBorders>
              <w:top w:val="single" w:sz="4" w:space="0" w:color="auto"/>
              <w:left w:val="single" w:sz="4" w:space="0" w:color="auto"/>
              <w:bottom w:val="single" w:sz="4" w:space="0" w:color="auto"/>
              <w:right w:val="single" w:sz="4" w:space="0" w:color="auto"/>
            </w:tcBorders>
            <w:vAlign w:val="center"/>
          </w:tcPr>
          <w:p w14:paraId="1DA18088" w14:textId="77777777" w:rsidR="00D44F8D" w:rsidRPr="00744BCC" w:rsidRDefault="00D44F8D" w:rsidP="00716523">
            <w:pPr>
              <w:rPr>
                <w:rFonts w:ascii="Arial" w:hAnsi="Arial" w:cs="Arial"/>
                <w:sz w:val="18"/>
                <w:szCs w:val="18"/>
              </w:rPr>
            </w:pPr>
            <w:r w:rsidRPr="00744BCC">
              <w:rPr>
                <w:rFonts w:ascii="Arial" w:hAnsi="Arial" w:cs="Arial"/>
                <w:sz w:val="18"/>
                <w:szCs w:val="18"/>
              </w:rPr>
              <w:t>Dow Jones Industrial Average™ Hedged JPY Leveraged 2X Index</w:t>
            </w:r>
          </w:p>
        </w:tc>
        <w:tc>
          <w:tcPr>
            <w:tcW w:w="1260" w:type="dxa"/>
            <w:tcBorders>
              <w:top w:val="single" w:sz="4" w:space="0" w:color="auto"/>
              <w:left w:val="nil"/>
              <w:bottom w:val="single" w:sz="4" w:space="0" w:color="auto"/>
              <w:right w:val="single" w:sz="4" w:space="0" w:color="auto"/>
            </w:tcBorders>
            <w:vAlign w:val="center"/>
          </w:tcPr>
          <w:p w14:paraId="57CCB58D" w14:textId="77777777" w:rsidR="00D44F8D" w:rsidRPr="005D17EB" w:rsidRDefault="00D44F8D" w:rsidP="00716523">
            <w:pPr>
              <w:jc w:val="center"/>
              <w:rPr>
                <w:rFonts w:ascii="Arial" w:hAnsi="Arial" w:cs="Arial"/>
                <w:sz w:val="18"/>
                <w:szCs w:val="18"/>
                <w:lang w:val="es-CL" w:eastAsia="ja-JP"/>
              </w:rPr>
            </w:pPr>
            <w:r>
              <w:rPr>
                <w:rFonts w:ascii="Arial" w:hAnsi="Arial" w:cs="Arial"/>
                <w:sz w:val="18"/>
                <w:szCs w:val="18"/>
                <w:lang w:val="es-CL" w:eastAsia="ja-JP"/>
              </w:rPr>
              <w:t>27</w:t>
            </w:r>
            <w:r w:rsidRPr="005D17EB">
              <w:rPr>
                <w:rFonts w:ascii="Arial" w:hAnsi="Arial" w:cs="Arial"/>
                <w:sz w:val="18"/>
                <w:szCs w:val="18"/>
                <w:lang w:val="es-CL" w:eastAsia="ja-JP"/>
              </w:rPr>
              <w:t>/</w:t>
            </w:r>
            <w:r>
              <w:rPr>
                <w:rFonts w:ascii="Arial" w:hAnsi="Arial" w:cs="Arial"/>
                <w:sz w:val="18"/>
                <w:szCs w:val="18"/>
                <w:lang w:val="es-CL" w:eastAsia="ja-JP"/>
              </w:rPr>
              <w:t>09</w:t>
            </w:r>
            <w:r w:rsidRPr="005D17EB">
              <w:rPr>
                <w:rFonts w:ascii="Arial" w:hAnsi="Arial" w:cs="Arial"/>
                <w:sz w:val="18"/>
                <w:szCs w:val="18"/>
                <w:lang w:val="es-CL" w:eastAsia="ja-JP"/>
              </w:rPr>
              <w:t>/2013</w:t>
            </w:r>
          </w:p>
        </w:tc>
        <w:tc>
          <w:tcPr>
            <w:tcW w:w="1440" w:type="dxa"/>
            <w:tcBorders>
              <w:top w:val="single" w:sz="4" w:space="0" w:color="auto"/>
              <w:left w:val="single" w:sz="4" w:space="0" w:color="auto"/>
              <w:bottom w:val="single" w:sz="4" w:space="0" w:color="auto"/>
              <w:right w:val="single" w:sz="4" w:space="0" w:color="auto"/>
            </w:tcBorders>
            <w:vAlign w:val="center"/>
          </w:tcPr>
          <w:p w14:paraId="635DBB63" w14:textId="77777777" w:rsidR="00D44F8D" w:rsidRPr="005D17EB" w:rsidRDefault="00D44F8D" w:rsidP="00716523">
            <w:pPr>
              <w:jc w:val="center"/>
              <w:rPr>
                <w:rFonts w:ascii="Arial" w:hAnsi="Arial" w:cs="Arial"/>
                <w:sz w:val="18"/>
                <w:szCs w:val="18"/>
                <w:lang w:val="es-CL" w:eastAsia="ja-JP"/>
              </w:rPr>
            </w:pPr>
            <w:r>
              <w:rPr>
                <w:rFonts w:ascii="Arial" w:hAnsi="Arial" w:cs="Arial"/>
                <w:sz w:val="18"/>
                <w:szCs w:val="18"/>
                <w:lang w:val="es-CL" w:eastAsia="ja-JP"/>
              </w:rPr>
              <w:t>27</w:t>
            </w:r>
            <w:r w:rsidRPr="005D17EB">
              <w:rPr>
                <w:rFonts w:ascii="Arial" w:hAnsi="Arial" w:cs="Arial"/>
                <w:sz w:val="18"/>
                <w:szCs w:val="18"/>
                <w:lang w:val="es-CL" w:eastAsia="ja-JP"/>
              </w:rPr>
              <w:t>/</w:t>
            </w:r>
            <w:r>
              <w:rPr>
                <w:rFonts w:ascii="Arial" w:hAnsi="Arial" w:cs="Arial"/>
                <w:sz w:val="18"/>
                <w:szCs w:val="18"/>
                <w:lang w:val="es-CL" w:eastAsia="ja-JP"/>
              </w:rPr>
              <w:t>09</w:t>
            </w:r>
            <w:r w:rsidRPr="005D17EB">
              <w:rPr>
                <w:rFonts w:ascii="Arial" w:hAnsi="Arial" w:cs="Arial"/>
                <w:sz w:val="18"/>
                <w:szCs w:val="18"/>
                <w:lang w:val="es-CL" w:eastAsia="ja-JP"/>
              </w:rPr>
              <w:t>/2013</w:t>
            </w:r>
          </w:p>
        </w:tc>
        <w:tc>
          <w:tcPr>
            <w:tcW w:w="1260" w:type="dxa"/>
            <w:tcBorders>
              <w:top w:val="single" w:sz="4" w:space="0" w:color="auto"/>
              <w:left w:val="single" w:sz="4" w:space="0" w:color="auto"/>
              <w:bottom w:val="single" w:sz="4" w:space="0" w:color="auto"/>
              <w:right w:val="single" w:sz="4" w:space="0" w:color="auto"/>
            </w:tcBorders>
            <w:vAlign w:val="center"/>
          </w:tcPr>
          <w:p w14:paraId="1DEAA4A7" w14:textId="77777777" w:rsidR="00D44F8D" w:rsidRPr="005D17EB" w:rsidRDefault="00D44F8D" w:rsidP="00716523">
            <w:pPr>
              <w:jc w:val="center"/>
              <w:rPr>
                <w:rFonts w:ascii="Arial" w:hAnsi="Arial" w:cs="Arial"/>
                <w:sz w:val="18"/>
                <w:szCs w:val="18"/>
                <w:lang w:val="es-CL" w:eastAsia="ja-JP"/>
              </w:rPr>
            </w:pPr>
            <w:r>
              <w:rPr>
                <w:rFonts w:ascii="Arial" w:hAnsi="Arial" w:cs="Arial"/>
                <w:sz w:val="18"/>
                <w:szCs w:val="18"/>
                <w:lang w:val="es-CL" w:eastAsia="ja-JP"/>
              </w:rPr>
              <w:t>31</w:t>
            </w:r>
            <w:r w:rsidRPr="005D17EB">
              <w:rPr>
                <w:rFonts w:ascii="Arial" w:hAnsi="Arial" w:cs="Arial"/>
                <w:sz w:val="18"/>
                <w:szCs w:val="18"/>
                <w:lang w:val="es-CL" w:eastAsia="ja-JP"/>
              </w:rPr>
              <w:t>/</w:t>
            </w:r>
            <w:r>
              <w:rPr>
                <w:rFonts w:ascii="Arial" w:hAnsi="Arial" w:cs="Arial"/>
                <w:sz w:val="18"/>
                <w:szCs w:val="18"/>
                <w:lang w:val="es-CL" w:eastAsia="ja-JP"/>
              </w:rPr>
              <w:t>12</w:t>
            </w:r>
            <w:r w:rsidRPr="005D17EB">
              <w:rPr>
                <w:rFonts w:ascii="Arial" w:hAnsi="Arial" w:cs="Arial"/>
                <w:sz w:val="18"/>
                <w:szCs w:val="18"/>
                <w:lang w:val="es-CL" w:eastAsia="ja-JP"/>
              </w:rPr>
              <w:t>/2007</w:t>
            </w:r>
          </w:p>
        </w:tc>
        <w:tc>
          <w:tcPr>
            <w:tcW w:w="1634" w:type="dxa"/>
            <w:tcBorders>
              <w:top w:val="single" w:sz="4" w:space="0" w:color="auto"/>
              <w:left w:val="nil"/>
              <w:bottom w:val="single" w:sz="4" w:space="0" w:color="auto"/>
              <w:right w:val="single" w:sz="4" w:space="0" w:color="auto"/>
            </w:tcBorders>
            <w:noWrap/>
            <w:vAlign w:val="center"/>
          </w:tcPr>
          <w:p w14:paraId="4DBB4C6B" w14:textId="77777777" w:rsidR="00D44F8D" w:rsidRPr="005D17EB" w:rsidRDefault="00D44F8D" w:rsidP="00716523">
            <w:pPr>
              <w:jc w:val="center"/>
              <w:rPr>
                <w:rFonts w:ascii="Arial" w:hAnsi="Arial" w:cs="Arial"/>
                <w:sz w:val="18"/>
                <w:szCs w:val="18"/>
                <w:lang w:val="es-CL" w:eastAsia="ja-JP"/>
              </w:rPr>
            </w:pPr>
            <w:r w:rsidRPr="005D17EB">
              <w:rPr>
                <w:rFonts w:ascii="Arial" w:hAnsi="Arial" w:cs="Arial"/>
                <w:sz w:val="18"/>
                <w:szCs w:val="18"/>
                <w:lang w:val="es-CL" w:eastAsia="ja-JP"/>
              </w:rPr>
              <w:t>1000</w:t>
            </w:r>
          </w:p>
        </w:tc>
      </w:tr>
      <w:tr w:rsidR="00D44F8D" w:rsidRPr="005D17EB" w14:paraId="48827836" w14:textId="77777777" w:rsidTr="00716523">
        <w:trPr>
          <w:trHeight w:val="288"/>
        </w:trPr>
        <w:tc>
          <w:tcPr>
            <w:tcW w:w="3593" w:type="dxa"/>
            <w:tcBorders>
              <w:top w:val="single" w:sz="4" w:space="0" w:color="auto"/>
              <w:left w:val="single" w:sz="4" w:space="0" w:color="auto"/>
              <w:bottom w:val="single" w:sz="4" w:space="0" w:color="auto"/>
              <w:right w:val="single" w:sz="4" w:space="0" w:color="auto"/>
            </w:tcBorders>
            <w:vAlign w:val="center"/>
          </w:tcPr>
          <w:p w14:paraId="44DDB570" w14:textId="77777777" w:rsidR="00D44F8D" w:rsidRPr="00744BCC" w:rsidRDefault="00D44F8D" w:rsidP="00716523">
            <w:pPr>
              <w:rPr>
                <w:rFonts w:ascii="Arial" w:hAnsi="Arial" w:cs="Arial"/>
                <w:sz w:val="18"/>
                <w:szCs w:val="18"/>
              </w:rPr>
            </w:pPr>
            <w:r w:rsidRPr="00744BCC">
              <w:rPr>
                <w:rFonts w:ascii="Arial" w:hAnsi="Arial" w:cs="Arial"/>
                <w:sz w:val="18"/>
                <w:szCs w:val="18"/>
              </w:rPr>
              <w:t>Dow Jones Industrial Average™ Hedged JPY Inverse Index</w:t>
            </w:r>
          </w:p>
        </w:tc>
        <w:tc>
          <w:tcPr>
            <w:tcW w:w="1260" w:type="dxa"/>
            <w:tcBorders>
              <w:top w:val="single" w:sz="4" w:space="0" w:color="auto"/>
              <w:left w:val="nil"/>
              <w:bottom w:val="single" w:sz="4" w:space="0" w:color="auto"/>
              <w:right w:val="single" w:sz="4" w:space="0" w:color="auto"/>
            </w:tcBorders>
            <w:vAlign w:val="center"/>
          </w:tcPr>
          <w:p w14:paraId="088675AA" w14:textId="77777777" w:rsidR="00D44F8D" w:rsidRPr="005D17EB" w:rsidRDefault="00D44F8D" w:rsidP="00716523">
            <w:pPr>
              <w:jc w:val="center"/>
              <w:rPr>
                <w:rFonts w:ascii="Arial" w:hAnsi="Arial" w:cs="Arial"/>
                <w:sz w:val="18"/>
                <w:szCs w:val="18"/>
                <w:lang w:val="es-CL" w:eastAsia="ja-JP"/>
              </w:rPr>
            </w:pPr>
            <w:r>
              <w:rPr>
                <w:rFonts w:ascii="Arial" w:hAnsi="Arial" w:cs="Arial"/>
                <w:sz w:val="18"/>
                <w:szCs w:val="18"/>
                <w:lang w:val="es-CL" w:eastAsia="ja-JP"/>
              </w:rPr>
              <w:t>27</w:t>
            </w:r>
            <w:r w:rsidRPr="005D17EB">
              <w:rPr>
                <w:rFonts w:ascii="Arial" w:hAnsi="Arial" w:cs="Arial"/>
                <w:sz w:val="18"/>
                <w:szCs w:val="18"/>
                <w:lang w:val="es-CL" w:eastAsia="ja-JP"/>
              </w:rPr>
              <w:t>/</w:t>
            </w:r>
            <w:r>
              <w:rPr>
                <w:rFonts w:ascii="Arial" w:hAnsi="Arial" w:cs="Arial"/>
                <w:sz w:val="18"/>
                <w:szCs w:val="18"/>
                <w:lang w:val="es-CL" w:eastAsia="ja-JP"/>
              </w:rPr>
              <w:t>09</w:t>
            </w:r>
            <w:r w:rsidRPr="005D17EB">
              <w:rPr>
                <w:rFonts w:ascii="Arial" w:hAnsi="Arial" w:cs="Arial"/>
                <w:sz w:val="18"/>
                <w:szCs w:val="18"/>
                <w:lang w:val="es-CL" w:eastAsia="ja-JP"/>
              </w:rPr>
              <w:t>/2013</w:t>
            </w:r>
          </w:p>
        </w:tc>
        <w:tc>
          <w:tcPr>
            <w:tcW w:w="1440" w:type="dxa"/>
            <w:tcBorders>
              <w:top w:val="single" w:sz="4" w:space="0" w:color="auto"/>
              <w:left w:val="single" w:sz="4" w:space="0" w:color="auto"/>
              <w:bottom w:val="single" w:sz="4" w:space="0" w:color="auto"/>
              <w:right w:val="single" w:sz="4" w:space="0" w:color="auto"/>
            </w:tcBorders>
            <w:vAlign w:val="center"/>
          </w:tcPr>
          <w:p w14:paraId="295CA46B" w14:textId="77777777" w:rsidR="00D44F8D" w:rsidRPr="005D17EB" w:rsidRDefault="00D44F8D" w:rsidP="00716523">
            <w:pPr>
              <w:jc w:val="center"/>
              <w:rPr>
                <w:rFonts w:ascii="Arial" w:hAnsi="Arial" w:cs="Arial"/>
                <w:sz w:val="18"/>
                <w:szCs w:val="18"/>
                <w:lang w:val="es-CL" w:eastAsia="ja-JP"/>
              </w:rPr>
            </w:pPr>
            <w:r>
              <w:rPr>
                <w:rFonts w:ascii="Arial" w:hAnsi="Arial" w:cs="Arial"/>
                <w:sz w:val="18"/>
                <w:szCs w:val="18"/>
                <w:lang w:val="es-CL" w:eastAsia="ja-JP"/>
              </w:rPr>
              <w:t>27</w:t>
            </w:r>
            <w:r w:rsidRPr="005D17EB">
              <w:rPr>
                <w:rFonts w:ascii="Arial" w:hAnsi="Arial" w:cs="Arial"/>
                <w:sz w:val="18"/>
                <w:szCs w:val="18"/>
                <w:lang w:val="es-CL" w:eastAsia="ja-JP"/>
              </w:rPr>
              <w:t>/</w:t>
            </w:r>
            <w:r>
              <w:rPr>
                <w:rFonts w:ascii="Arial" w:hAnsi="Arial" w:cs="Arial"/>
                <w:sz w:val="18"/>
                <w:szCs w:val="18"/>
                <w:lang w:val="es-CL" w:eastAsia="ja-JP"/>
              </w:rPr>
              <w:t>09</w:t>
            </w:r>
            <w:r w:rsidRPr="005D17EB">
              <w:rPr>
                <w:rFonts w:ascii="Arial" w:hAnsi="Arial" w:cs="Arial"/>
                <w:sz w:val="18"/>
                <w:szCs w:val="18"/>
                <w:lang w:val="es-CL" w:eastAsia="ja-JP"/>
              </w:rPr>
              <w:t>/2013</w:t>
            </w:r>
          </w:p>
        </w:tc>
        <w:tc>
          <w:tcPr>
            <w:tcW w:w="1260" w:type="dxa"/>
            <w:tcBorders>
              <w:top w:val="single" w:sz="4" w:space="0" w:color="auto"/>
              <w:left w:val="single" w:sz="4" w:space="0" w:color="auto"/>
              <w:bottom w:val="single" w:sz="4" w:space="0" w:color="auto"/>
              <w:right w:val="single" w:sz="4" w:space="0" w:color="auto"/>
            </w:tcBorders>
            <w:vAlign w:val="center"/>
          </w:tcPr>
          <w:p w14:paraId="621C7669" w14:textId="77777777" w:rsidR="00D44F8D" w:rsidRPr="005D17EB" w:rsidRDefault="00D44F8D" w:rsidP="00716523">
            <w:pPr>
              <w:jc w:val="center"/>
              <w:rPr>
                <w:rFonts w:ascii="Arial" w:hAnsi="Arial" w:cs="Arial"/>
                <w:sz w:val="18"/>
                <w:szCs w:val="18"/>
                <w:lang w:val="es-CL" w:eastAsia="ja-JP"/>
              </w:rPr>
            </w:pPr>
            <w:r>
              <w:rPr>
                <w:rFonts w:ascii="Arial" w:hAnsi="Arial" w:cs="Arial"/>
                <w:sz w:val="18"/>
                <w:szCs w:val="18"/>
                <w:lang w:val="es-CL" w:eastAsia="ja-JP"/>
              </w:rPr>
              <w:t>31</w:t>
            </w:r>
            <w:r w:rsidRPr="005D17EB">
              <w:rPr>
                <w:rFonts w:ascii="Arial" w:hAnsi="Arial" w:cs="Arial"/>
                <w:sz w:val="18"/>
                <w:szCs w:val="18"/>
                <w:lang w:val="es-CL" w:eastAsia="ja-JP"/>
              </w:rPr>
              <w:t>/</w:t>
            </w:r>
            <w:r>
              <w:rPr>
                <w:rFonts w:ascii="Arial" w:hAnsi="Arial" w:cs="Arial"/>
                <w:sz w:val="18"/>
                <w:szCs w:val="18"/>
                <w:lang w:val="es-CL" w:eastAsia="ja-JP"/>
              </w:rPr>
              <w:t>12</w:t>
            </w:r>
            <w:r w:rsidRPr="005D17EB">
              <w:rPr>
                <w:rFonts w:ascii="Arial" w:hAnsi="Arial" w:cs="Arial"/>
                <w:sz w:val="18"/>
                <w:szCs w:val="18"/>
                <w:lang w:val="es-CL" w:eastAsia="ja-JP"/>
              </w:rPr>
              <w:t>/2007</w:t>
            </w:r>
          </w:p>
        </w:tc>
        <w:tc>
          <w:tcPr>
            <w:tcW w:w="1634" w:type="dxa"/>
            <w:tcBorders>
              <w:top w:val="single" w:sz="4" w:space="0" w:color="auto"/>
              <w:left w:val="nil"/>
              <w:bottom w:val="single" w:sz="4" w:space="0" w:color="auto"/>
              <w:right w:val="single" w:sz="4" w:space="0" w:color="auto"/>
            </w:tcBorders>
            <w:noWrap/>
            <w:vAlign w:val="center"/>
          </w:tcPr>
          <w:p w14:paraId="78F7764E" w14:textId="77777777" w:rsidR="00D44F8D" w:rsidRPr="005D17EB" w:rsidRDefault="00D44F8D" w:rsidP="00716523">
            <w:pPr>
              <w:jc w:val="center"/>
              <w:rPr>
                <w:rFonts w:ascii="Arial" w:hAnsi="Arial" w:cs="Arial"/>
                <w:sz w:val="18"/>
                <w:szCs w:val="18"/>
                <w:lang w:val="es-CL" w:eastAsia="ja-JP"/>
              </w:rPr>
            </w:pPr>
            <w:r w:rsidRPr="005D17EB">
              <w:rPr>
                <w:rFonts w:ascii="Arial" w:hAnsi="Arial" w:cs="Arial"/>
                <w:sz w:val="18"/>
                <w:szCs w:val="18"/>
                <w:lang w:val="es-CL" w:eastAsia="ja-JP"/>
              </w:rPr>
              <w:t>1000</w:t>
            </w:r>
          </w:p>
        </w:tc>
      </w:tr>
      <w:tr w:rsidR="00D44F8D" w:rsidRPr="005D17EB" w14:paraId="5C53A899" w14:textId="77777777" w:rsidTr="00716523">
        <w:trPr>
          <w:trHeight w:val="288"/>
        </w:trPr>
        <w:tc>
          <w:tcPr>
            <w:tcW w:w="3593" w:type="dxa"/>
            <w:tcBorders>
              <w:top w:val="single" w:sz="4" w:space="0" w:color="auto"/>
              <w:left w:val="single" w:sz="4" w:space="0" w:color="auto"/>
              <w:bottom w:val="single" w:sz="4" w:space="0" w:color="auto"/>
              <w:right w:val="single" w:sz="4" w:space="0" w:color="auto"/>
            </w:tcBorders>
            <w:vAlign w:val="center"/>
          </w:tcPr>
          <w:p w14:paraId="504A7C6B" w14:textId="77777777" w:rsidR="00D44F8D" w:rsidRPr="00744BCC" w:rsidRDefault="00D44F8D" w:rsidP="00716523">
            <w:pPr>
              <w:rPr>
                <w:rFonts w:ascii="Arial" w:hAnsi="Arial" w:cs="Arial"/>
                <w:sz w:val="18"/>
                <w:szCs w:val="18"/>
              </w:rPr>
            </w:pPr>
            <w:r w:rsidRPr="00744BCC">
              <w:rPr>
                <w:rFonts w:ascii="Arial" w:hAnsi="Arial" w:cs="Arial"/>
                <w:sz w:val="18"/>
                <w:szCs w:val="18"/>
              </w:rPr>
              <w:t>Dow Jones Industrial Average™ JPY Hedged Index</w:t>
            </w:r>
          </w:p>
        </w:tc>
        <w:tc>
          <w:tcPr>
            <w:tcW w:w="1260" w:type="dxa"/>
            <w:tcBorders>
              <w:top w:val="single" w:sz="4" w:space="0" w:color="auto"/>
              <w:left w:val="nil"/>
              <w:bottom w:val="single" w:sz="4" w:space="0" w:color="auto"/>
              <w:right w:val="single" w:sz="4" w:space="0" w:color="auto"/>
            </w:tcBorders>
            <w:vAlign w:val="center"/>
          </w:tcPr>
          <w:p w14:paraId="5493F5AD" w14:textId="77777777" w:rsidR="00D44F8D" w:rsidRPr="005D17EB" w:rsidRDefault="00D44F8D" w:rsidP="00716523">
            <w:pPr>
              <w:jc w:val="center"/>
              <w:rPr>
                <w:rFonts w:ascii="Arial" w:hAnsi="Arial" w:cs="Arial"/>
                <w:sz w:val="18"/>
                <w:szCs w:val="18"/>
                <w:lang w:val="es-CL" w:eastAsia="ja-JP"/>
              </w:rPr>
            </w:pPr>
            <w:r>
              <w:rPr>
                <w:rFonts w:ascii="Arial" w:hAnsi="Arial" w:cs="Arial"/>
                <w:sz w:val="18"/>
                <w:szCs w:val="18"/>
                <w:lang w:val="es-CL" w:eastAsia="ja-JP"/>
              </w:rPr>
              <w:t>27</w:t>
            </w:r>
            <w:r w:rsidRPr="005D17EB">
              <w:rPr>
                <w:rFonts w:ascii="Arial" w:hAnsi="Arial" w:cs="Arial"/>
                <w:sz w:val="18"/>
                <w:szCs w:val="18"/>
                <w:lang w:val="es-CL" w:eastAsia="ja-JP"/>
              </w:rPr>
              <w:t>/</w:t>
            </w:r>
            <w:r>
              <w:rPr>
                <w:rFonts w:ascii="Arial" w:hAnsi="Arial" w:cs="Arial"/>
                <w:sz w:val="18"/>
                <w:szCs w:val="18"/>
                <w:lang w:val="es-CL" w:eastAsia="ja-JP"/>
              </w:rPr>
              <w:t>09</w:t>
            </w:r>
            <w:r w:rsidRPr="005D17EB">
              <w:rPr>
                <w:rFonts w:ascii="Arial" w:hAnsi="Arial" w:cs="Arial"/>
                <w:sz w:val="18"/>
                <w:szCs w:val="18"/>
                <w:lang w:val="es-CL" w:eastAsia="ja-JP"/>
              </w:rPr>
              <w:t>/2013</w:t>
            </w:r>
          </w:p>
        </w:tc>
        <w:tc>
          <w:tcPr>
            <w:tcW w:w="1440" w:type="dxa"/>
            <w:tcBorders>
              <w:top w:val="single" w:sz="4" w:space="0" w:color="auto"/>
              <w:left w:val="single" w:sz="4" w:space="0" w:color="auto"/>
              <w:bottom w:val="single" w:sz="4" w:space="0" w:color="auto"/>
              <w:right w:val="single" w:sz="4" w:space="0" w:color="auto"/>
            </w:tcBorders>
            <w:vAlign w:val="center"/>
          </w:tcPr>
          <w:p w14:paraId="4B44E1C3" w14:textId="77777777" w:rsidR="00D44F8D" w:rsidRPr="005D17EB" w:rsidRDefault="00D44F8D" w:rsidP="00716523">
            <w:pPr>
              <w:jc w:val="center"/>
              <w:rPr>
                <w:rFonts w:ascii="Arial" w:hAnsi="Arial" w:cs="Arial"/>
                <w:sz w:val="18"/>
                <w:szCs w:val="18"/>
                <w:lang w:val="es-CL" w:eastAsia="ja-JP"/>
              </w:rPr>
            </w:pPr>
            <w:r>
              <w:rPr>
                <w:rFonts w:ascii="Arial" w:hAnsi="Arial" w:cs="Arial"/>
                <w:sz w:val="18"/>
                <w:szCs w:val="18"/>
                <w:lang w:val="es-CL" w:eastAsia="ja-JP"/>
              </w:rPr>
              <w:t>27</w:t>
            </w:r>
            <w:r w:rsidRPr="005D17EB">
              <w:rPr>
                <w:rFonts w:ascii="Arial" w:hAnsi="Arial" w:cs="Arial"/>
                <w:sz w:val="18"/>
                <w:szCs w:val="18"/>
                <w:lang w:val="es-CL" w:eastAsia="ja-JP"/>
              </w:rPr>
              <w:t>/</w:t>
            </w:r>
            <w:r>
              <w:rPr>
                <w:rFonts w:ascii="Arial" w:hAnsi="Arial" w:cs="Arial"/>
                <w:sz w:val="18"/>
                <w:szCs w:val="18"/>
                <w:lang w:val="es-CL" w:eastAsia="ja-JP"/>
              </w:rPr>
              <w:t>09</w:t>
            </w:r>
            <w:r w:rsidRPr="005D17EB">
              <w:rPr>
                <w:rFonts w:ascii="Arial" w:hAnsi="Arial" w:cs="Arial"/>
                <w:sz w:val="18"/>
                <w:szCs w:val="18"/>
                <w:lang w:val="es-CL" w:eastAsia="ja-JP"/>
              </w:rPr>
              <w:t>/2013</w:t>
            </w:r>
          </w:p>
        </w:tc>
        <w:tc>
          <w:tcPr>
            <w:tcW w:w="1260" w:type="dxa"/>
            <w:tcBorders>
              <w:top w:val="single" w:sz="4" w:space="0" w:color="auto"/>
              <w:left w:val="single" w:sz="4" w:space="0" w:color="auto"/>
              <w:bottom w:val="single" w:sz="4" w:space="0" w:color="auto"/>
              <w:right w:val="single" w:sz="4" w:space="0" w:color="auto"/>
            </w:tcBorders>
            <w:vAlign w:val="center"/>
          </w:tcPr>
          <w:p w14:paraId="2C95CF9B" w14:textId="77777777" w:rsidR="00D44F8D" w:rsidRPr="005D17EB" w:rsidRDefault="00D44F8D" w:rsidP="00716523">
            <w:pPr>
              <w:jc w:val="center"/>
              <w:rPr>
                <w:rFonts w:ascii="Arial" w:hAnsi="Arial" w:cs="Arial"/>
                <w:sz w:val="18"/>
                <w:szCs w:val="18"/>
                <w:lang w:val="es-CL" w:eastAsia="ja-JP"/>
              </w:rPr>
            </w:pPr>
            <w:r>
              <w:rPr>
                <w:rFonts w:ascii="Arial" w:hAnsi="Arial" w:cs="Arial"/>
                <w:sz w:val="18"/>
                <w:szCs w:val="18"/>
                <w:lang w:val="es-CL" w:eastAsia="ja-JP"/>
              </w:rPr>
              <w:t>31</w:t>
            </w:r>
            <w:r w:rsidRPr="005D17EB">
              <w:rPr>
                <w:rFonts w:ascii="Arial" w:hAnsi="Arial" w:cs="Arial"/>
                <w:sz w:val="18"/>
                <w:szCs w:val="18"/>
                <w:lang w:val="es-CL" w:eastAsia="ja-JP"/>
              </w:rPr>
              <w:t>/</w:t>
            </w:r>
            <w:r>
              <w:rPr>
                <w:rFonts w:ascii="Arial" w:hAnsi="Arial" w:cs="Arial"/>
                <w:sz w:val="18"/>
                <w:szCs w:val="18"/>
                <w:lang w:val="es-CL" w:eastAsia="ja-JP"/>
              </w:rPr>
              <w:t>12</w:t>
            </w:r>
            <w:r w:rsidRPr="005D17EB">
              <w:rPr>
                <w:rFonts w:ascii="Arial" w:hAnsi="Arial" w:cs="Arial"/>
                <w:sz w:val="18"/>
                <w:szCs w:val="18"/>
                <w:lang w:val="es-CL" w:eastAsia="ja-JP"/>
              </w:rPr>
              <w:t>/2007</w:t>
            </w:r>
          </w:p>
        </w:tc>
        <w:tc>
          <w:tcPr>
            <w:tcW w:w="1634" w:type="dxa"/>
            <w:tcBorders>
              <w:top w:val="single" w:sz="4" w:space="0" w:color="auto"/>
              <w:left w:val="nil"/>
              <w:bottom w:val="single" w:sz="4" w:space="0" w:color="auto"/>
              <w:right w:val="single" w:sz="4" w:space="0" w:color="auto"/>
            </w:tcBorders>
            <w:noWrap/>
            <w:vAlign w:val="center"/>
          </w:tcPr>
          <w:p w14:paraId="0A4A3804" w14:textId="77777777" w:rsidR="00D44F8D" w:rsidRPr="005D17EB" w:rsidRDefault="00D44F8D" w:rsidP="00716523">
            <w:pPr>
              <w:jc w:val="center"/>
              <w:rPr>
                <w:rFonts w:ascii="Arial" w:hAnsi="Arial" w:cs="Arial"/>
                <w:sz w:val="18"/>
                <w:szCs w:val="18"/>
                <w:lang w:val="es-CL" w:eastAsia="ja-JP"/>
              </w:rPr>
            </w:pPr>
            <w:r w:rsidRPr="005D17EB">
              <w:rPr>
                <w:rFonts w:ascii="Arial" w:hAnsi="Arial" w:cs="Arial"/>
                <w:sz w:val="18"/>
                <w:szCs w:val="18"/>
                <w:lang w:val="es-CL" w:eastAsia="ja-JP"/>
              </w:rPr>
              <w:t>1000</w:t>
            </w:r>
          </w:p>
        </w:tc>
      </w:tr>
    </w:tbl>
    <w:p w14:paraId="1077E9CD" w14:textId="77777777" w:rsidR="00D44F8D" w:rsidRPr="005D17EB" w:rsidRDefault="00D44F8D" w:rsidP="00D44F8D">
      <w:pPr>
        <w:pStyle w:val="MethodologyText"/>
        <w:ind w:left="720"/>
        <w:rPr>
          <w:rFonts w:ascii="Arial" w:hAnsi="Arial" w:cs="Arial"/>
          <w:sz w:val="16"/>
          <w:lang w:val="es-CL"/>
        </w:rPr>
      </w:pPr>
    </w:p>
    <w:p w14:paraId="63510662" w14:textId="77777777" w:rsidR="00D44F8D" w:rsidRPr="005D17EB" w:rsidRDefault="00D44F8D" w:rsidP="00D44F8D">
      <w:pPr>
        <w:pStyle w:val="MethodologyText"/>
        <w:ind w:left="720"/>
        <w:rPr>
          <w:rFonts w:ascii="Arial" w:hAnsi="Arial" w:cs="Arial"/>
          <w:sz w:val="16"/>
          <w:lang w:val="es-CL"/>
        </w:rPr>
      </w:pPr>
      <w:r w:rsidRPr="005D17EB">
        <w:rPr>
          <w:rFonts w:ascii="Arial" w:hAnsi="Arial" w:cs="Arial"/>
          <w:sz w:val="16"/>
          <w:vertAlign w:val="superscript"/>
          <w:lang w:val="es-CL"/>
        </w:rPr>
        <w:t>A</w:t>
      </w:r>
      <w:r w:rsidRPr="005D17EB">
        <w:rPr>
          <w:rFonts w:ascii="Arial" w:hAnsi="Arial" w:cs="Arial"/>
          <w:sz w:val="16"/>
          <w:lang w:val="es-CL"/>
        </w:rPr>
        <w:t xml:space="preserve"> </w:t>
      </w:r>
      <w:r>
        <w:rPr>
          <w:rFonts w:ascii="Arial" w:hAnsi="Arial" w:cs="Arial"/>
          <w:sz w:val="16"/>
          <w:lang w:val="es-CL"/>
        </w:rPr>
        <w:t>Rendimiento sobre el precio</w:t>
      </w:r>
    </w:p>
    <w:p w14:paraId="366EBE2F" w14:textId="77777777" w:rsidR="00D44F8D" w:rsidRPr="005D17EB" w:rsidRDefault="00D44F8D" w:rsidP="00D44F8D">
      <w:pPr>
        <w:pStyle w:val="MethodologyText"/>
        <w:ind w:left="720"/>
        <w:rPr>
          <w:rFonts w:ascii="Arial" w:hAnsi="Arial" w:cs="Arial"/>
          <w:sz w:val="16"/>
          <w:lang w:val="es-CL"/>
        </w:rPr>
      </w:pPr>
      <w:r w:rsidRPr="005D17EB">
        <w:rPr>
          <w:rFonts w:ascii="Arial" w:hAnsi="Arial" w:cs="Arial"/>
          <w:sz w:val="16"/>
          <w:vertAlign w:val="superscript"/>
          <w:lang w:val="es-CL"/>
        </w:rPr>
        <w:t>B</w:t>
      </w:r>
      <w:r w:rsidRPr="005D17EB">
        <w:rPr>
          <w:rFonts w:ascii="Arial" w:hAnsi="Arial" w:cs="Arial"/>
          <w:sz w:val="16"/>
          <w:lang w:val="es-CL"/>
        </w:rPr>
        <w:t xml:space="preserve"> </w:t>
      </w:r>
      <w:r>
        <w:rPr>
          <w:rFonts w:ascii="Arial" w:hAnsi="Arial" w:cs="Arial"/>
          <w:sz w:val="16"/>
          <w:lang w:val="es-CL"/>
        </w:rPr>
        <w:t>Rendimiento total</w:t>
      </w:r>
    </w:p>
    <w:p w14:paraId="5182F015" w14:textId="77777777" w:rsidR="00D44F8D" w:rsidRPr="00E142D7" w:rsidRDefault="00D44F8D" w:rsidP="00D44F8D">
      <w:pPr>
        <w:pStyle w:val="MethodologyText"/>
        <w:ind w:left="720"/>
        <w:rPr>
          <w:rFonts w:ascii="Arial" w:hAnsi="Arial" w:cs="Arial"/>
          <w:sz w:val="16"/>
          <w:lang w:val="es-CL"/>
        </w:rPr>
      </w:pPr>
      <w:r w:rsidRPr="00E142D7">
        <w:rPr>
          <w:rFonts w:ascii="Arial" w:hAnsi="Arial" w:cs="Arial"/>
          <w:sz w:val="16"/>
          <w:vertAlign w:val="superscript"/>
          <w:lang w:val="es-CL"/>
        </w:rPr>
        <w:t>C</w:t>
      </w:r>
      <w:r w:rsidRPr="00E142D7">
        <w:rPr>
          <w:rFonts w:ascii="Arial" w:hAnsi="Arial" w:cs="Arial"/>
          <w:sz w:val="16"/>
          <w:lang w:val="es-CL"/>
        </w:rPr>
        <w:t xml:space="preserve"> Rendimiento sobr</w:t>
      </w:r>
      <w:r>
        <w:rPr>
          <w:rFonts w:ascii="Arial" w:hAnsi="Arial" w:cs="Arial"/>
          <w:sz w:val="16"/>
          <w:lang w:val="es-CL"/>
        </w:rPr>
        <w:t>e el precio y rendimiento total</w:t>
      </w:r>
    </w:p>
    <w:p w14:paraId="27413BC2" w14:textId="77777777" w:rsidR="00025372" w:rsidRDefault="00D44F8D" w:rsidP="00D44F8D">
      <w:pPr>
        <w:pStyle w:val="MethodologyText"/>
        <w:ind w:left="720"/>
        <w:rPr>
          <w:rFonts w:ascii="Arial" w:hAnsi="Arial" w:cs="Arial"/>
          <w:sz w:val="16"/>
          <w:lang w:val="es-CL"/>
        </w:rPr>
      </w:pPr>
      <w:r w:rsidRPr="00EA788C">
        <w:rPr>
          <w:rFonts w:ascii="Arial" w:hAnsi="Arial" w:cs="Arial"/>
          <w:sz w:val="16"/>
          <w:vertAlign w:val="superscript"/>
          <w:lang w:val="es-CL"/>
        </w:rPr>
        <w:t>D</w:t>
      </w:r>
      <w:r w:rsidRPr="00EA788C">
        <w:rPr>
          <w:rFonts w:ascii="Arial" w:hAnsi="Arial" w:cs="Arial"/>
          <w:sz w:val="16"/>
          <w:lang w:val="es-CL"/>
        </w:rPr>
        <w:t xml:space="preserve"> Rendimiento total neto</w:t>
      </w:r>
    </w:p>
    <w:p w14:paraId="0C9E4B0F" w14:textId="77777777" w:rsidR="00025372" w:rsidRDefault="00025372">
      <w:pPr>
        <w:rPr>
          <w:rFonts w:ascii="Arial" w:hAnsi="Arial" w:cs="Arial"/>
          <w:sz w:val="16"/>
          <w:lang w:val="es-CL"/>
        </w:rPr>
      </w:pPr>
      <w:r>
        <w:rPr>
          <w:rFonts w:ascii="Arial" w:hAnsi="Arial" w:cs="Arial"/>
          <w:sz w:val="16"/>
          <w:lang w:val="es-CL"/>
        </w:rPr>
        <w:br w:type="page"/>
      </w:r>
    </w:p>
    <w:p w14:paraId="2FB2402A" w14:textId="77777777" w:rsidR="00025372" w:rsidRPr="00236997" w:rsidRDefault="00025372" w:rsidP="00025372">
      <w:pPr>
        <w:pStyle w:val="Heading1"/>
        <w:ind w:left="720"/>
        <w:rPr>
          <w:rFonts w:ascii="Arial" w:hAnsi="Arial" w:cs="Arial"/>
          <w:lang w:val="es-AR"/>
        </w:rPr>
      </w:pPr>
      <w:bookmarkStart w:id="27" w:name="_Toc508023073"/>
      <w:bookmarkStart w:id="28" w:name="_Toc513474503"/>
      <w:bookmarkStart w:id="29" w:name="_Toc198540692"/>
      <w:r>
        <w:rPr>
          <w:rFonts w:ascii="Arial" w:hAnsi="Arial" w:cs="Arial"/>
          <w:lang w:val="es"/>
        </w:rPr>
        <w:t>Datos del Índice</w:t>
      </w:r>
      <w:bookmarkEnd w:id="27"/>
      <w:bookmarkEnd w:id="28"/>
      <w:bookmarkEnd w:id="29"/>
    </w:p>
    <w:p w14:paraId="64544A32" w14:textId="77777777" w:rsidR="00025372" w:rsidRPr="00196AC0" w:rsidRDefault="00025372" w:rsidP="00025372">
      <w:pPr>
        <w:pStyle w:val="Heading2"/>
        <w:ind w:left="720"/>
        <w:rPr>
          <w:rFonts w:ascii="Arial" w:hAnsi="Arial" w:cs="Arial"/>
          <w:sz w:val="20"/>
          <w:lang w:val="es-MX"/>
        </w:rPr>
      </w:pPr>
      <w:bookmarkStart w:id="30" w:name="_Toc495586339"/>
      <w:bookmarkStart w:id="31" w:name="_Toc513474504"/>
      <w:bookmarkStart w:id="32" w:name="_Toc198540693"/>
      <w:r>
        <w:rPr>
          <w:rFonts w:ascii="Arial" w:hAnsi="Arial" w:cs="Arial"/>
          <w:sz w:val="20"/>
          <w:lang w:val="es-MX"/>
        </w:rPr>
        <w:t xml:space="preserve">Cálculo por Tipo de </w:t>
      </w:r>
      <w:r w:rsidRPr="00196AC0">
        <w:rPr>
          <w:rFonts w:ascii="Arial" w:hAnsi="Arial" w:cs="Arial"/>
          <w:sz w:val="20"/>
          <w:lang w:val="es-MX"/>
        </w:rPr>
        <w:t>Retorno</w:t>
      </w:r>
      <w:bookmarkEnd w:id="30"/>
      <w:bookmarkEnd w:id="31"/>
      <w:bookmarkEnd w:id="32"/>
      <w:r w:rsidRPr="00196AC0">
        <w:rPr>
          <w:rFonts w:ascii="Arial" w:hAnsi="Arial" w:cs="Arial"/>
          <w:sz w:val="20"/>
          <w:lang w:val="es-MX"/>
        </w:rPr>
        <w:t xml:space="preserve"> </w:t>
      </w:r>
    </w:p>
    <w:p w14:paraId="10AF502F" w14:textId="77777777" w:rsidR="00025372" w:rsidRDefault="00025372" w:rsidP="00025372">
      <w:pPr>
        <w:pStyle w:val="MethodologyText"/>
        <w:ind w:left="720"/>
        <w:rPr>
          <w:rFonts w:ascii="Arial" w:hAnsi="Arial" w:cs="Arial"/>
          <w:sz w:val="20"/>
          <w:lang w:val="es-MX"/>
        </w:rPr>
      </w:pPr>
      <w:r w:rsidRPr="00196AC0">
        <w:rPr>
          <w:rFonts w:ascii="Arial" w:hAnsi="Arial" w:cs="Arial"/>
          <w:sz w:val="20"/>
          <w:lang w:val="es-MX"/>
        </w:rPr>
        <w:t xml:space="preserve">S&amp;P Dow Jones Indices calcula diariamente </w:t>
      </w:r>
      <w:r>
        <w:rPr>
          <w:rFonts w:ascii="Arial" w:hAnsi="Arial" w:cs="Arial"/>
          <w:sz w:val="20"/>
          <w:lang w:val="es-MX"/>
        </w:rPr>
        <w:t>múltiples tipos de retorno que varían según el tratamiento del pago de dividendos regulares.  S&amp;P Dow Jones Indices define la clasificación de los dividendos regulares pagados en efectivo para fines de cálculo de los índices con su marca.</w:t>
      </w:r>
    </w:p>
    <w:p w14:paraId="30A3E3C2" w14:textId="77777777" w:rsidR="00025372" w:rsidRDefault="00025372" w:rsidP="00025372">
      <w:pPr>
        <w:pStyle w:val="MethodologyText"/>
        <w:ind w:left="720"/>
        <w:rPr>
          <w:rFonts w:ascii="Arial" w:hAnsi="Arial" w:cs="Arial"/>
          <w:sz w:val="20"/>
          <w:lang w:val="es-MX"/>
        </w:rPr>
      </w:pPr>
    </w:p>
    <w:p w14:paraId="1A65444C" w14:textId="77777777" w:rsidR="00025372" w:rsidRDefault="00025372" w:rsidP="00025372">
      <w:pPr>
        <w:pStyle w:val="MethodologyText"/>
        <w:numPr>
          <w:ilvl w:val="0"/>
          <w:numId w:val="23"/>
        </w:numPr>
        <w:ind w:left="1440"/>
        <w:rPr>
          <w:rFonts w:ascii="Arial" w:hAnsi="Arial" w:cs="Arial"/>
          <w:sz w:val="20"/>
          <w:lang w:val="es-MX"/>
        </w:rPr>
      </w:pPr>
      <w:r>
        <w:rPr>
          <w:rFonts w:ascii="Arial" w:hAnsi="Arial" w:cs="Arial"/>
          <w:sz w:val="20"/>
          <w:lang w:val="es-MX"/>
        </w:rPr>
        <w:t>Retorno por Precio (PR), se calcula sin hacer ajustes por el pago en efectivo de dividendos regulares.</w:t>
      </w:r>
    </w:p>
    <w:p w14:paraId="39F9E1A4" w14:textId="77777777" w:rsidR="00025372" w:rsidRDefault="00025372" w:rsidP="00025372">
      <w:pPr>
        <w:pStyle w:val="MethodologyText"/>
        <w:ind w:left="1440"/>
        <w:rPr>
          <w:rFonts w:ascii="Arial" w:hAnsi="Arial" w:cs="Arial"/>
          <w:sz w:val="20"/>
          <w:lang w:val="es-MX"/>
        </w:rPr>
      </w:pPr>
    </w:p>
    <w:p w14:paraId="425215BD" w14:textId="77777777" w:rsidR="00025372" w:rsidRDefault="00025372" w:rsidP="00025372">
      <w:pPr>
        <w:pStyle w:val="MethodologyText"/>
        <w:numPr>
          <w:ilvl w:val="0"/>
          <w:numId w:val="23"/>
        </w:numPr>
        <w:ind w:left="1440"/>
        <w:rPr>
          <w:rFonts w:ascii="Arial" w:hAnsi="Arial" w:cs="Arial"/>
          <w:sz w:val="20"/>
          <w:lang w:val="es-MX"/>
        </w:rPr>
      </w:pPr>
      <w:r>
        <w:rPr>
          <w:rFonts w:ascii="Arial" w:hAnsi="Arial" w:cs="Arial"/>
          <w:sz w:val="20"/>
          <w:lang w:val="es-MX"/>
        </w:rPr>
        <w:t>Retorno Total Bruto (TR), asume que los dividendos regulares pagados en efectivo son reinvertidos en el índice al cierre de la fecha ex date, sin efectuar ajustes por tasas impositivas.</w:t>
      </w:r>
    </w:p>
    <w:p w14:paraId="6218C03C" w14:textId="77777777" w:rsidR="00025372" w:rsidRDefault="00025372" w:rsidP="00025372">
      <w:pPr>
        <w:pStyle w:val="MethodologyText"/>
        <w:ind w:left="0"/>
        <w:rPr>
          <w:rFonts w:ascii="Arial" w:hAnsi="Arial" w:cs="Arial"/>
          <w:sz w:val="20"/>
          <w:lang w:val="es-MX"/>
        </w:rPr>
      </w:pPr>
    </w:p>
    <w:p w14:paraId="6A93B00F" w14:textId="77777777" w:rsidR="00025372" w:rsidRDefault="00025372" w:rsidP="00025372">
      <w:pPr>
        <w:pStyle w:val="MethodologyText"/>
        <w:numPr>
          <w:ilvl w:val="0"/>
          <w:numId w:val="23"/>
        </w:numPr>
        <w:ind w:left="1440"/>
        <w:rPr>
          <w:rFonts w:ascii="Arial" w:hAnsi="Arial" w:cs="Arial"/>
          <w:sz w:val="20"/>
          <w:lang w:val="es-MX"/>
        </w:rPr>
      </w:pPr>
      <w:r>
        <w:rPr>
          <w:rFonts w:ascii="Arial" w:hAnsi="Arial" w:cs="Arial"/>
          <w:sz w:val="20"/>
          <w:lang w:val="es-MX"/>
        </w:rPr>
        <w:t>Retorno Total Neto (NTR), asume la reinversión de los dividendos regulares pagados en efectivo al cierre de la fecha ex date, después de deducir las retenciones atribuibles a los impuestos correspondientes.</w:t>
      </w:r>
    </w:p>
    <w:p w14:paraId="3ED62FBA" w14:textId="77777777" w:rsidR="00025372" w:rsidRDefault="00025372" w:rsidP="00025372">
      <w:pPr>
        <w:pStyle w:val="MethodologyText"/>
        <w:ind w:left="720"/>
        <w:rPr>
          <w:rFonts w:ascii="Arial" w:hAnsi="Arial" w:cs="Arial"/>
          <w:sz w:val="20"/>
          <w:lang w:val="es-MX"/>
        </w:rPr>
      </w:pPr>
      <w:r>
        <w:rPr>
          <w:rFonts w:ascii="Arial" w:hAnsi="Arial" w:cs="Arial"/>
          <w:sz w:val="20"/>
          <w:lang w:val="es-MX"/>
        </w:rPr>
        <w:t xml:space="preserve"> </w:t>
      </w:r>
    </w:p>
    <w:p w14:paraId="39F1CB36" w14:textId="77777777" w:rsidR="00025372" w:rsidRDefault="00025372" w:rsidP="00025372">
      <w:pPr>
        <w:pStyle w:val="MethodologyText"/>
        <w:ind w:left="720"/>
        <w:rPr>
          <w:rFonts w:ascii="Arial" w:hAnsi="Arial" w:cs="Arial"/>
          <w:sz w:val="20"/>
          <w:lang w:val="es-MX"/>
        </w:rPr>
      </w:pPr>
      <w:r>
        <w:rPr>
          <w:rFonts w:ascii="Arial" w:hAnsi="Arial" w:cs="Arial"/>
          <w:sz w:val="20"/>
          <w:lang w:val="es-MX"/>
        </w:rPr>
        <w:t xml:space="preserve">En los casos donde los componentes de un índice determinado no paguen dividendos en efectivo en la fecha ex date, el comportamiento del índice calculado bajo cada uno de los esquemas en esta sección descritos, será idéntico en los tres casos. </w:t>
      </w:r>
    </w:p>
    <w:p w14:paraId="0C0DABE4" w14:textId="77777777" w:rsidR="00025372" w:rsidRDefault="00025372" w:rsidP="00025372">
      <w:pPr>
        <w:pStyle w:val="MethodologyText"/>
        <w:ind w:left="720"/>
        <w:rPr>
          <w:rFonts w:ascii="Arial" w:hAnsi="Arial" w:cs="Arial"/>
          <w:sz w:val="20"/>
          <w:lang w:val="es-MX"/>
        </w:rPr>
      </w:pPr>
    </w:p>
    <w:p w14:paraId="0387F212" w14:textId="77777777" w:rsidR="00025372" w:rsidRDefault="00025372" w:rsidP="00025372">
      <w:pPr>
        <w:pStyle w:val="MethodologyText"/>
        <w:ind w:left="720"/>
        <w:rPr>
          <w:rFonts w:ascii="Arial" w:hAnsi="Arial" w:cs="Arial"/>
          <w:sz w:val="20"/>
          <w:lang w:val="es-MX"/>
        </w:rPr>
      </w:pPr>
      <w:r>
        <w:rPr>
          <w:rFonts w:ascii="Arial" w:hAnsi="Arial" w:cs="Arial"/>
          <w:sz w:val="20"/>
          <w:lang w:val="es-MX"/>
        </w:rPr>
        <w:t>Para obtener una lista de todos los índices disponibles, consulte el archivo “Niveles Diarios del Índice” (“.SDL”).</w:t>
      </w:r>
    </w:p>
    <w:p w14:paraId="115E3E69" w14:textId="77777777" w:rsidR="00025372" w:rsidRPr="00196AC0" w:rsidRDefault="00025372" w:rsidP="00025372">
      <w:pPr>
        <w:pStyle w:val="MethodologyText"/>
        <w:ind w:left="0"/>
        <w:rPr>
          <w:rFonts w:ascii="Arial" w:hAnsi="Arial" w:cs="Arial"/>
          <w:sz w:val="20"/>
          <w:lang w:val="es-MX"/>
        </w:rPr>
      </w:pPr>
    </w:p>
    <w:p w14:paraId="678CF984" w14:textId="77777777" w:rsidR="00025372" w:rsidRPr="005C0999" w:rsidRDefault="00025372" w:rsidP="00025372">
      <w:pPr>
        <w:pStyle w:val="MethodologyText"/>
        <w:ind w:left="720"/>
        <w:rPr>
          <w:rFonts w:ascii="Arial" w:hAnsi="Arial" w:cs="Arial"/>
          <w:i/>
          <w:sz w:val="20"/>
          <w:lang w:val="es-MX"/>
        </w:rPr>
      </w:pPr>
      <w:r>
        <w:rPr>
          <w:rFonts w:ascii="Arial" w:hAnsi="Arial" w:cs="Arial"/>
          <w:i/>
          <w:sz w:val="20"/>
          <w:lang w:val="es-MX"/>
        </w:rPr>
        <w:t>Consulte la Metodología de las</w:t>
      </w:r>
      <w:r w:rsidRPr="005C0999">
        <w:rPr>
          <w:rFonts w:ascii="Arial" w:hAnsi="Arial" w:cs="Arial"/>
          <w:i/>
          <w:sz w:val="20"/>
          <w:lang w:val="es-MX"/>
        </w:rPr>
        <w:t xml:space="preserve"> </w:t>
      </w:r>
      <w:r>
        <w:rPr>
          <w:rFonts w:ascii="Arial" w:hAnsi="Arial" w:cs="Arial"/>
          <w:i/>
          <w:sz w:val="20"/>
          <w:lang w:val="es-MX"/>
        </w:rPr>
        <w:t>Políticas y Prácticas</w:t>
      </w:r>
      <w:r w:rsidRPr="005C0999">
        <w:rPr>
          <w:rFonts w:ascii="Arial" w:hAnsi="Arial" w:cs="Arial"/>
          <w:i/>
          <w:sz w:val="20"/>
          <w:lang w:val="es-MX"/>
        </w:rPr>
        <w:t xml:space="preserve"> de los Índices de Renta Variable de S&amp;P Dow Jones Indices</w:t>
      </w:r>
      <w:r>
        <w:rPr>
          <w:rFonts w:ascii="Arial" w:hAnsi="Arial" w:cs="Arial"/>
          <w:i/>
          <w:sz w:val="20"/>
          <w:lang w:val="es-MX"/>
        </w:rPr>
        <w:t xml:space="preserve"> </w:t>
      </w:r>
      <w:r w:rsidRPr="005C0999">
        <w:rPr>
          <w:rFonts w:ascii="Arial" w:hAnsi="Arial" w:cs="Arial"/>
          <w:i/>
          <w:sz w:val="20"/>
          <w:lang w:val="es-MX"/>
        </w:rPr>
        <w:t>para obtener mayor información acerca de la diferencia entre dividendos regulares y en efectivo, así como del tratamiento fiscal aplicable al cálculo del retorno neto.</w:t>
      </w:r>
    </w:p>
    <w:p w14:paraId="264D1FB6" w14:textId="77777777" w:rsidR="00025372" w:rsidRDefault="00025372" w:rsidP="00025372">
      <w:pPr>
        <w:pStyle w:val="MethodologyText"/>
        <w:ind w:left="720"/>
        <w:rPr>
          <w:rFonts w:ascii="Arial" w:hAnsi="Arial" w:cs="Arial"/>
          <w:sz w:val="20"/>
          <w:lang w:val="es-MX"/>
        </w:rPr>
      </w:pPr>
      <w:r w:rsidRPr="00196AC0">
        <w:rPr>
          <w:rFonts w:ascii="Arial" w:hAnsi="Arial" w:cs="Arial"/>
          <w:sz w:val="20"/>
          <w:lang w:val="es-MX"/>
        </w:rPr>
        <w:t xml:space="preserve"> </w:t>
      </w:r>
    </w:p>
    <w:p w14:paraId="77C64C06" w14:textId="77777777" w:rsidR="00025372" w:rsidRDefault="00025372" w:rsidP="00025372">
      <w:pPr>
        <w:pStyle w:val="MethodologyText"/>
        <w:ind w:left="720"/>
        <w:rPr>
          <w:rFonts w:ascii="Arial" w:hAnsi="Arial" w:cs="Arial"/>
          <w:i/>
          <w:sz w:val="20"/>
          <w:lang w:val="es-MX"/>
        </w:rPr>
      </w:pPr>
      <w:r w:rsidRPr="005C0999">
        <w:rPr>
          <w:rFonts w:ascii="Arial" w:hAnsi="Arial" w:cs="Arial"/>
          <w:i/>
          <w:sz w:val="20"/>
          <w:lang w:val="es-MX"/>
        </w:rPr>
        <w:t>Consulte el documento Metodología de las Matemáticas de los Índices de Renta Variable de S&amp;P Dow Jones Indices</w:t>
      </w:r>
      <w:r>
        <w:rPr>
          <w:rFonts w:ascii="Arial" w:hAnsi="Arial" w:cs="Arial"/>
          <w:i/>
          <w:sz w:val="20"/>
          <w:lang w:val="es-MX"/>
        </w:rPr>
        <w:t xml:space="preserve"> </w:t>
      </w:r>
      <w:r w:rsidRPr="005C0999">
        <w:rPr>
          <w:rFonts w:ascii="Arial" w:hAnsi="Arial" w:cs="Arial"/>
          <w:i/>
          <w:sz w:val="20"/>
          <w:lang w:val="es-MX"/>
        </w:rPr>
        <w:t>para</w:t>
      </w:r>
      <w:r>
        <w:rPr>
          <w:rFonts w:ascii="Arial" w:hAnsi="Arial" w:cs="Arial"/>
          <w:i/>
          <w:sz w:val="20"/>
          <w:lang w:val="es-MX"/>
        </w:rPr>
        <w:t xml:space="preserve"> obtener mas información acerca del cálculo de los distintos tipos de retorno</w:t>
      </w:r>
    </w:p>
    <w:p w14:paraId="0D5F8A41" w14:textId="77777777" w:rsidR="00025372" w:rsidRDefault="00025372" w:rsidP="00025372">
      <w:pPr>
        <w:pStyle w:val="MethodologyText"/>
        <w:ind w:left="720"/>
        <w:rPr>
          <w:rFonts w:ascii="Arial" w:hAnsi="Arial" w:cs="Arial"/>
          <w:i/>
          <w:sz w:val="20"/>
          <w:lang w:val="es-MX"/>
        </w:rPr>
      </w:pPr>
    </w:p>
    <w:p w14:paraId="25478DB2" w14:textId="77777777" w:rsidR="00590103" w:rsidRDefault="00590103" w:rsidP="00025372">
      <w:pPr>
        <w:pStyle w:val="MethodologyText"/>
        <w:ind w:left="720"/>
        <w:rPr>
          <w:rFonts w:ascii="Arial" w:hAnsi="Arial" w:cs="Arial"/>
          <w:i/>
          <w:sz w:val="20"/>
          <w:lang w:val="es-MX"/>
        </w:rPr>
      </w:pPr>
    </w:p>
    <w:p w14:paraId="4513B457" w14:textId="77777777" w:rsidR="00590103" w:rsidRPr="00590103" w:rsidRDefault="00590103" w:rsidP="00025372">
      <w:pPr>
        <w:pStyle w:val="MethodologyText"/>
        <w:ind w:left="720"/>
        <w:rPr>
          <w:rFonts w:ascii="Arial" w:hAnsi="Arial" w:cs="Arial"/>
          <w:i/>
          <w:sz w:val="20"/>
          <w:lang w:val="es-CL"/>
        </w:rPr>
      </w:pPr>
    </w:p>
    <w:p w14:paraId="1FFA3CCF" w14:textId="77777777" w:rsidR="00590103" w:rsidRPr="005C0999" w:rsidRDefault="00590103" w:rsidP="00025372">
      <w:pPr>
        <w:pStyle w:val="MethodologyText"/>
        <w:ind w:left="720"/>
        <w:rPr>
          <w:rFonts w:ascii="Arial" w:hAnsi="Arial" w:cs="Arial"/>
          <w:sz w:val="20"/>
          <w:lang w:val="es-MX"/>
        </w:rPr>
        <w:sectPr w:rsidR="00590103" w:rsidRPr="005C0999" w:rsidSect="00716523">
          <w:pgSz w:w="12240" w:h="15840"/>
          <w:pgMar w:top="1440" w:right="720" w:bottom="720" w:left="720" w:header="720" w:footer="720" w:gutter="0"/>
          <w:cols w:space="720"/>
          <w:docGrid w:linePitch="360"/>
        </w:sectPr>
      </w:pPr>
    </w:p>
    <w:p w14:paraId="5DFB8473" w14:textId="77777777" w:rsidR="00590103" w:rsidRPr="006929D6" w:rsidRDefault="00590103" w:rsidP="00590103">
      <w:pPr>
        <w:pStyle w:val="Heading1"/>
        <w:ind w:left="720"/>
        <w:rPr>
          <w:rFonts w:ascii="Arial" w:hAnsi="Arial" w:cs="Arial"/>
          <w:lang w:val="es-CL"/>
        </w:rPr>
      </w:pPr>
      <w:bookmarkStart w:id="33" w:name="_Toc198540694"/>
      <w:r w:rsidRPr="006929D6">
        <w:rPr>
          <w:rFonts w:ascii="Arial" w:hAnsi="Arial" w:cs="Arial"/>
          <w:lang w:val="es-CL"/>
        </w:rPr>
        <w:t>Gobierno del índice</w:t>
      </w:r>
      <w:bookmarkEnd w:id="33"/>
    </w:p>
    <w:p w14:paraId="151512E9" w14:textId="77777777" w:rsidR="00590103" w:rsidRPr="006929D6" w:rsidRDefault="00590103" w:rsidP="00590103">
      <w:pPr>
        <w:pStyle w:val="Heading2"/>
        <w:ind w:left="720"/>
        <w:rPr>
          <w:rFonts w:ascii="Arial" w:hAnsi="Arial" w:cs="Arial"/>
          <w:sz w:val="20"/>
          <w:lang w:val="es-CL"/>
        </w:rPr>
      </w:pPr>
      <w:bookmarkStart w:id="34" w:name="_Toc198540695"/>
      <w:r w:rsidRPr="006929D6">
        <w:rPr>
          <w:rFonts w:ascii="Arial" w:hAnsi="Arial" w:cs="Arial"/>
          <w:sz w:val="20"/>
          <w:lang w:val="es-CL"/>
        </w:rPr>
        <w:t>Comité</w:t>
      </w:r>
      <w:r>
        <w:rPr>
          <w:rFonts w:ascii="Arial" w:hAnsi="Arial" w:cs="Arial"/>
          <w:sz w:val="20"/>
          <w:lang w:val="es-CL"/>
        </w:rPr>
        <w:t>s</w:t>
      </w:r>
      <w:r w:rsidRPr="006929D6">
        <w:rPr>
          <w:rFonts w:ascii="Arial" w:hAnsi="Arial" w:cs="Arial"/>
          <w:sz w:val="20"/>
          <w:lang w:val="es-CL"/>
        </w:rPr>
        <w:t xml:space="preserve"> de</w:t>
      </w:r>
      <w:r>
        <w:rPr>
          <w:rFonts w:ascii="Arial" w:hAnsi="Arial" w:cs="Arial"/>
          <w:sz w:val="20"/>
          <w:lang w:val="es-CL"/>
        </w:rPr>
        <w:t xml:space="preserve"> los </w:t>
      </w:r>
      <w:r w:rsidRPr="006929D6">
        <w:rPr>
          <w:rFonts w:ascii="Arial" w:hAnsi="Arial" w:cs="Arial"/>
          <w:sz w:val="20"/>
          <w:lang w:val="es-CL"/>
        </w:rPr>
        <w:t>Índices</w:t>
      </w:r>
      <w:bookmarkEnd w:id="34"/>
    </w:p>
    <w:p w14:paraId="64833408" w14:textId="77777777" w:rsidR="00590103" w:rsidRPr="00BE06A8" w:rsidRDefault="00590103" w:rsidP="00590103">
      <w:pPr>
        <w:pStyle w:val="MethodologyText"/>
        <w:spacing w:after="200"/>
        <w:ind w:left="720"/>
        <w:rPr>
          <w:rFonts w:ascii="Arial" w:hAnsi="Arial" w:cs="Arial"/>
          <w:sz w:val="20"/>
          <w:lang w:val="es-CL"/>
        </w:rPr>
      </w:pPr>
      <w:r>
        <w:rPr>
          <w:rFonts w:ascii="Arial" w:hAnsi="Arial" w:cs="Arial"/>
          <w:sz w:val="20"/>
          <w:lang w:val="es-CL"/>
        </w:rPr>
        <w:t xml:space="preserve">Los </w:t>
      </w:r>
      <w:r w:rsidRPr="00BE4531">
        <w:rPr>
          <w:rFonts w:ascii="Arial" w:hAnsi="Arial" w:cs="Arial"/>
          <w:sz w:val="20"/>
          <w:lang w:val="es-CL"/>
        </w:rPr>
        <w:t>í</w:t>
      </w:r>
      <w:r>
        <w:rPr>
          <w:rFonts w:ascii="Arial" w:hAnsi="Arial" w:cs="Arial"/>
          <w:sz w:val="20"/>
          <w:lang w:val="es-CL"/>
        </w:rPr>
        <w:t>ndices</w:t>
      </w:r>
      <w:r w:rsidRPr="00196C5C">
        <w:rPr>
          <w:rFonts w:ascii="Arial" w:hAnsi="Arial" w:cs="Arial"/>
          <w:sz w:val="20"/>
          <w:lang w:val="es-CL"/>
        </w:rPr>
        <w:t xml:space="preserve"> Dow Jones Industrial Average, Dow Jones Transportation Average y Dow Jones Utility Average se rigen por el </w:t>
      </w:r>
      <w:r>
        <w:rPr>
          <w:rFonts w:ascii="Arial" w:hAnsi="Arial" w:cs="Arial"/>
          <w:sz w:val="20"/>
          <w:lang w:val="es-CL"/>
        </w:rPr>
        <w:t>Comité de la Familia de Índices Dow Jones Averages</w:t>
      </w:r>
      <w:r w:rsidRPr="00196C5C">
        <w:rPr>
          <w:rFonts w:ascii="Arial" w:hAnsi="Arial" w:cs="Arial"/>
          <w:sz w:val="20"/>
          <w:lang w:val="es-CL"/>
        </w:rPr>
        <w:t xml:space="preserve">. </w:t>
      </w:r>
      <w:r w:rsidRPr="00BE06A8">
        <w:rPr>
          <w:rFonts w:ascii="Arial" w:hAnsi="Arial" w:cs="Arial"/>
          <w:sz w:val="20"/>
          <w:lang w:val="es-CL"/>
        </w:rPr>
        <w:t xml:space="preserve">Dicho Comité está compuesto por tres representantes de S&amp;P Dow Jones Indices y dos </w:t>
      </w:r>
      <w:r>
        <w:rPr>
          <w:rFonts w:ascii="Arial" w:hAnsi="Arial" w:cs="Arial"/>
          <w:sz w:val="20"/>
          <w:lang w:val="es-CL"/>
        </w:rPr>
        <w:t>de</w:t>
      </w:r>
      <w:r w:rsidRPr="00BE06A8">
        <w:rPr>
          <w:rFonts w:ascii="Arial" w:hAnsi="Arial" w:cs="Arial"/>
          <w:sz w:val="20"/>
          <w:lang w:val="es-CL"/>
        </w:rPr>
        <w:t xml:space="preserve"> </w:t>
      </w:r>
      <w:r w:rsidRPr="00C61DFF">
        <w:rPr>
          <w:rFonts w:ascii="Arial" w:hAnsi="Arial" w:cs="Arial"/>
          <w:i/>
          <w:sz w:val="20"/>
          <w:lang w:val="es-CL"/>
        </w:rPr>
        <w:t>The Wall Street Journal</w:t>
      </w:r>
      <w:r w:rsidRPr="00BE06A8">
        <w:rPr>
          <w:rFonts w:ascii="Arial" w:hAnsi="Arial" w:cs="Arial"/>
          <w:sz w:val="20"/>
          <w:lang w:val="es-CL"/>
        </w:rPr>
        <w:t>.</w:t>
      </w:r>
    </w:p>
    <w:p w14:paraId="18700A60" w14:textId="2A8EDB94" w:rsidR="00590103" w:rsidRPr="00BE6880" w:rsidRDefault="00E3182B" w:rsidP="00590103">
      <w:pPr>
        <w:pStyle w:val="MethodologyText"/>
        <w:spacing w:after="200"/>
        <w:ind w:left="720"/>
        <w:rPr>
          <w:rFonts w:ascii="Arial" w:hAnsi="Arial" w:cs="Arial"/>
          <w:sz w:val="20"/>
          <w:lang w:val="es-CL"/>
        </w:rPr>
      </w:pPr>
      <w:r w:rsidRPr="00E3182B">
        <w:rPr>
          <w:rFonts w:ascii="Arial" w:hAnsi="Arial" w:cs="Arial"/>
          <w:sz w:val="20"/>
          <w:lang w:val="es-CL"/>
        </w:rPr>
        <w:t xml:space="preserve">El </w:t>
      </w:r>
      <w:r>
        <w:rPr>
          <w:rFonts w:ascii="Arial" w:hAnsi="Arial" w:cs="Arial"/>
          <w:sz w:val="20"/>
          <w:lang w:val="es-CL"/>
        </w:rPr>
        <w:t xml:space="preserve">resto de los índices es gestionado por el Comité de los Índices de S&amp;P Dow Jones Indices. </w:t>
      </w:r>
      <w:r w:rsidRPr="00E3182B">
        <w:rPr>
          <w:rFonts w:ascii="Arial" w:hAnsi="Arial" w:cs="Arial"/>
          <w:sz w:val="20"/>
          <w:lang w:val="es-CL"/>
        </w:rPr>
        <w:t xml:space="preserve">Los </w:t>
      </w:r>
      <w:r>
        <w:rPr>
          <w:rFonts w:ascii="Arial" w:hAnsi="Arial" w:cs="Arial"/>
          <w:sz w:val="20"/>
          <w:lang w:val="es-CL"/>
        </w:rPr>
        <w:t xml:space="preserve">miembros del Comité </w:t>
      </w:r>
      <w:r w:rsidR="00590103" w:rsidRPr="00BE6880">
        <w:rPr>
          <w:rFonts w:ascii="Arial" w:hAnsi="Arial" w:cs="Arial"/>
          <w:sz w:val="20"/>
          <w:lang w:val="es-CL"/>
        </w:rPr>
        <w:t>son profesionales</w:t>
      </w:r>
      <w:r w:rsidR="00590103">
        <w:rPr>
          <w:rFonts w:ascii="Arial" w:hAnsi="Arial" w:cs="Arial"/>
          <w:sz w:val="20"/>
          <w:lang w:val="es-CL"/>
        </w:rPr>
        <w:t xml:space="preserve"> de</w:t>
      </w:r>
      <w:r w:rsidR="00590103" w:rsidRPr="00BE6880">
        <w:rPr>
          <w:rFonts w:ascii="Arial" w:hAnsi="Arial" w:cs="Arial"/>
          <w:sz w:val="20"/>
          <w:lang w:val="es-CL"/>
        </w:rPr>
        <w:t xml:space="preserve"> tiempo completo de </w:t>
      </w:r>
      <w:r w:rsidR="00590103">
        <w:rPr>
          <w:rFonts w:ascii="Arial" w:hAnsi="Arial" w:cs="Arial"/>
          <w:sz w:val="20"/>
          <w:lang w:val="es-CL"/>
        </w:rPr>
        <w:t>S&amp;P Dow Jones Indices</w:t>
      </w:r>
      <w:r w:rsidR="00590103" w:rsidRPr="00BE6880">
        <w:rPr>
          <w:rFonts w:ascii="Arial" w:hAnsi="Arial" w:cs="Arial"/>
          <w:sz w:val="20"/>
          <w:lang w:val="es-CL"/>
        </w:rPr>
        <w:t>.</w:t>
      </w:r>
    </w:p>
    <w:p w14:paraId="1D4AB4D5" w14:textId="77777777" w:rsidR="00590103" w:rsidRPr="00D644D5" w:rsidRDefault="00590103" w:rsidP="00590103">
      <w:pPr>
        <w:pStyle w:val="MethodologyText"/>
        <w:spacing w:after="200"/>
        <w:ind w:left="720"/>
        <w:rPr>
          <w:rFonts w:ascii="Arial" w:hAnsi="Arial" w:cs="Arial"/>
          <w:sz w:val="20"/>
          <w:lang w:val="es-CL"/>
        </w:rPr>
      </w:pPr>
      <w:r w:rsidRPr="000310AE">
        <w:rPr>
          <w:rFonts w:ascii="Arial" w:hAnsi="Arial" w:cs="Arial"/>
          <w:sz w:val="20"/>
          <w:lang w:val="es-CL"/>
        </w:rPr>
        <w:t xml:space="preserve">Cada Comité se reúne regularmente. En cada reunión, el Comité del Índice revisa los eventos corporativos pendientes que pueden afectar a los compontes del índice, las estadísticas que comparan la composición del índice con el mercado, las </w:t>
      </w:r>
      <w:r>
        <w:rPr>
          <w:rFonts w:ascii="Arial" w:hAnsi="Arial" w:cs="Arial"/>
          <w:sz w:val="20"/>
          <w:lang w:val="es-CL"/>
        </w:rPr>
        <w:t>empresas</w:t>
      </w:r>
      <w:r w:rsidRPr="000310AE">
        <w:rPr>
          <w:rFonts w:ascii="Arial" w:hAnsi="Arial" w:cs="Arial"/>
          <w:sz w:val="20"/>
          <w:lang w:val="es-CL"/>
        </w:rPr>
        <w:t xml:space="preserve"> </w:t>
      </w:r>
      <w:r>
        <w:rPr>
          <w:rFonts w:ascii="Arial" w:hAnsi="Arial" w:cs="Arial"/>
          <w:sz w:val="20"/>
          <w:lang w:val="es-CL"/>
        </w:rPr>
        <w:t>consideradas</w:t>
      </w:r>
      <w:r w:rsidRPr="000310AE">
        <w:rPr>
          <w:rFonts w:ascii="Arial" w:hAnsi="Arial" w:cs="Arial"/>
          <w:sz w:val="20"/>
          <w:lang w:val="es-CL"/>
        </w:rPr>
        <w:t xml:space="preserve"> como candidatas para su incorporación al índice, y cualquier evento significativo de mercado. Además, el Comité puede revisar las normas del índice que </w:t>
      </w:r>
      <w:r>
        <w:rPr>
          <w:rFonts w:ascii="Arial" w:hAnsi="Arial" w:cs="Arial"/>
          <w:sz w:val="20"/>
          <w:lang w:val="es-CL"/>
        </w:rPr>
        <w:t>incluyen</w:t>
      </w:r>
      <w:r w:rsidRPr="000310AE">
        <w:rPr>
          <w:rFonts w:ascii="Arial" w:hAnsi="Arial" w:cs="Arial"/>
          <w:sz w:val="20"/>
          <w:lang w:val="es-CL"/>
        </w:rPr>
        <w:t xml:space="preserve"> las reglas </w:t>
      </w:r>
      <w:r>
        <w:rPr>
          <w:rFonts w:ascii="Arial" w:hAnsi="Arial" w:cs="Arial"/>
          <w:sz w:val="20"/>
          <w:lang w:val="es-CL"/>
        </w:rPr>
        <w:t>de selección de</w:t>
      </w:r>
      <w:r w:rsidRPr="000310AE">
        <w:rPr>
          <w:rFonts w:ascii="Arial" w:hAnsi="Arial" w:cs="Arial"/>
          <w:sz w:val="20"/>
          <w:lang w:val="es-CL"/>
        </w:rPr>
        <w:t xml:space="preserve"> </w:t>
      </w:r>
      <w:r>
        <w:rPr>
          <w:rFonts w:ascii="Arial" w:hAnsi="Arial" w:cs="Arial"/>
          <w:sz w:val="20"/>
          <w:lang w:val="es-CL"/>
        </w:rPr>
        <w:t>componentes</w:t>
      </w:r>
      <w:r w:rsidRPr="000310AE">
        <w:rPr>
          <w:rFonts w:ascii="Arial" w:hAnsi="Arial" w:cs="Arial"/>
          <w:sz w:val="20"/>
          <w:lang w:val="es-CL"/>
        </w:rPr>
        <w:t>, el tratamiento de los dividendos, el número de acciones u otras cuestiones.</w:t>
      </w:r>
    </w:p>
    <w:p w14:paraId="56080C72" w14:textId="77777777" w:rsidR="00590103" w:rsidRPr="004A4D59" w:rsidRDefault="00590103" w:rsidP="00590103">
      <w:pPr>
        <w:pStyle w:val="MethodologyText"/>
        <w:ind w:left="720"/>
        <w:rPr>
          <w:rFonts w:ascii="Arial" w:hAnsi="Arial" w:cs="Arial"/>
          <w:sz w:val="20"/>
          <w:lang w:val="es"/>
        </w:rPr>
      </w:pPr>
      <w:r>
        <w:rPr>
          <w:rFonts w:ascii="Arial" w:hAnsi="Arial" w:cs="Arial"/>
          <w:sz w:val="20"/>
          <w:lang w:val="es"/>
        </w:rPr>
        <w:t>S&amp;P Dow Jones Indices considera la información sobre cambios en la constitución de sus índices y otros asuntos relacionados como material y con impacto potencial en el mercado. Por lo anterior, todas las deliberaciones del Comité de Índices son absolutamente confidenciales.</w:t>
      </w:r>
    </w:p>
    <w:p w14:paraId="0DD24CAE" w14:textId="77777777" w:rsidR="00590103" w:rsidRPr="00236997" w:rsidRDefault="00590103" w:rsidP="00590103">
      <w:pPr>
        <w:pStyle w:val="MethodologyText"/>
        <w:ind w:left="720"/>
        <w:rPr>
          <w:rFonts w:ascii="Arial" w:hAnsi="Arial" w:cs="Arial"/>
          <w:sz w:val="20"/>
          <w:lang w:val="es-AR"/>
        </w:rPr>
      </w:pPr>
    </w:p>
    <w:p w14:paraId="57D46BD4" w14:textId="77777777" w:rsidR="00590103" w:rsidRDefault="00590103" w:rsidP="00590103">
      <w:pPr>
        <w:pStyle w:val="MethodologyText"/>
        <w:ind w:left="720"/>
        <w:rPr>
          <w:rFonts w:ascii="Arial" w:hAnsi="Arial" w:cs="Arial"/>
          <w:sz w:val="20"/>
          <w:szCs w:val="20"/>
          <w:lang w:val="es"/>
        </w:rPr>
      </w:pPr>
      <w:r>
        <w:rPr>
          <w:rFonts w:ascii="Arial" w:hAnsi="Arial" w:cs="Arial"/>
          <w:sz w:val="20"/>
          <w:szCs w:val="20"/>
          <w:lang w:val="es"/>
        </w:rPr>
        <w:t xml:space="preserve">Los Comités de Índices de S&amp;P Dow Jones Indices se reservan el derecho de hacer excepciones al aplicar la metodología si surge la necesidad. En cualquier escenario donde el tratamiento difiera de las </w:t>
      </w:r>
    </w:p>
    <w:p w14:paraId="0B397BD6" w14:textId="77777777" w:rsidR="00590103" w:rsidRPr="00236997" w:rsidRDefault="00590103" w:rsidP="00590103">
      <w:pPr>
        <w:pStyle w:val="MethodologyText"/>
        <w:ind w:left="720"/>
        <w:rPr>
          <w:rFonts w:ascii="Arial" w:hAnsi="Arial" w:cs="Arial"/>
          <w:sz w:val="20"/>
          <w:szCs w:val="20"/>
          <w:lang w:val="es-AR"/>
        </w:rPr>
      </w:pPr>
      <w:r>
        <w:rPr>
          <w:rFonts w:ascii="Arial" w:hAnsi="Arial" w:cs="Arial"/>
          <w:sz w:val="20"/>
          <w:szCs w:val="20"/>
          <w:lang w:val="es"/>
        </w:rPr>
        <w:t>reglas generales establecidas en este documento o documentos complementarios, los clientes recibirán notificación suficiente, siempre que sea posible.</w:t>
      </w:r>
    </w:p>
    <w:p w14:paraId="37506FB9" w14:textId="77777777" w:rsidR="00590103" w:rsidRPr="00236997" w:rsidRDefault="00590103" w:rsidP="00590103">
      <w:pPr>
        <w:pStyle w:val="MethodologyText"/>
        <w:ind w:left="720"/>
        <w:rPr>
          <w:rFonts w:ascii="Arial" w:hAnsi="Arial" w:cs="Arial"/>
          <w:sz w:val="20"/>
          <w:szCs w:val="20"/>
          <w:lang w:val="es-AR"/>
        </w:rPr>
      </w:pPr>
      <w:r>
        <w:rPr>
          <w:rFonts w:ascii="Arial" w:hAnsi="Arial" w:cs="Arial"/>
          <w:sz w:val="20"/>
          <w:szCs w:val="20"/>
          <w:lang w:val="es"/>
        </w:rPr>
        <w:t xml:space="preserve"> </w:t>
      </w:r>
    </w:p>
    <w:p w14:paraId="23DAE1C7" w14:textId="77777777" w:rsidR="00590103" w:rsidRDefault="00590103" w:rsidP="00590103">
      <w:pPr>
        <w:pStyle w:val="MethodologyText"/>
        <w:ind w:left="720"/>
        <w:rPr>
          <w:rFonts w:ascii="Arial" w:hAnsi="Arial" w:cs="Arial"/>
          <w:sz w:val="20"/>
          <w:szCs w:val="20"/>
          <w:lang w:val="es"/>
        </w:rPr>
      </w:pPr>
      <w:r>
        <w:rPr>
          <w:rFonts w:ascii="Arial" w:hAnsi="Arial" w:cs="Arial"/>
          <w:sz w:val="20"/>
          <w:szCs w:val="20"/>
          <w:lang w:val="es"/>
        </w:rPr>
        <w:t xml:space="preserve">Además de su gobierno diario de índices y mantenimiento de las metodologías, al menos una vez en cualquier período de 12 meses, el Comité del Índice revisa esta metodología para garantizar que los índices continúen alcanzando los objetivos establecidos, y que los datos y la metodología sigan siendo efectivos. En ciertas instancias, S&amp;P Dow Jones Indices puede emitir una consulta para conocer la </w:t>
      </w:r>
    </w:p>
    <w:p w14:paraId="1F145368" w14:textId="77777777" w:rsidR="00590103" w:rsidRDefault="00590103" w:rsidP="00590103">
      <w:pPr>
        <w:pStyle w:val="MethodologyText"/>
        <w:ind w:left="720"/>
        <w:rPr>
          <w:rFonts w:ascii="Arial" w:hAnsi="Arial" w:cs="Arial"/>
          <w:sz w:val="20"/>
          <w:lang w:val="es-AR"/>
        </w:rPr>
      </w:pPr>
      <w:r>
        <w:rPr>
          <w:rFonts w:ascii="Arial" w:hAnsi="Arial" w:cs="Arial"/>
          <w:sz w:val="20"/>
          <w:szCs w:val="20"/>
          <w:lang w:val="es"/>
        </w:rPr>
        <w:t xml:space="preserve">percepción de terceros. </w:t>
      </w:r>
    </w:p>
    <w:p w14:paraId="69D07487" w14:textId="77777777" w:rsidR="00590103" w:rsidRPr="00590103" w:rsidRDefault="00590103" w:rsidP="00590103">
      <w:pPr>
        <w:pStyle w:val="MethodologyText"/>
        <w:ind w:left="720"/>
        <w:rPr>
          <w:rFonts w:ascii="Arial" w:hAnsi="Arial" w:cs="Arial"/>
          <w:sz w:val="20"/>
          <w:lang w:val="es-AR"/>
        </w:rPr>
      </w:pPr>
    </w:p>
    <w:p w14:paraId="7D133E46" w14:textId="77777777" w:rsidR="00590103" w:rsidRDefault="00590103" w:rsidP="00590103">
      <w:pPr>
        <w:pStyle w:val="MethodologyText"/>
        <w:ind w:left="720"/>
        <w:rPr>
          <w:rFonts w:ascii="Arial" w:hAnsi="Arial" w:cs="Arial"/>
          <w:sz w:val="20"/>
          <w:lang w:val="es-CL"/>
        </w:rPr>
      </w:pPr>
      <w:r w:rsidRPr="0009614A">
        <w:rPr>
          <w:rFonts w:ascii="Arial" w:hAnsi="Arial" w:cs="Arial"/>
          <w:i/>
          <w:iCs/>
          <w:sz w:val="20"/>
          <w:lang w:val="es-CL"/>
        </w:rPr>
        <w:t xml:space="preserve">Para mayor información sobre control de calidad y revisiones internas </w:t>
      </w:r>
      <w:r>
        <w:rPr>
          <w:rFonts w:ascii="Arial" w:hAnsi="Arial" w:cs="Arial"/>
          <w:i/>
          <w:iCs/>
          <w:sz w:val="20"/>
          <w:lang w:val="es-CL"/>
        </w:rPr>
        <w:t xml:space="preserve">a la presente </w:t>
      </w:r>
      <w:r w:rsidRPr="0009614A">
        <w:rPr>
          <w:rFonts w:ascii="Arial" w:hAnsi="Arial" w:cs="Arial"/>
          <w:i/>
          <w:iCs/>
          <w:sz w:val="20"/>
          <w:lang w:val="es-CL"/>
        </w:rPr>
        <w:t>me</w:t>
      </w:r>
      <w:r>
        <w:rPr>
          <w:rFonts w:ascii="Arial" w:hAnsi="Arial" w:cs="Arial"/>
          <w:i/>
          <w:iCs/>
          <w:sz w:val="20"/>
          <w:lang w:val="es-CL"/>
        </w:rPr>
        <w:t>todología, consulte la Metodología de las Políticas y Prácticas de los Índices de Renta Variable de S&amp;P Dow Jones Indices.</w:t>
      </w:r>
    </w:p>
    <w:bookmarkEnd w:id="7"/>
    <w:bookmarkEnd w:id="8"/>
    <w:bookmarkEnd w:id="12"/>
    <w:p w14:paraId="6648FE76" w14:textId="77777777" w:rsidR="001B30A4" w:rsidRPr="00D644D5" w:rsidRDefault="001B30A4" w:rsidP="002F7815">
      <w:pPr>
        <w:pStyle w:val="MethodologyText"/>
        <w:ind w:left="720"/>
        <w:rPr>
          <w:rFonts w:ascii="Arial Narrow" w:hAnsi="Arial Narrow"/>
          <w:sz w:val="44"/>
          <w:lang w:val="es-CL"/>
        </w:rPr>
        <w:sectPr w:rsidR="001B30A4" w:rsidRPr="00D644D5" w:rsidSect="009B5CA0">
          <w:pgSz w:w="12240" w:h="15840"/>
          <w:pgMar w:top="1440" w:right="720" w:bottom="720" w:left="720" w:header="720" w:footer="720" w:gutter="0"/>
          <w:cols w:space="720"/>
          <w:docGrid w:linePitch="360"/>
        </w:sectPr>
      </w:pPr>
    </w:p>
    <w:p w14:paraId="1956D899" w14:textId="77777777" w:rsidR="00CB703A" w:rsidRPr="00773552" w:rsidRDefault="00CE2BC6" w:rsidP="009B5CA0">
      <w:pPr>
        <w:pStyle w:val="Heading1"/>
        <w:ind w:left="720"/>
        <w:rPr>
          <w:rFonts w:ascii="Arial" w:hAnsi="Arial" w:cs="Arial"/>
          <w:lang w:val="es-CL"/>
        </w:rPr>
      </w:pPr>
      <w:bookmarkStart w:id="35" w:name="_Toc198540696"/>
      <w:r w:rsidRPr="00773552">
        <w:rPr>
          <w:rFonts w:ascii="Arial" w:hAnsi="Arial" w:cs="Arial"/>
          <w:lang w:val="es-CL"/>
        </w:rPr>
        <w:t>Política del índice</w:t>
      </w:r>
      <w:bookmarkEnd w:id="35"/>
    </w:p>
    <w:p w14:paraId="33C0365B" w14:textId="77777777" w:rsidR="001B30A4" w:rsidRPr="00773552" w:rsidRDefault="00F307F1" w:rsidP="009B5CA0">
      <w:pPr>
        <w:pStyle w:val="Heading2"/>
        <w:ind w:left="720"/>
        <w:rPr>
          <w:rFonts w:ascii="Arial" w:hAnsi="Arial" w:cs="Arial"/>
          <w:sz w:val="20"/>
          <w:lang w:val="es-CL"/>
        </w:rPr>
      </w:pPr>
      <w:bookmarkStart w:id="36" w:name="_Toc198540697"/>
      <w:r w:rsidRPr="00773552">
        <w:rPr>
          <w:rFonts w:ascii="Arial" w:hAnsi="Arial" w:cs="Arial"/>
          <w:sz w:val="20"/>
          <w:lang w:val="es-CL"/>
        </w:rPr>
        <w:t>Anuncios</w:t>
      </w:r>
      <w:bookmarkEnd w:id="36"/>
    </w:p>
    <w:p w14:paraId="6FF2138D" w14:textId="77777777" w:rsidR="001C65C8" w:rsidRPr="00773552" w:rsidRDefault="003D7B70" w:rsidP="00D3238D">
      <w:pPr>
        <w:pStyle w:val="MethodologyText"/>
        <w:spacing w:after="200"/>
        <w:ind w:left="720"/>
        <w:rPr>
          <w:rFonts w:ascii="Arial" w:hAnsi="Arial" w:cs="Arial"/>
          <w:sz w:val="20"/>
          <w:lang w:val="es-CL"/>
        </w:rPr>
      </w:pPr>
      <w:r w:rsidRPr="003D7B70">
        <w:rPr>
          <w:rFonts w:ascii="Arial" w:hAnsi="Arial" w:cs="Arial"/>
          <w:sz w:val="20"/>
          <w:lang w:val="es-CL"/>
        </w:rPr>
        <w:t>Todos los componentes del índice se valúan diariamente con el fin de obtener los datos necesarios para cal</w:t>
      </w:r>
      <w:r>
        <w:rPr>
          <w:rFonts w:ascii="Arial" w:hAnsi="Arial" w:cs="Arial"/>
          <w:sz w:val="20"/>
          <w:lang w:val="es-CL"/>
        </w:rPr>
        <w:t>cular los niveles y rendimiento</w:t>
      </w:r>
      <w:r w:rsidR="00B74C69">
        <w:rPr>
          <w:rFonts w:ascii="Arial" w:hAnsi="Arial" w:cs="Arial"/>
          <w:sz w:val="20"/>
          <w:lang w:val="es-CL"/>
        </w:rPr>
        <w:t>s</w:t>
      </w:r>
      <w:r w:rsidRPr="003D7B70">
        <w:rPr>
          <w:rFonts w:ascii="Arial" w:hAnsi="Arial" w:cs="Arial"/>
          <w:sz w:val="20"/>
          <w:lang w:val="es-CL"/>
        </w:rPr>
        <w:t xml:space="preserve"> del </w:t>
      </w:r>
      <w:r w:rsidR="00C81C4A">
        <w:rPr>
          <w:rFonts w:ascii="Arial" w:hAnsi="Arial" w:cs="Arial"/>
          <w:sz w:val="20"/>
          <w:lang w:val="es-CL"/>
        </w:rPr>
        <w:t>mismo</w:t>
      </w:r>
      <w:r w:rsidR="000A44FD">
        <w:rPr>
          <w:rFonts w:ascii="Arial" w:hAnsi="Arial" w:cs="Arial"/>
          <w:sz w:val="20"/>
          <w:lang w:val="es-CL"/>
        </w:rPr>
        <w:t>. Todos los eventos que afecte</w:t>
      </w:r>
      <w:r w:rsidRPr="003D7B70">
        <w:rPr>
          <w:rFonts w:ascii="Arial" w:hAnsi="Arial" w:cs="Arial"/>
          <w:sz w:val="20"/>
          <w:lang w:val="es-CL"/>
        </w:rPr>
        <w:t xml:space="preserve">n el cálculo diario del índice se anuncian, </w:t>
      </w:r>
      <w:r w:rsidR="00441EA5">
        <w:rPr>
          <w:rFonts w:ascii="Arial" w:hAnsi="Arial" w:cs="Arial"/>
          <w:sz w:val="20"/>
          <w:lang w:val="es-CL"/>
        </w:rPr>
        <w:t xml:space="preserve">con </w:t>
      </w:r>
      <w:r w:rsidR="006D1488">
        <w:rPr>
          <w:rFonts w:ascii="Arial" w:hAnsi="Arial" w:cs="Arial"/>
          <w:sz w:val="20"/>
          <w:lang w:val="es-CL"/>
        </w:rPr>
        <w:t>anticipación mediante el archivo</w:t>
      </w:r>
      <w:r w:rsidRPr="003D7B70">
        <w:rPr>
          <w:rFonts w:ascii="Arial" w:hAnsi="Arial" w:cs="Arial"/>
          <w:sz w:val="20"/>
          <w:lang w:val="es-CL"/>
        </w:rPr>
        <w:t xml:space="preserve"> de Eventos Corporativos del Índice (.SDE), que se entrega a diario a todos los clientes. Todo </w:t>
      </w:r>
      <w:r w:rsidR="008D79D3">
        <w:rPr>
          <w:rFonts w:ascii="Arial" w:hAnsi="Arial" w:cs="Arial"/>
          <w:sz w:val="20"/>
          <w:lang w:val="es-CL"/>
        </w:rPr>
        <w:t>manejo</w:t>
      </w:r>
      <w:r w:rsidRPr="003D7B70">
        <w:rPr>
          <w:rFonts w:ascii="Arial" w:hAnsi="Arial" w:cs="Arial"/>
          <w:sz w:val="20"/>
          <w:lang w:val="es-CL"/>
        </w:rPr>
        <w:t xml:space="preserve"> fuera de lo común de un evento corporativo o aviso d</w:t>
      </w:r>
      <w:r w:rsidR="005B0F67">
        <w:rPr>
          <w:rFonts w:ascii="Arial" w:hAnsi="Arial" w:cs="Arial"/>
          <w:sz w:val="20"/>
          <w:lang w:val="es-CL"/>
        </w:rPr>
        <w:t>e un evento con poca antelación</w:t>
      </w:r>
      <w:r w:rsidRPr="003D7B70">
        <w:rPr>
          <w:rFonts w:ascii="Arial" w:hAnsi="Arial" w:cs="Arial"/>
          <w:sz w:val="20"/>
          <w:lang w:val="es-CL"/>
        </w:rPr>
        <w:t xml:space="preserve"> podrá ser comunicado por correo electrónico a los clientes.</w:t>
      </w:r>
    </w:p>
    <w:p w14:paraId="34E507E7" w14:textId="0F7912E2" w:rsidR="001C6F47" w:rsidRDefault="001C6F47" w:rsidP="00D3238D">
      <w:pPr>
        <w:pStyle w:val="MethodologyText"/>
        <w:spacing w:after="200"/>
        <w:ind w:left="720"/>
        <w:rPr>
          <w:rFonts w:ascii="Arial" w:hAnsi="Arial" w:cs="Arial"/>
          <w:sz w:val="20"/>
          <w:lang w:val="es-CL"/>
        </w:rPr>
      </w:pPr>
      <w:r w:rsidRPr="001C6F47">
        <w:rPr>
          <w:rFonts w:ascii="Arial" w:hAnsi="Arial" w:cs="Arial"/>
          <w:sz w:val="20"/>
          <w:lang w:val="es-CL"/>
        </w:rPr>
        <w:t xml:space="preserve">Los comunicados de prensa son publicados en nuestro sitio web, </w:t>
      </w:r>
      <w:hyperlink r:id="rId21" w:history="1">
        <w:r w:rsidR="00E3182B" w:rsidRPr="00E3182B">
          <w:rPr>
            <w:rStyle w:val="Hyperlink"/>
            <w:rFonts w:ascii="Arial" w:hAnsi="Arial" w:cs="Arial"/>
            <w:i/>
            <w:iCs/>
            <w:sz w:val="20"/>
            <w:szCs w:val="20"/>
            <w:lang w:val="es-MX"/>
          </w:rPr>
          <w:t>www.spglobal.com/spdji/</w:t>
        </w:r>
      </w:hyperlink>
      <w:r w:rsidR="00E3182B">
        <w:rPr>
          <w:rFonts w:ascii="Arial" w:hAnsi="Arial" w:cs="Arial"/>
          <w:i/>
          <w:sz w:val="20"/>
          <w:lang w:val="es-MX"/>
        </w:rPr>
        <w:t xml:space="preserve">, </w:t>
      </w:r>
      <w:r w:rsidR="007F7B55">
        <w:rPr>
          <w:rFonts w:ascii="Arial" w:hAnsi="Arial" w:cs="Arial"/>
          <w:sz w:val="20"/>
          <w:lang w:val="es-CL"/>
        </w:rPr>
        <w:t xml:space="preserve"> </w:t>
      </w:r>
      <w:r w:rsidRPr="001C6F47">
        <w:rPr>
          <w:rFonts w:ascii="Arial" w:hAnsi="Arial" w:cs="Arial"/>
          <w:sz w:val="20"/>
          <w:lang w:val="es-CL"/>
        </w:rPr>
        <w:t>y son puestos a disposición de las principales agencias de noticias.</w:t>
      </w:r>
    </w:p>
    <w:p w14:paraId="516CF02D" w14:textId="77777777" w:rsidR="00DA69A6" w:rsidRPr="00DA69A6" w:rsidRDefault="00BE4531" w:rsidP="009B5CA0">
      <w:pPr>
        <w:pStyle w:val="MethodologyText"/>
        <w:ind w:left="720"/>
        <w:rPr>
          <w:rFonts w:ascii="Arial" w:hAnsi="Arial" w:cs="Arial"/>
          <w:i/>
          <w:sz w:val="20"/>
          <w:lang w:val="es-CL"/>
        </w:rPr>
      </w:pPr>
      <w:r>
        <w:rPr>
          <w:rFonts w:ascii="Arial" w:hAnsi="Arial" w:cs="Arial"/>
          <w:i/>
          <w:sz w:val="20"/>
          <w:lang w:val="es-CL"/>
        </w:rPr>
        <w:t>Para mayor información consulte la sección de A</w:t>
      </w:r>
      <w:r w:rsidR="00DA69A6" w:rsidRPr="00DA69A6">
        <w:rPr>
          <w:rFonts w:ascii="Arial" w:hAnsi="Arial" w:cs="Arial"/>
          <w:i/>
          <w:sz w:val="20"/>
          <w:lang w:val="es-CL"/>
        </w:rPr>
        <w:t>nuncios</w:t>
      </w:r>
      <w:r w:rsidR="009878F9">
        <w:rPr>
          <w:rFonts w:ascii="Arial" w:hAnsi="Arial" w:cs="Arial"/>
          <w:i/>
          <w:sz w:val="20"/>
          <w:lang w:val="es-CL"/>
        </w:rPr>
        <w:t xml:space="preserve"> de la Metodología de las Políticas y Prácticas de los Índices de Renta Variable de</w:t>
      </w:r>
      <w:r w:rsidR="00DA69A6" w:rsidRPr="00DA69A6">
        <w:rPr>
          <w:rFonts w:ascii="Arial" w:hAnsi="Arial" w:cs="Arial"/>
          <w:i/>
          <w:sz w:val="20"/>
          <w:lang w:val="es-CL"/>
        </w:rPr>
        <w:t xml:space="preserve"> </w:t>
      </w:r>
      <w:r w:rsidRPr="00BE4531">
        <w:rPr>
          <w:rFonts w:ascii="Arial" w:hAnsi="Arial" w:cs="Arial"/>
          <w:i/>
          <w:iCs/>
          <w:sz w:val="20"/>
          <w:szCs w:val="20"/>
          <w:lang w:val="es-MX"/>
        </w:rPr>
        <w:t>S&amp;P Dow Jones Indices</w:t>
      </w:r>
    </w:p>
    <w:p w14:paraId="5B46BE38" w14:textId="39AF3604" w:rsidR="001C65C8" w:rsidRPr="00FE2547" w:rsidRDefault="00A17DEF" w:rsidP="009B5CA0">
      <w:pPr>
        <w:pStyle w:val="Heading2"/>
        <w:ind w:left="720"/>
        <w:rPr>
          <w:rFonts w:ascii="Arial" w:hAnsi="Arial" w:cs="Arial"/>
          <w:sz w:val="20"/>
          <w:lang w:val="es-CL"/>
        </w:rPr>
      </w:pPr>
      <w:bookmarkStart w:id="37" w:name="_Toc198540698"/>
      <w:r w:rsidRPr="00FE2547">
        <w:rPr>
          <w:rFonts w:ascii="Arial" w:hAnsi="Arial" w:cs="Arial"/>
          <w:sz w:val="20"/>
          <w:lang w:val="es-CL"/>
        </w:rPr>
        <w:t xml:space="preserve">Archivos </w:t>
      </w:r>
      <w:r w:rsidR="007737EF" w:rsidRPr="00FE2547">
        <w:rPr>
          <w:rFonts w:ascii="Arial" w:hAnsi="Arial" w:cs="Arial"/>
          <w:sz w:val="20"/>
          <w:lang w:val="es-CL"/>
        </w:rPr>
        <w:t>proforma</w:t>
      </w:r>
      <w:bookmarkEnd w:id="37"/>
    </w:p>
    <w:p w14:paraId="43FC5C4F" w14:textId="11B7FAF7" w:rsidR="002F5C62" w:rsidRDefault="002F5C62" w:rsidP="00D3238D">
      <w:pPr>
        <w:pStyle w:val="MethodologyText"/>
        <w:spacing w:after="200"/>
        <w:ind w:left="720"/>
        <w:rPr>
          <w:rFonts w:ascii="Arial" w:hAnsi="Arial" w:cs="Arial"/>
          <w:sz w:val="20"/>
          <w:lang w:val="es-CL" w:eastAsia="ja-JP"/>
        </w:rPr>
      </w:pPr>
      <w:r w:rsidRPr="00FE2547">
        <w:rPr>
          <w:rFonts w:ascii="Arial" w:hAnsi="Arial" w:cs="Arial"/>
          <w:sz w:val="20"/>
          <w:lang w:val="es-CL" w:eastAsia="ja-JP"/>
        </w:rPr>
        <w:t xml:space="preserve">S&amp;P Dow Jones Indices proporciona archivos </w:t>
      </w:r>
      <w:r w:rsidR="00B12CD9" w:rsidRPr="00FE2547">
        <w:rPr>
          <w:rFonts w:ascii="Arial" w:hAnsi="Arial" w:cs="Arial"/>
          <w:sz w:val="20"/>
          <w:lang w:val="es-CL" w:eastAsia="ja-JP"/>
        </w:rPr>
        <w:t>proforma</w:t>
      </w:r>
      <w:r w:rsidRPr="00FE2547">
        <w:rPr>
          <w:rFonts w:ascii="Arial" w:hAnsi="Arial" w:cs="Arial"/>
          <w:sz w:val="20"/>
          <w:lang w:val="es-CL" w:eastAsia="ja-JP"/>
        </w:rPr>
        <w:t xml:space="preserve"> de los componentes</w:t>
      </w:r>
      <w:r w:rsidR="009878F9">
        <w:rPr>
          <w:rFonts w:ascii="Arial" w:hAnsi="Arial" w:cs="Arial"/>
          <w:sz w:val="20"/>
          <w:lang w:val="es-CL" w:eastAsia="ja-JP"/>
        </w:rPr>
        <w:t xml:space="preserve"> de cada índice cada vez que el indicador</w:t>
      </w:r>
      <w:r w:rsidRPr="00FE2547">
        <w:rPr>
          <w:rFonts w:ascii="Arial" w:hAnsi="Arial" w:cs="Arial"/>
          <w:sz w:val="20"/>
          <w:lang w:val="es-CL" w:eastAsia="ja-JP"/>
        </w:rPr>
        <w:t xml:space="preserve"> se </w:t>
      </w:r>
      <w:r w:rsidR="00F67A38">
        <w:rPr>
          <w:rFonts w:ascii="Arial" w:hAnsi="Arial" w:cs="Arial"/>
          <w:sz w:val="20"/>
          <w:lang w:val="es-CL" w:eastAsia="ja-JP"/>
        </w:rPr>
        <w:t>rebalancea</w:t>
      </w:r>
      <w:r w:rsidRPr="00FE2547">
        <w:rPr>
          <w:rFonts w:ascii="Arial" w:hAnsi="Arial" w:cs="Arial"/>
          <w:sz w:val="20"/>
          <w:lang w:val="es-CL" w:eastAsia="ja-JP"/>
        </w:rPr>
        <w:t xml:space="preserve">. </w:t>
      </w:r>
      <w:r w:rsidRPr="002F5C62">
        <w:rPr>
          <w:rFonts w:ascii="Arial" w:hAnsi="Arial" w:cs="Arial"/>
          <w:sz w:val="20"/>
          <w:lang w:val="es-CL" w:eastAsia="ja-JP"/>
        </w:rPr>
        <w:t xml:space="preserve">Por lo general, el archivo </w:t>
      </w:r>
      <w:r w:rsidR="00B12CD9" w:rsidRPr="002F5C62">
        <w:rPr>
          <w:rFonts w:ascii="Arial" w:hAnsi="Arial" w:cs="Arial"/>
          <w:sz w:val="20"/>
          <w:lang w:val="es-CL" w:eastAsia="ja-JP"/>
        </w:rPr>
        <w:t>proforma</w:t>
      </w:r>
      <w:r w:rsidRPr="002F5C62">
        <w:rPr>
          <w:rFonts w:ascii="Arial" w:hAnsi="Arial" w:cs="Arial"/>
          <w:sz w:val="20"/>
          <w:lang w:val="es-CL" w:eastAsia="ja-JP"/>
        </w:rPr>
        <w:t xml:space="preserve"> se proporciona diariamente</w:t>
      </w:r>
      <w:r w:rsidR="00B12CD9">
        <w:rPr>
          <w:rFonts w:ascii="Arial" w:hAnsi="Arial" w:cs="Arial"/>
          <w:sz w:val="20"/>
          <w:lang w:val="es-CL" w:eastAsia="ja-JP"/>
        </w:rPr>
        <w:t xml:space="preserve">. </w:t>
      </w:r>
      <w:r w:rsidR="009878F9">
        <w:rPr>
          <w:rFonts w:ascii="Arial" w:hAnsi="Arial" w:cs="Arial"/>
          <w:sz w:val="20"/>
          <w:lang w:val="es-CL" w:eastAsia="ja-JP"/>
        </w:rPr>
        <w:t>En los casos donde el número de</w:t>
      </w:r>
      <w:r w:rsidRPr="002F5C62">
        <w:rPr>
          <w:rFonts w:ascii="Arial" w:hAnsi="Arial" w:cs="Arial"/>
          <w:sz w:val="20"/>
          <w:lang w:val="es-CL" w:eastAsia="ja-JP"/>
        </w:rPr>
        <w:t xml:space="preserve"> acciones de</w:t>
      </w:r>
      <w:r w:rsidR="00E64158">
        <w:rPr>
          <w:rFonts w:ascii="Arial" w:hAnsi="Arial" w:cs="Arial"/>
          <w:sz w:val="20"/>
          <w:lang w:val="es-CL" w:eastAsia="ja-JP"/>
        </w:rPr>
        <w:t>l</w:t>
      </w:r>
      <w:r w:rsidRPr="002F5C62">
        <w:rPr>
          <w:rFonts w:ascii="Arial" w:hAnsi="Arial" w:cs="Arial"/>
          <w:sz w:val="20"/>
          <w:lang w:val="es-CL" w:eastAsia="ja-JP"/>
        </w:rPr>
        <w:t xml:space="preserve"> índice se asignan en func</w:t>
      </w:r>
      <w:r w:rsidR="009878F9">
        <w:rPr>
          <w:rFonts w:ascii="Arial" w:hAnsi="Arial" w:cs="Arial"/>
          <w:sz w:val="20"/>
          <w:lang w:val="es-CL" w:eastAsia="ja-JP"/>
        </w:rPr>
        <w:t>ión de los precios previos a la fecha efectiva de</w:t>
      </w:r>
      <w:r w:rsidRPr="002F5C62">
        <w:rPr>
          <w:rFonts w:ascii="Arial" w:hAnsi="Arial" w:cs="Arial"/>
          <w:sz w:val="20"/>
          <w:lang w:val="es-CL" w:eastAsia="ja-JP"/>
        </w:rPr>
        <w:t xml:space="preserve"> rebalanceo, la ponderación real de cada acción en la fecha de rebalanceo </w:t>
      </w:r>
      <w:r w:rsidR="00E64158">
        <w:rPr>
          <w:rFonts w:ascii="Arial" w:hAnsi="Arial" w:cs="Arial"/>
          <w:sz w:val="20"/>
          <w:lang w:val="es-CL" w:eastAsia="ja-JP"/>
        </w:rPr>
        <w:t xml:space="preserve">puede </w:t>
      </w:r>
      <w:r w:rsidRPr="002F5C62">
        <w:rPr>
          <w:rFonts w:ascii="Arial" w:hAnsi="Arial" w:cs="Arial"/>
          <w:sz w:val="20"/>
          <w:lang w:val="es-CL" w:eastAsia="ja-JP"/>
        </w:rPr>
        <w:t>dif</w:t>
      </w:r>
      <w:r w:rsidR="00E64158">
        <w:rPr>
          <w:rFonts w:ascii="Arial" w:hAnsi="Arial" w:cs="Arial"/>
          <w:sz w:val="20"/>
          <w:lang w:val="es-CL" w:eastAsia="ja-JP"/>
        </w:rPr>
        <w:t>erir</w:t>
      </w:r>
      <w:r w:rsidR="00D27CED">
        <w:rPr>
          <w:rFonts w:ascii="Arial" w:hAnsi="Arial" w:cs="Arial"/>
          <w:sz w:val="20"/>
          <w:lang w:val="es-CL" w:eastAsia="ja-JP"/>
        </w:rPr>
        <w:t xml:space="preserve"> </w:t>
      </w:r>
      <w:r w:rsidRPr="002F5C62">
        <w:rPr>
          <w:rFonts w:ascii="Arial" w:hAnsi="Arial" w:cs="Arial"/>
          <w:sz w:val="20"/>
          <w:lang w:val="es-CL" w:eastAsia="ja-JP"/>
        </w:rPr>
        <w:t>debido</w:t>
      </w:r>
      <w:r w:rsidR="00F262DA">
        <w:rPr>
          <w:rFonts w:ascii="Arial" w:hAnsi="Arial" w:cs="Arial"/>
          <w:sz w:val="20"/>
          <w:lang w:val="es-CL" w:eastAsia="ja-JP"/>
        </w:rPr>
        <w:t xml:space="preserve"> a los movimientos del mercado.</w:t>
      </w:r>
    </w:p>
    <w:p w14:paraId="436E271A" w14:textId="03DB352B" w:rsidR="00A1298D" w:rsidRPr="00540E81" w:rsidRDefault="00A1298D" w:rsidP="002F5C62">
      <w:pPr>
        <w:pStyle w:val="MethodologyText"/>
        <w:ind w:left="720"/>
        <w:rPr>
          <w:rFonts w:ascii="Arial" w:hAnsi="Arial" w:cs="Arial"/>
          <w:i/>
          <w:iCs/>
          <w:sz w:val="20"/>
          <w:szCs w:val="22"/>
          <w:lang w:val="es-CL"/>
        </w:rPr>
      </w:pPr>
      <w:r w:rsidRPr="00540E81">
        <w:rPr>
          <w:rFonts w:ascii="Arial" w:hAnsi="Arial" w:cs="Arial"/>
          <w:i/>
          <w:iCs/>
          <w:sz w:val="20"/>
          <w:szCs w:val="22"/>
          <w:lang w:val="es-CL"/>
        </w:rPr>
        <w:t xml:space="preserve">Visite </w:t>
      </w:r>
      <w:hyperlink r:id="rId22" w:history="1">
        <w:r w:rsidR="00B12CD9" w:rsidRPr="00E3182B">
          <w:rPr>
            <w:rStyle w:val="Hyperlink"/>
            <w:rFonts w:ascii="Arial" w:hAnsi="Arial" w:cs="Arial"/>
            <w:i/>
            <w:iCs/>
            <w:sz w:val="20"/>
            <w:szCs w:val="20"/>
            <w:lang w:val="es-MX"/>
          </w:rPr>
          <w:t>www.spglobal.com/spdji/</w:t>
        </w:r>
      </w:hyperlink>
      <w:r w:rsidR="00E3182B">
        <w:rPr>
          <w:rFonts w:ascii="Arial" w:hAnsi="Arial" w:cs="Arial"/>
          <w:i/>
          <w:sz w:val="20"/>
          <w:lang w:val="es-MX"/>
        </w:rPr>
        <w:t xml:space="preserve"> </w:t>
      </w:r>
      <w:r w:rsidRPr="00540E81">
        <w:rPr>
          <w:rFonts w:ascii="Arial" w:hAnsi="Arial" w:cs="Arial"/>
          <w:i/>
          <w:iCs/>
          <w:sz w:val="20"/>
          <w:szCs w:val="22"/>
          <w:lang w:val="es-CL"/>
        </w:rPr>
        <w:t xml:space="preserve">para encontrar un calendario completo de rebalanceo y </w:t>
      </w:r>
      <w:r w:rsidR="0069074C">
        <w:rPr>
          <w:rFonts w:ascii="Arial" w:hAnsi="Arial" w:cs="Arial"/>
          <w:i/>
          <w:iCs/>
          <w:sz w:val="20"/>
          <w:szCs w:val="22"/>
          <w:lang w:val="es-CL"/>
        </w:rPr>
        <w:t xml:space="preserve">de </w:t>
      </w:r>
      <w:r w:rsidRPr="00540E81">
        <w:rPr>
          <w:rFonts w:ascii="Arial" w:hAnsi="Arial" w:cs="Arial"/>
          <w:i/>
          <w:iCs/>
          <w:sz w:val="20"/>
          <w:szCs w:val="22"/>
          <w:lang w:val="es-CL"/>
        </w:rPr>
        <w:t xml:space="preserve">la entrega de los archivos </w:t>
      </w:r>
      <w:r w:rsidR="00B12CD9" w:rsidRPr="00540E81">
        <w:rPr>
          <w:rFonts w:ascii="Arial" w:hAnsi="Arial" w:cs="Arial"/>
          <w:i/>
          <w:iCs/>
          <w:sz w:val="20"/>
          <w:szCs w:val="22"/>
          <w:lang w:val="es-CL"/>
        </w:rPr>
        <w:t>proforma</w:t>
      </w:r>
      <w:r w:rsidRPr="00540E81">
        <w:rPr>
          <w:rFonts w:ascii="Arial" w:hAnsi="Arial" w:cs="Arial"/>
          <w:i/>
          <w:iCs/>
          <w:sz w:val="20"/>
          <w:szCs w:val="22"/>
          <w:lang w:val="es-CL"/>
        </w:rPr>
        <w:t>.</w:t>
      </w:r>
    </w:p>
    <w:p w14:paraId="73DEF991" w14:textId="77777777" w:rsidR="001B30A4" w:rsidRPr="00773552" w:rsidRDefault="00CC05B1" w:rsidP="009B5CA0">
      <w:pPr>
        <w:pStyle w:val="Heading2"/>
        <w:ind w:left="720"/>
        <w:rPr>
          <w:rFonts w:ascii="Arial" w:hAnsi="Arial" w:cs="Arial"/>
          <w:sz w:val="20"/>
          <w:lang w:val="es-CL"/>
        </w:rPr>
      </w:pPr>
      <w:bookmarkStart w:id="38" w:name="_Toc198540699"/>
      <w:r w:rsidRPr="00773552">
        <w:rPr>
          <w:rFonts w:ascii="Arial" w:hAnsi="Arial" w:cs="Arial"/>
          <w:sz w:val="20"/>
          <w:lang w:val="es-CL"/>
        </w:rPr>
        <w:t>Cronograma de días festivos</w:t>
      </w:r>
      <w:bookmarkEnd w:id="38"/>
    </w:p>
    <w:p w14:paraId="4C1929CF" w14:textId="77777777" w:rsidR="00754BBB" w:rsidRPr="006043EA" w:rsidRDefault="00A7435C" w:rsidP="00D3238D">
      <w:pPr>
        <w:pStyle w:val="MethodologyText"/>
        <w:spacing w:after="200"/>
        <w:ind w:left="720"/>
        <w:rPr>
          <w:rFonts w:ascii="Arial" w:hAnsi="Arial" w:cs="Arial"/>
          <w:sz w:val="20"/>
          <w:lang w:val="es-CL"/>
        </w:rPr>
      </w:pPr>
      <w:r>
        <w:rPr>
          <w:rFonts w:ascii="Arial" w:hAnsi="Arial" w:cs="Arial"/>
          <w:sz w:val="20"/>
          <w:lang w:val="es-CL"/>
        </w:rPr>
        <w:t>Los índices se calculan</w:t>
      </w:r>
      <w:r w:rsidR="006043EA" w:rsidRPr="006043EA">
        <w:rPr>
          <w:rFonts w:ascii="Arial" w:hAnsi="Arial" w:cs="Arial"/>
          <w:sz w:val="20"/>
          <w:lang w:val="es-CL"/>
        </w:rPr>
        <w:t xml:space="preserve"> </w:t>
      </w:r>
      <w:r w:rsidR="003C47D3">
        <w:rPr>
          <w:rFonts w:ascii="Arial" w:hAnsi="Arial" w:cs="Arial"/>
          <w:sz w:val="20"/>
          <w:lang w:val="es-CL"/>
        </w:rPr>
        <w:t>toda vez que el mercado de capitales de los EE.UU. se encuentre abierto</w:t>
      </w:r>
      <w:r w:rsidR="006043EA" w:rsidRPr="006043EA">
        <w:rPr>
          <w:rFonts w:ascii="Arial" w:hAnsi="Arial" w:cs="Arial"/>
          <w:sz w:val="20"/>
          <w:lang w:val="es-CL"/>
        </w:rPr>
        <w:t xml:space="preserve"> y operando.</w:t>
      </w:r>
    </w:p>
    <w:p w14:paraId="7C65C708" w14:textId="1B2B88C3" w:rsidR="00D95A8F" w:rsidRDefault="00D95A8F" w:rsidP="009B5CA0">
      <w:pPr>
        <w:pStyle w:val="MethodologyText"/>
        <w:ind w:left="720"/>
        <w:rPr>
          <w:rFonts w:ascii="Arial" w:hAnsi="Arial" w:cs="Arial"/>
          <w:i/>
          <w:iCs/>
          <w:sz w:val="20"/>
          <w:lang w:val="es-CL"/>
        </w:rPr>
      </w:pPr>
      <w:r w:rsidRPr="00D95A8F">
        <w:rPr>
          <w:rFonts w:ascii="Arial" w:hAnsi="Arial" w:cs="Arial"/>
          <w:i/>
          <w:iCs/>
          <w:sz w:val="20"/>
          <w:lang w:val="es-CL"/>
        </w:rPr>
        <w:t>Un cronograma completo de días festivos está disponible en el sitio web de S&amp;P Dow Jones Indices</w:t>
      </w:r>
      <w:r>
        <w:rPr>
          <w:rFonts w:ascii="Arial" w:hAnsi="Arial" w:cs="Arial"/>
          <w:i/>
          <w:iCs/>
          <w:sz w:val="20"/>
          <w:lang w:val="es-CL"/>
        </w:rPr>
        <w:t>,</w:t>
      </w:r>
      <w:r w:rsidRPr="00D95A8F">
        <w:rPr>
          <w:rFonts w:ascii="Arial" w:hAnsi="Arial" w:cs="Arial"/>
          <w:i/>
          <w:iCs/>
          <w:sz w:val="20"/>
          <w:lang w:val="es-CL"/>
        </w:rPr>
        <w:t xml:space="preserve"> </w:t>
      </w:r>
      <w:hyperlink r:id="rId23" w:history="1">
        <w:r w:rsidR="00421C2A" w:rsidRPr="00E3182B">
          <w:rPr>
            <w:rStyle w:val="Hyperlink"/>
            <w:rFonts w:ascii="Arial" w:hAnsi="Arial" w:cs="Arial"/>
            <w:i/>
            <w:iCs/>
            <w:sz w:val="20"/>
            <w:szCs w:val="20"/>
            <w:lang w:val="es-MX"/>
          </w:rPr>
          <w:t>www.spglobal.com/spdji/</w:t>
        </w:r>
      </w:hyperlink>
      <w:r w:rsidRPr="00D95A8F">
        <w:rPr>
          <w:rFonts w:ascii="Arial" w:hAnsi="Arial" w:cs="Arial"/>
          <w:i/>
          <w:iCs/>
          <w:sz w:val="20"/>
          <w:lang w:val="es-CL"/>
        </w:rPr>
        <w:t>.</w:t>
      </w:r>
    </w:p>
    <w:p w14:paraId="67918021" w14:textId="77777777" w:rsidR="007629B3" w:rsidRPr="00982D5D" w:rsidRDefault="003A6165" w:rsidP="009B5CA0">
      <w:pPr>
        <w:pStyle w:val="Heading2"/>
        <w:ind w:left="720"/>
        <w:rPr>
          <w:rFonts w:ascii="Arial" w:hAnsi="Arial" w:cs="Arial"/>
          <w:sz w:val="20"/>
          <w:lang w:val="es-CL"/>
        </w:rPr>
      </w:pPr>
      <w:bookmarkStart w:id="39" w:name="_Toc198540700"/>
      <w:bookmarkStart w:id="40" w:name="_Toc393806300"/>
      <w:r w:rsidRPr="00982D5D">
        <w:rPr>
          <w:rFonts w:ascii="Arial" w:hAnsi="Arial" w:cs="Arial"/>
          <w:sz w:val="20"/>
          <w:lang w:val="es-CL"/>
        </w:rPr>
        <w:t>C</w:t>
      </w:r>
      <w:r w:rsidR="004C37F6">
        <w:rPr>
          <w:rFonts w:ascii="Arial" w:hAnsi="Arial" w:cs="Arial"/>
          <w:sz w:val="20"/>
          <w:lang w:val="es-CL"/>
        </w:rPr>
        <w:t xml:space="preserve">ierres </w:t>
      </w:r>
      <w:r w:rsidR="0069074C">
        <w:rPr>
          <w:rFonts w:ascii="Arial" w:hAnsi="Arial" w:cs="Arial"/>
          <w:sz w:val="20"/>
          <w:lang w:val="es-CL"/>
        </w:rPr>
        <w:t>inesperados en Bolsa</w:t>
      </w:r>
      <w:bookmarkEnd w:id="39"/>
    </w:p>
    <w:p w14:paraId="53ED6680" w14:textId="77777777" w:rsidR="009878F9" w:rsidRPr="009878F9" w:rsidRDefault="0069074C" w:rsidP="009878F9">
      <w:pPr>
        <w:pStyle w:val="MethodologyText"/>
        <w:ind w:left="720"/>
        <w:rPr>
          <w:rFonts w:ascii="Arial" w:hAnsi="Arial" w:cs="Arial"/>
          <w:i/>
          <w:sz w:val="20"/>
          <w:lang w:val="es-MX"/>
        </w:rPr>
      </w:pPr>
      <w:r>
        <w:rPr>
          <w:rFonts w:ascii="Arial" w:hAnsi="Arial" w:cs="Arial"/>
          <w:i/>
          <w:iCs/>
          <w:sz w:val="20"/>
          <w:szCs w:val="22"/>
          <w:lang w:val="es-CL"/>
        </w:rPr>
        <w:t>Para obtener</w:t>
      </w:r>
      <w:r w:rsidR="00FC19E7" w:rsidRPr="00C210AD">
        <w:rPr>
          <w:rFonts w:ascii="Arial" w:hAnsi="Arial" w:cs="Arial"/>
          <w:i/>
          <w:iCs/>
          <w:sz w:val="20"/>
          <w:szCs w:val="22"/>
          <w:lang w:val="es-CL"/>
        </w:rPr>
        <w:t xml:space="preserve"> información sobre cierre de bolsa no programados, consulte </w:t>
      </w:r>
      <w:bookmarkEnd w:id="40"/>
      <w:r w:rsidR="009878F9">
        <w:rPr>
          <w:rFonts w:ascii="Arial" w:hAnsi="Arial" w:cs="Arial"/>
          <w:i/>
          <w:sz w:val="20"/>
          <w:lang w:val="es-CL"/>
        </w:rPr>
        <w:t>la Metodología de las Políticas y Prácticas de los Índices de Renta Variable de</w:t>
      </w:r>
      <w:r w:rsidR="009878F9" w:rsidRPr="00DA69A6">
        <w:rPr>
          <w:rFonts w:ascii="Arial" w:hAnsi="Arial" w:cs="Arial"/>
          <w:i/>
          <w:sz w:val="20"/>
          <w:lang w:val="es-CL"/>
        </w:rPr>
        <w:t xml:space="preserve"> </w:t>
      </w:r>
      <w:r w:rsidR="009878F9" w:rsidRPr="00BE4531">
        <w:rPr>
          <w:rFonts w:ascii="Arial" w:hAnsi="Arial" w:cs="Arial"/>
          <w:i/>
          <w:iCs/>
          <w:sz w:val="20"/>
          <w:szCs w:val="20"/>
          <w:lang w:val="es-MX"/>
        </w:rPr>
        <w:t>S&amp;P Dow Jones Indices</w:t>
      </w:r>
    </w:p>
    <w:p w14:paraId="558227A5" w14:textId="77777777" w:rsidR="00206AF3" w:rsidRPr="0094516C" w:rsidRDefault="001374A3" w:rsidP="009878F9">
      <w:pPr>
        <w:pStyle w:val="Heading2"/>
        <w:ind w:left="720"/>
        <w:rPr>
          <w:rFonts w:ascii="Arial" w:hAnsi="Arial" w:cs="Arial"/>
          <w:sz w:val="20"/>
          <w:lang w:val="es-CL"/>
        </w:rPr>
      </w:pPr>
      <w:bookmarkStart w:id="41" w:name="_Toc198540701"/>
      <w:r w:rsidRPr="0094516C">
        <w:rPr>
          <w:rFonts w:ascii="Arial" w:hAnsi="Arial" w:cs="Arial"/>
          <w:sz w:val="20"/>
          <w:lang w:val="es-CL"/>
        </w:rPr>
        <w:t>Política de recálculo</w:t>
      </w:r>
      <w:bookmarkEnd w:id="41"/>
    </w:p>
    <w:p w14:paraId="7D37DB66" w14:textId="77777777" w:rsidR="009878F9" w:rsidRPr="00DA69A6" w:rsidRDefault="0069074C" w:rsidP="009878F9">
      <w:pPr>
        <w:pStyle w:val="MethodologyText"/>
        <w:ind w:left="720"/>
        <w:rPr>
          <w:rFonts w:ascii="Arial" w:hAnsi="Arial" w:cs="Arial"/>
          <w:i/>
          <w:sz w:val="20"/>
          <w:lang w:val="es-CL"/>
        </w:rPr>
      </w:pPr>
      <w:r>
        <w:rPr>
          <w:rFonts w:ascii="Arial" w:hAnsi="Arial" w:cs="Arial"/>
          <w:i/>
          <w:iCs/>
          <w:sz w:val="20"/>
          <w:lang w:val="es-CL"/>
        </w:rPr>
        <w:t>Para obtener</w:t>
      </w:r>
      <w:r w:rsidR="00657B50" w:rsidRPr="00657B50">
        <w:rPr>
          <w:rFonts w:ascii="Arial" w:hAnsi="Arial" w:cs="Arial"/>
          <w:i/>
          <w:iCs/>
          <w:sz w:val="20"/>
          <w:lang w:val="es-CL"/>
        </w:rPr>
        <w:t xml:space="preserve"> información sobre la política de recálculo, consulte </w:t>
      </w:r>
      <w:r w:rsidR="009878F9">
        <w:rPr>
          <w:rFonts w:ascii="Arial" w:hAnsi="Arial" w:cs="Arial"/>
          <w:i/>
          <w:sz w:val="20"/>
          <w:lang w:val="es-CL"/>
        </w:rPr>
        <w:t>la Metodología de las Políticas y Prácticas de los Índices de Renta Variable de</w:t>
      </w:r>
      <w:r w:rsidR="009878F9" w:rsidRPr="00DA69A6">
        <w:rPr>
          <w:rFonts w:ascii="Arial" w:hAnsi="Arial" w:cs="Arial"/>
          <w:i/>
          <w:sz w:val="20"/>
          <w:lang w:val="es-CL"/>
        </w:rPr>
        <w:t xml:space="preserve"> </w:t>
      </w:r>
      <w:r w:rsidR="009878F9" w:rsidRPr="00BE4531">
        <w:rPr>
          <w:rFonts w:ascii="Arial" w:hAnsi="Arial" w:cs="Arial"/>
          <w:i/>
          <w:iCs/>
          <w:sz w:val="20"/>
          <w:szCs w:val="20"/>
          <w:lang w:val="es-MX"/>
        </w:rPr>
        <w:t>S&amp;P Dow Jones Indices</w:t>
      </w:r>
    </w:p>
    <w:p w14:paraId="62E8DEEC" w14:textId="77777777" w:rsidR="007865C2" w:rsidRDefault="007865C2" w:rsidP="009878F9">
      <w:pPr>
        <w:pStyle w:val="MethodologyText"/>
        <w:ind w:left="720"/>
        <w:rPr>
          <w:rFonts w:ascii="Arial" w:hAnsi="Arial" w:cs="Arial"/>
          <w:b/>
          <w:bCs/>
          <w:sz w:val="20"/>
          <w:lang w:val="es-CL"/>
        </w:rPr>
      </w:pPr>
      <w:r>
        <w:rPr>
          <w:rFonts w:ascii="Arial" w:hAnsi="Arial" w:cs="Arial"/>
          <w:sz w:val="20"/>
          <w:lang w:val="es-CL"/>
        </w:rPr>
        <w:br w:type="page"/>
      </w:r>
    </w:p>
    <w:p w14:paraId="1ABD0224" w14:textId="77777777" w:rsidR="001C65C8" w:rsidRPr="00AF6580" w:rsidRDefault="002518E3" w:rsidP="0069074C">
      <w:pPr>
        <w:pStyle w:val="Heading2"/>
        <w:ind w:left="720"/>
        <w:rPr>
          <w:rFonts w:ascii="Arial" w:hAnsi="Arial" w:cs="Arial"/>
          <w:sz w:val="20"/>
          <w:lang w:val="es-CL"/>
        </w:rPr>
      </w:pPr>
      <w:bookmarkStart w:id="42" w:name="_Toc198540702"/>
      <w:r w:rsidRPr="00AF6580">
        <w:rPr>
          <w:rFonts w:ascii="Arial" w:hAnsi="Arial" w:cs="Arial"/>
          <w:sz w:val="20"/>
          <w:lang w:val="es-CL"/>
        </w:rPr>
        <w:t>Cálculos</w:t>
      </w:r>
      <w:r w:rsidR="00E0150B" w:rsidRPr="00AF6580">
        <w:rPr>
          <w:rFonts w:ascii="Arial" w:hAnsi="Arial" w:cs="Arial"/>
          <w:sz w:val="20"/>
          <w:lang w:val="es-CL"/>
        </w:rPr>
        <w:t xml:space="preserve"> en tiempo real</w:t>
      </w:r>
      <w:bookmarkEnd w:id="42"/>
    </w:p>
    <w:p w14:paraId="6007E2F6" w14:textId="77777777" w:rsidR="0069074C" w:rsidRDefault="0069074C" w:rsidP="0069074C">
      <w:pPr>
        <w:pStyle w:val="MethodologyText"/>
        <w:ind w:left="720"/>
        <w:rPr>
          <w:rFonts w:ascii="Arial" w:hAnsi="Arial" w:cs="Arial"/>
          <w:sz w:val="20"/>
          <w:lang w:val="es-MX" w:eastAsia="ja-JP"/>
        </w:rPr>
      </w:pPr>
      <w:r>
        <w:rPr>
          <w:rFonts w:ascii="Arial" w:hAnsi="Arial" w:cs="Arial"/>
          <w:sz w:val="20"/>
          <w:lang w:val="es-CL" w:eastAsia="ja-JP"/>
        </w:rPr>
        <w:t xml:space="preserve">Los </w:t>
      </w:r>
      <w:r w:rsidR="007D240B">
        <w:rPr>
          <w:rFonts w:ascii="Arial" w:hAnsi="Arial" w:cs="Arial"/>
          <w:sz w:val="20"/>
          <w:lang w:val="es-CL" w:eastAsia="ja-JP"/>
        </w:rPr>
        <w:t>cálculos</w:t>
      </w:r>
      <w:r>
        <w:rPr>
          <w:rFonts w:ascii="Arial" w:hAnsi="Arial" w:cs="Arial"/>
          <w:sz w:val="20"/>
          <w:lang w:val="es-CL" w:eastAsia="ja-JP"/>
        </w:rPr>
        <w:t xml:space="preserve"> en tiempo real e intradía se ejecutan durante los horarios de negociación en Bolsa del mercado de los EE.UU. para el caso de ciertos </w:t>
      </w:r>
      <w:r w:rsidR="007D240B">
        <w:rPr>
          <w:rFonts w:ascii="Arial" w:hAnsi="Arial" w:cs="Arial"/>
          <w:sz w:val="20"/>
          <w:lang w:val="es-CL" w:eastAsia="ja-JP"/>
        </w:rPr>
        <w:t>índices</w:t>
      </w:r>
      <w:r>
        <w:rPr>
          <w:rFonts w:ascii="Arial" w:hAnsi="Arial" w:cs="Arial"/>
          <w:sz w:val="20"/>
          <w:lang w:val="es-CL" w:eastAsia="ja-JP"/>
        </w:rPr>
        <w:t>.</w:t>
      </w:r>
      <w:r w:rsidR="00AF6580" w:rsidRPr="00AF6580">
        <w:rPr>
          <w:rFonts w:ascii="Arial" w:hAnsi="Arial" w:cs="Arial"/>
          <w:sz w:val="20"/>
          <w:lang w:val="es-CL" w:eastAsia="ja-JP"/>
        </w:rPr>
        <w:t xml:space="preserve"> </w:t>
      </w:r>
      <w:r w:rsidRPr="0004664F">
        <w:rPr>
          <w:rFonts w:ascii="Arial" w:hAnsi="Arial" w:cs="Arial"/>
          <w:sz w:val="20"/>
          <w:lang w:val="es-MX" w:eastAsia="ja-JP"/>
        </w:rPr>
        <w:t xml:space="preserve">Los índices en tiempo </w:t>
      </w:r>
      <w:r>
        <w:rPr>
          <w:rFonts w:ascii="Arial" w:hAnsi="Arial" w:cs="Arial"/>
          <w:sz w:val="20"/>
          <w:lang w:val="es-MX" w:eastAsia="ja-JP"/>
        </w:rPr>
        <w:t>r</w:t>
      </w:r>
      <w:r w:rsidRPr="0004664F">
        <w:rPr>
          <w:rFonts w:ascii="Arial" w:hAnsi="Arial" w:cs="Arial"/>
          <w:sz w:val="20"/>
          <w:lang w:val="es-MX" w:eastAsia="ja-JP"/>
        </w:rPr>
        <w:t>eal</w:t>
      </w:r>
      <w:r>
        <w:rPr>
          <w:rFonts w:ascii="Arial" w:hAnsi="Arial" w:cs="Arial"/>
          <w:sz w:val="20"/>
          <w:lang w:val="es-MX" w:eastAsia="ja-JP"/>
        </w:rPr>
        <w:t xml:space="preserve"> no se vuelven a recalcular</w:t>
      </w:r>
      <w:r w:rsidRPr="0004664F">
        <w:rPr>
          <w:rFonts w:ascii="Arial" w:hAnsi="Arial" w:cs="Arial"/>
          <w:sz w:val="20"/>
          <w:lang w:val="es-MX" w:eastAsia="ja-JP"/>
        </w:rPr>
        <w:t>.</w:t>
      </w:r>
    </w:p>
    <w:p w14:paraId="299AE6F0" w14:textId="77777777" w:rsidR="0069074C" w:rsidRPr="0069074C" w:rsidRDefault="0069074C" w:rsidP="0069074C">
      <w:pPr>
        <w:pStyle w:val="MethodologyText"/>
        <w:ind w:left="720"/>
        <w:rPr>
          <w:rFonts w:ascii="Arial" w:hAnsi="Arial" w:cs="Arial"/>
          <w:sz w:val="20"/>
          <w:lang w:val="es-MX" w:eastAsia="ja-JP"/>
        </w:rPr>
      </w:pPr>
    </w:p>
    <w:p w14:paraId="369A4A6C" w14:textId="77777777" w:rsidR="002F7815" w:rsidRDefault="003B0DD3" w:rsidP="002F7815">
      <w:pPr>
        <w:pStyle w:val="MethodologyText"/>
        <w:ind w:left="720"/>
        <w:rPr>
          <w:rFonts w:ascii="Arial" w:hAnsi="Arial" w:cs="Arial"/>
          <w:i/>
          <w:iCs/>
          <w:sz w:val="20"/>
          <w:szCs w:val="20"/>
          <w:lang w:val="es-MX"/>
        </w:rPr>
      </w:pPr>
      <w:r w:rsidRPr="003B0DD3">
        <w:rPr>
          <w:rFonts w:ascii="Arial" w:hAnsi="Arial" w:cs="Arial"/>
          <w:i/>
          <w:iCs/>
          <w:sz w:val="20"/>
          <w:lang w:val="es-CL"/>
        </w:rPr>
        <w:t xml:space="preserve">Para </w:t>
      </w:r>
      <w:r w:rsidR="00A97D41">
        <w:rPr>
          <w:rFonts w:ascii="Arial" w:hAnsi="Arial" w:cs="Arial"/>
          <w:i/>
          <w:iCs/>
          <w:sz w:val="20"/>
          <w:lang w:val="es-CL"/>
        </w:rPr>
        <w:t>mayor</w:t>
      </w:r>
      <w:r w:rsidR="0069074C">
        <w:rPr>
          <w:rFonts w:ascii="Arial" w:hAnsi="Arial" w:cs="Arial"/>
          <w:i/>
          <w:iCs/>
          <w:sz w:val="20"/>
          <w:lang w:val="es-CL"/>
        </w:rPr>
        <w:t xml:space="preserve"> información sobre Cálculos y Alteraciones de P</w:t>
      </w:r>
      <w:r w:rsidRPr="003B0DD3">
        <w:rPr>
          <w:rFonts w:ascii="Arial" w:hAnsi="Arial" w:cs="Arial"/>
          <w:i/>
          <w:iCs/>
          <w:sz w:val="20"/>
          <w:lang w:val="es-CL"/>
        </w:rPr>
        <w:t xml:space="preserve">recios, </w:t>
      </w:r>
      <w:r w:rsidR="0069074C">
        <w:rPr>
          <w:rFonts w:ascii="Arial" w:hAnsi="Arial" w:cs="Arial"/>
          <w:i/>
          <w:iCs/>
          <w:sz w:val="20"/>
          <w:lang w:val="es-CL"/>
        </w:rPr>
        <w:t>Juicio de Expertos y Jerarquía de D</w:t>
      </w:r>
      <w:r w:rsidRPr="003B0DD3">
        <w:rPr>
          <w:rFonts w:ascii="Arial" w:hAnsi="Arial" w:cs="Arial"/>
          <w:i/>
          <w:iCs/>
          <w:sz w:val="20"/>
          <w:lang w:val="es-CL"/>
        </w:rPr>
        <w:t xml:space="preserve">atos, consulte </w:t>
      </w:r>
      <w:r w:rsidR="002F7815">
        <w:rPr>
          <w:rFonts w:ascii="Arial" w:hAnsi="Arial" w:cs="Arial"/>
          <w:i/>
          <w:sz w:val="20"/>
          <w:lang w:val="es-CL"/>
        </w:rPr>
        <w:t>la Metodología de las Políticas y Prácticas de los Índices de Renta Variable de</w:t>
      </w:r>
      <w:r w:rsidR="002F7815" w:rsidRPr="00DA69A6">
        <w:rPr>
          <w:rFonts w:ascii="Arial" w:hAnsi="Arial" w:cs="Arial"/>
          <w:i/>
          <w:sz w:val="20"/>
          <w:lang w:val="es-CL"/>
        </w:rPr>
        <w:t xml:space="preserve"> </w:t>
      </w:r>
      <w:r w:rsidR="002F7815" w:rsidRPr="00BE4531">
        <w:rPr>
          <w:rFonts w:ascii="Arial" w:hAnsi="Arial" w:cs="Arial"/>
          <w:i/>
          <w:iCs/>
          <w:sz w:val="20"/>
          <w:szCs w:val="20"/>
          <w:lang w:val="es-MX"/>
        </w:rPr>
        <w:t>S&amp;P Dow Jones Indices</w:t>
      </w:r>
    </w:p>
    <w:p w14:paraId="5825E4C7" w14:textId="77777777" w:rsidR="002F7815" w:rsidRDefault="002F7815" w:rsidP="002F7815">
      <w:pPr>
        <w:pStyle w:val="Heading2"/>
        <w:ind w:left="720"/>
        <w:rPr>
          <w:rFonts w:ascii="Arial" w:hAnsi="Arial" w:cs="Arial"/>
          <w:sz w:val="20"/>
          <w:szCs w:val="20"/>
          <w:lang w:val="es-MX"/>
        </w:rPr>
      </w:pPr>
      <w:bookmarkStart w:id="43" w:name="_Toc513475738"/>
      <w:bookmarkStart w:id="44" w:name="_Toc198540703"/>
      <w:r>
        <w:rPr>
          <w:rFonts w:ascii="Arial" w:hAnsi="Arial" w:cs="Arial"/>
          <w:sz w:val="20"/>
          <w:szCs w:val="20"/>
          <w:lang w:val="es-MX"/>
        </w:rPr>
        <w:t>Información de Contacto</w:t>
      </w:r>
      <w:bookmarkEnd w:id="43"/>
      <w:bookmarkEnd w:id="44"/>
    </w:p>
    <w:p w14:paraId="40C69470" w14:textId="77777777" w:rsidR="002F7815" w:rsidRPr="002F78E3" w:rsidRDefault="002F7815" w:rsidP="002F7815">
      <w:pPr>
        <w:ind w:left="720"/>
        <w:rPr>
          <w:rFonts w:ascii="Arial" w:hAnsi="Arial" w:cs="Arial"/>
          <w:sz w:val="20"/>
          <w:szCs w:val="20"/>
          <w:lang w:val="es-MX"/>
        </w:rPr>
      </w:pPr>
      <w:r w:rsidRPr="00396050">
        <w:rPr>
          <w:rFonts w:ascii="Arial" w:hAnsi="Arial" w:cs="Arial"/>
          <w:bCs/>
          <w:sz w:val="20"/>
          <w:szCs w:val="20"/>
          <w:lang w:val="es-MX"/>
        </w:rPr>
        <w:t>Por favor envíe sus dudas y comentarios al siguiente correo electrónico:</w:t>
      </w:r>
      <w:r w:rsidRPr="00396050">
        <w:rPr>
          <w:rFonts w:ascii="Arial" w:hAnsi="Arial" w:cs="Arial"/>
          <w:sz w:val="20"/>
          <w:szCs w:val="20"/>
          <w:lang w:val="es-MX"/>
        </w:rPr>
        <w:t xml:space="preserve"> </w:t>
      </w:r>
      <w:hyperlink r:id="rId24" w:history="1">
        <w:r w:rsidRPr="002F78E3">
          <w:rPr>
            <w:rStyle w:val="Hyperlink"/>
            <w:rFonts w:ascii="Arial" w:hAnsi="Arial" w:cs="Arial"/>
            <w:sz w:val="20"/>
            <w:szCs w:val="20"/>
            <w:lang w:val="es-MX" w:eastAsia="ja-JP"/>
          </w:rPr>
          <w:t>index_services@spglobal.com</w:t>
        </w:r>
      </w:hyperlink>
    </w:p>
    <w:p w14:paraId="1D3966FB" w14:textId="77777777" w:rsidR="002F7815" w:rsidRPr="002F7815" w:rsidRDefault="002F7815" w:rsidP="002F7815">
      <w:pPr>
        <w:pStyle w:val="MethodologyText"/>
        <w:ind w:left="720"/>
        <w:rPr>
          <w:rFonts w:ascii="Arial" w:hAnsi="Arial" w:cs="Arial"/>
          <w:i/>
          <w:sz w:val="20"/>
          <w:lang w:val="es-MX"/>
        </w:rPr>
      </w:pPr>
    </w:p>
    <w:p w14:paraId="3E3059F0" w14:textId="77777777" w:rsidR="00256D07" w:rsidRPr="00773552" w:rsidRDefault="00256D07" w:rsidP="002F7815">
      <w:pPr>
        <w:pStyle w:val="MethodologyText"/>
        <w:ind w:left="720"/>
        <w:rPr>
          <w:lang w:val="es-CL"/>
        </w:rPr>
      </w:pPr>
    </w:p>
    <w:p w14:paraId="5FF73336" w14:textId="77777777" w:rsidR="00256D07" w:rsidRPr="00773552" w:rsidRDefault="00256D07" w:rsidP="00686EDA">
      <w:pPr>
        <w:pStyle w:val="MethodologyText"/>
        <w:ind w:left="0"/>
        <w:rPr>
          <w:lang w:val="es-CL"/>
        </w:rPr>
        <w:sectPr w:rsidR="00256D07" w:rsidRPr="00773552" w:rsidSect="009B5CA0">
          <w:pgSz w:w="12240" w:h="15840"/>
          <w:pgMar w:top="1440" w:right="720" w:bottom="720" w:left="720" w:header="720" w:footer="720" w:gutter="0"/>
          <w:cols w:space="720"/>
          <w:docGrid w:linePitch="360"/>
        </w:sectPr>
      </w:pPr>
    </w:p>
    <w:p w14:paraId="29749575" w14:textId="77777777" w:rsidR="00256D07" w:rsidRPr="00794488" w:rsidRDefault="00A857E4" w:rsidP="009B5CA0">
      <w:pPr>
        <w:pStyle w:val="Heading1"/>
        <w:ind w:left="720"/>
        <w:rPr>
          <w:rFonts w:ascii="Arial" w:hAnsi="Arial" w:cs="Arial"/>
          <w:lang w:val="es-CL"/>
        </w:rPr>
      </w:pPr>
      <w:bookmarkStart w:id="45" w:name="_Toc198540704"/>
      <w:r w:rsidRPr="00794488">
        <w:rPr>
          <w:rFonts w:ascii="Arial" w:hAnsi="Arial" w:cs="Arial"/>
          <w:lang w:val="es-CL"/>
        </w:rPr>
        <w:t>Difusión del índice</w:t>
      </w:r>
      <w:bookmarkEnd w:id="45"/>
    </w:p>
    <w:p w14:paraId="78966020" w14:textId="6F418E83" w:rsidR="00794488" w:rsidRDefault="00794488" w:rsidP="009B5CA0">
      <w:pPr>
        <w:pStyle w:val="MethodologyText"/>
        <w:spacing w:before="240"/>
        <w:ind w:left="720"/>
        <w:rPr>
          <w:rFonts w:ascii="Arial" w:hAnsi="Arial" w:cs="Arial"/>
          <w:sz w:val="20"/>
          <w:lang w:val="es-CL"/>
        </w:rPr>
      </w:pPr>
      <w:r w:rsidRPr="00794488">
        <w:rPr>
          <w:rFonts w:ascii="Arial" w:hAnsi="Arial" w:cs="Arial"/>
          <w:sz w:val="20"/>
          <w:lang w:val="es-CL"/>
        </w:rPr>
        <w:t>Los niveles de los índices están disponibles a través del sitio web de S&amp;P Dow Jones Indices</w:t>
      </w:r>
      <w:r w:rsidR="00F8519C">
        <w:rPr>
          <w:rFonts w:ascii="Arial" w:hAnsi="Arial" w:cs="Arial"/>
          <w:sz w:val="20"/>
          <w:lang w:val="es-CL"/>
        </w:rPr>
        <w:t>,</w:t>
      </w:r>
      <w:r w:rsidRPr="00794488">
        <w:rPr>
          <w:rFonts w:ascii="Arial" w:hAnsi="Arial" w:cs="Arial"/>
          <w:sz w:val="20"/>
          <w:lang w:val="es-CL"/>
        </w:rPr>
        <w:t xml:space="preserve"> </w:t>
      </w:r>
      <w:hyperlink r:id="rId25" w:history="1">
        <w:r w:rsidR="00E3182B" w:rsidRPr="00E3182B">
          <w:rPr>
            <w:rStyle w:val="Hyperlink"/>
            <w:rFonts w:ascii="Arial" w:hAnsi="Arial" w:cs="Arial"/>
            <w:i/>
            <w:iCs/>
            <w:sz w:val="20"/>
            <w:szCs w:val="20"/>
            <w:lang w:val="es-MX"/>
          </w:rPr>
          <w:t>www.spglobal.com/spdji/</w:t>
        </w:r>
      </w:hyperlink>
      <w:r w:rsidRPr="00794488">
        <w:rPr>
          <w:rFonts w:ascii="Arial" w:hAnsi="Arial" w:cs="Arial"/>
          <w:sz w:val="20"/>
          <w:lang w:val="es-CL"/>
        </w:rPr>
        <w:t>,</w:t>
      </w:r>
      <w:r w:rsidR="00DC7C56">
        <w:rPr>
          <w:rFonts w:ascii="Arial" w:hAnsi="Arial" w:cs="Arial"/>
          <w:sz w:val="20"/>
          <w:lang w:val="es-CL"/>
        </w:rPr>
        <w:t xml:space="preserve"> </w:t>
      </w:r>
      <w:r w:rsidR="00CE26EF">
        <w:rPr>
          <w:rFonts w:ascii="Arial" w:hAnsi="Arial" w:cs="Arial"/>
          <w:sz w:val="20"/>
          <w:lang w:val="es-CL"/>
        </w:rPr>
        <w:t xml:space="preserve">de </w:t>
      </w:r>
      <w:r w:rsidRPr="00794488">
        <w:rPr>
          <w:rFonts w:ascii="Arial" w:hAnsi="Arial" w:cs="Arial"/>
          <w:sz w:val="20"/>
          <w:lang w:val="es-CL"/>
        </w:rPr>
        <w:t xml:space="preserve">los principales proveedores de cotizaciones (consulte los códigos a continuación), numerosos sitios web orientados a la inversión y </w:t>
      </w:r>
      <w:r w:rsidR="00CE26EF">
        <w:rPr>
          <w:rFonts w:ascii="Arial" w:hAnsi="Arial" w:cs="Arial"/>
          <w:sz w:val="20"/>
          <w:lang w:val="es-CL"/>
        </w:rPr>
        <w:t xml:space="preserve">de </w:t>
      </w:r>
      <w:r w:rsidRPr="00794488">
        <w:rPr>
          <w:rFonts w:ascii="Arial" w:hAnsi="Arial" w:cs="Arial"/>
          <w:sz w:val="20"/>
          <w:lang w:val="es-CL"/>
        </w:rPr>
        <w:t xml:space="preserve">diversos </w:t>
      </w:r>
      <w:r>
        <w:rPr>
          <w:rFonts w:ascii="Arial" w:hAnsi="Arial" w:cs="Arial"/>
          <w:sz w:val="20"/>
          <w:lang w:val="es-CL"/>
        </w:rPr>
        <w:t>medios impresos y electrónicos.</w:t>
      </w:r>
    </w:p>
    <w:p w14:paraId="3BF2956D" w14:textId="77777777" w:rsidR="00256D07" w:rsidRDefault="002F7815" w:rsidP="009B5CA0">
      <w:pPr>
        <w:pStyle w:val="Heading2"/>
        <w:ind w:left="720"/>
        <w:rPr>
          <w:rFonts w:ascii="Arial" w:hAnsi="Arial" w:cs="Arial"/>
          <w:sz w:val="20"/>
          <w:lang w:val="es-CL"/>
        </w:rPr>
      </w:pPr>
      <w:bookmarkStart w:id="46" w:name="_Toc198540705"/>
      <w:r>
        <w:rPr>
          <w:rFonts w:ascii="Arial" w:hAnsi="Arial" w:cs="Arial"/>
          <w:sz w:val="20"/>
          <w:lang w:val="es-CL"/>
        </w:rPr>
        <w:t>Tickers</w:t>
      </w:r>
      <w:bookmarkEnd w:id="46"/>
    </w:p>
    <w:p w14:paraId="45366B6F" w14:textId="77777777" w:rsidR="00652504" w:rsidRPr="00DA35F7" w:rsidRDefault="005A467E" w:rsidP="00652504">
      <w:pPr>
        <w:pStyle w:val="MethodologyText"/>
        <w:ind w:left="720"/>
        <w:rPr>
          <w:rFonts w:ascii="Arial" w:hAnsi="Arial" w:cs="Arial"/>
          <w:sz w:val="20"/>
          <w:szCs w:val="20"/>
          <w:lang w:val="es-MX"/>
        </w:rPr>
      </w:pPr>
      <w:r w:rsidRPr="00DA35F7">
        <w:rPr>
          <w:rFonts w:ascii="Arial" w:hAnsi="Arial" w:cs="Arial"/>
          <w:sz w:val="20"/>
          <w:lang w:val="es-MX"/>
        </w:rPr>
        <w:t>La siguiente tabla detalla los índices regidos por este documento. Todas las versiones que pudieran existir de los índices aquí mencionados también son cubiertos por esta metodología. Para obtener una lista de la variedad de índices disponibles, consulte la sección</w:t>
      </w:r>
      <w:r>
        <w:rPr>
          <w:rFonts w:ascii="Arial" w:hAnsi="Arial" w:cs="Arial"/>
          <w:sz w:val="20"/>
          <w:lang w:val="es-MX"/>
        </w:rPr>
        <w:t xml:space="preserve"> </w:t>
      </w:r>
      <w:hyperlink r:id="rId26" w:history="1">
        <w:r w:rsidR="00652504" w:rsidRPr="00652504">
          <w:rPr>
            <w:rStyle w:val="Hyperlink"/>
            <w:rFonts w:ascii="Arial" w:hAnsi="Arial" w:cs="Arial"/>
            <w:i/>
            <w:sz w:val="20"/>
            <w:szCs w:val="20"/>
            <w:lang w:val="es-MX"/>
          </w:rPr>
          <w:t>S&amp;P DJI Methodology &amp; Regulatory Status Database</w:t>
        </w:r>
      </w:hyperlink>
      <w:r w:rsidR="00652504" w:rsidRPr="00DA35F7">
        <w:rPr>
          <w:rFonts w:ascii="Arial" w:hAnsi="Arial" w:cs="Arial"/>
          <w:sz w:val="20"/>
          <w:szCs w:val="20"/>
          <w:lang w:val="es-MX"/>
        </w:rPr>
        <w:t xml:space="preserve"> </w:t>
      </w:r>
    </w:p>
    <w:p w14:paraId="1B274D05" w14:textId="53C45611" w:rsidR="002F7815" w:rsidRPr="005A467E" w:rsidRDefault="002F7815" w:rsidP="002F7815">
      <w:pPr>
        <w:pStyle w:val="MethodologyText"/>
        <w:ind w:left="720"/>
        <w:rPr>
          <w:rFonts w:ascii="Arial" w:hAnsi="Arial" w:cs="Arial"/>
          <w:sz w:val="20"/>
          <w:szCs w:val="20"/>
          <w:lang w:val="es-MX"/>
        </w:rPr>
      </w:pPr>
    </w:p>
    <w:tbl>
      <w:tblPr>
        <w:tblW w:w="9187" w:type="dxa"/>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43"/>
        <w:gridCol w:w="2070"/>
        <w:gridCol w:w="1080"/>
        <w:gridCol w:w="1094"/>
      </w:tblGrid>
      <w:tr w:rsidR="009B5CA0" w:rsidRPr="005D17EB" w14:paraId="5A8FB9CA" w14:textId="77777777" w:rsidTr="001B1046">
        <w:trPr>
          <w:trHeight w:val="53"/>
        </w:trPr>
        <w:tc>
          <w:tcPr>
            <w:tcW w:w="4943" w:type="dxa"/>
            <w:shd w:val="clear" w:color="auto" w:fill="000000" w:themeFill="text1"/>
            <w:vAlign w:val="center"/>
          </w:tcPr>
          <w:p w14:paraId="4DC28A1D" w14:textId="77777777" w:rsidR="003D7844" w:rsidRPr="005D17EB" w:rsidRDefault="009B10A1" w:rsidP="009B10A1">
            <w:pPr>
              <w:pStyle w:val="MethodologyText"/>
              <w:ind w:left="0" w:right="0"/>
              <w:jc w:val="center"/>
              <w:rPr>
                <w:rFonts w:ascii="Arial" w:hAnsi="Arial" w:cs="Arial"/>
                <w:b/>
                <w:bCs/>
                <w:sz w:val="18"/>
                <w:szCs w:val="18"/>
                <w:lang w:val="es-CL"/>
              </w:rPr>
            </w:pPr>
            <w:r>
              <w:rPr>
                <w:rFonts w:ascii="Arial" w:hAnsi="Arial" w:cs="Arial"/>
                <w:b/>
                <w:bCs/>
                <w:sz w:val="18"/>
                <w:szCs w:val="18"/>
                <w:lang w:val="es-CL"/>
              </w:rPr>
              <w:t>Índice</w:t>
            </w:r>
            <w:r w:rsidR="003D7844" w:rsidRPr="005D17EB">
              <w:rPr>
                <w:rFonts w:ascii="Arial" w:hAnsi="Arial" w:cs="Arial"/>
                <w:b/>
                <w:bCs/>
                <w:sz w:val="18"/>
                <w:szCs w:val="18"/>
                <w:lang w:val="es-CL"/>
              </w:rPr>
              <w:t xml:space="preserve"> (</w:t>
            </w:r>
            <w:r>
              <w:rPr>
                <w:rFonts w:ascii="Arial" w:hAnsi="Arial" w:cs="Arial"/>
                <w:b/>
                <w:bCs/>
                <w:sz w:val="18"/>
                <w:szCs w:val="18"/>
                <w:lang w:val="es-CL"/>
              </w:rPr>
              <w:t>moneda</w:t>
            </w:r>
            <w:r w:rsidR="00A20DE1">
              <w:rPr>
                <w:rFonts w:ascii="Arial" w:hAnsi="Arial" w:cs="Arial"/>
                <w:b/>
                <w:bCs/>
                <w:sz w:val="18"/>
                <w:szCs w:val="18"/>
                <w:lang w:val="es-CL"/>
              </w:rPr>
              <w:t xml:space="preserve"> de cálculo</w:t>
            </w:r>
            <w:r w:rsidR="003D7844" w:rsidRPr="005D17EB">
              <w:rPr>
                <w:rFonts w:ascii="Arial" w:hAnsi="Arial" w:cs="Arial"/>
                <w:b/>
                <w:bCs/>
                <w:sz w:val="18"/>
                <w:szCs w:val="18"/>
                <w:lang w:val="es-CL"/>
              </w:rPr>
              <w:t>)</w:t>
            </w:r>
          </w:p>
        </w:tc>
        <w:tc>
          <w:tcPr>
            <w:tcW w:w="2070" w:type="dxa"/>
            <w:shd w:val="clear" w:color="auto" w:fill="000000" w:themeFill="text1"/>
            <w:vAlign w:val="center"/>
          </w:tcPr>
          <w:p w14:paraId="3B395772" w14:textId="77777777" w:rsidR="003D7844" w:rsidRPr="005D17EB" w:rsidRDefault="00984EA9" w:rsidP="00984EA9">
            <w:pPr>
              <w:pStyle w:val="MethodologyText"/>
              <w:ind w:left="0" w:right="0"/>
              <w:jc w:val="center"/>
              <w:rPr>
                <w:rFonts w:ascii="Arial" w:hAnsi="Arial" w:cs="Arial"/>
                <w:b/>
                <w:bCs/>
                <w:sz w:val="18"/>
                <w:szCs w:val="18"/>
                <w:lang w:val="es-CL"/>
              </w:rPr>
            </w:pPr>
            <w:r>
              <w:rPr>
                <w:rFonts w:ascii="Arial" w:hAnsi="Arial" w:cs="Arial"/>
                <w:b/>
                <w:bCs/>
                <w:sz w:val="18"/>
                <w:szCs w:val="18"/>
                <w:lang w:val="es-CL"/>
              </w:rPr>
              <w:t xml:space="preserve">Tipo de </w:t>
            </w:r>
            <w:r w:rsidR="006951FA">
              <w:rPr>
                <w:rFonts w:ascii="Arial" w:hAnsi="Arial" w:cs="Arial"/>
                <w:b/>
                <w:bCs/>
                <w:sz w:val="18"/>
                <w:szCs w:val="18"/>
                <w:lang w:val="es-CL"/>
              </w:rPr>
              <w:t>r</w:t>
            </w:r>
            <w:r>
              <w:rPr>
                <w:rFonts w:ascii="Arial" w:hAnsi="Arial" w:cs="Arial"/>
                <w:b/>
                <w:bCs/>
                <w:sz w:val="18"/>
                <w:szCs w:val="18"/>
                <w:lang w:val="es-CL"/>
              </w:rPr>
              <w:t>entabilidad</w:t>
            </w:r>
          </w:p>
        </w:tc>
        <w:tc>
          <w:tcPr>
            <w:tcW w:w="1080" w:type="dxa"/>
            <w:shd w:val="clear" w:color="auto" w:fill="000000" w:themeFill="text1"/>
            <w:vAlign w:val="center"/>
          </w:tcPr>
          <w:p w14:paraId="21DC933F" w14:textId="3F1650C0" w:rsidR="003D7844" w:rsidRPr="005D17EB" w:rsidRDefault="003D7844" w:rsidP="000911DC">
            <w:pPr>
              <w:pStyle w:val="MethodologyText"/>
              <w:ind w:left="0" w:right="0"/>
              <w:jc w:val="center"/>
              <w:rPr>
                <w:rFonts w:ascii="Arial" w:hAnsi="Arial" w:cs="Arial"/>
                <w:b/>
                <w:bCs/>
                <w:sz w:val="18"/>
                <w:szCs w:val="18"/>
                <w:lang w:val="es-CL"/>
              </w:rPr>
            </w:pPr>
            <w:r w:rsidRPr="008375F8">
              <w:rPr>
                <w:rFonts w:ascii="Arial" w:hAnsi="Arial" w:cs="Arial"/>
                <w:b/>
                <w:bCs/>
                <w:spacing w:val="-10"/>
                <w:sz w:val="18"/>
                <w:szCs w:val="18"/>
                <w:lang w:val="es-CL"/>
              </w:rPr>
              <w:t>B</w:t>
            </w:r>
            <w:r w:rsidR="002D15E9">
              <w:rPr>
                <w:rFonts w:ascii="Arial" w:hAnsi="Arial" w:cs="Arial"/>
                <w:b/>
                <w:bCs/>
                <w:spacing w:val="-10"/>
                <w:sz w:val="18"/>
                <w:szCs w:val="18"/>
                <w:lang w:val="es-CL"/>
              </w:rPr>
              <w:t>BG</w:t>
            </w:r>
          </w:p>
        </w:tc>
        <w:tc>
          <w:tcPr>
            <w:tcW w:w="1094" w:type="dxa"/>
            <w:shd w:val="clear" w:color="auto" w:fill="000000" w:themeFill="text1"/>
            <w:vAlign w:val="center"/>
          </w:tcPr>
          <w:p w14:paraId="2609A1C5" w14:textId="73F4A8CC" w:rsidR="003D7844" w:rsidRPr="005D17EB" w:rsidRDefault="003D7844" w:rsidP="000911DC">
            <w:pPr>
              <w:pStyle w:val="MethodologyText"/>
              <w:ind w:left="0" w:right="0"/>
              <w:jc w:val="center"/>
              <w:rPr>
                <w:rFonts w:ascii="Arial" w:hAnsi="Arial" w:cs="Arial"/>
                <w:b/>
                <w:bCs/>
                <w:sz w:val="18"/>
                <w:szCs w:val="18"/>
                <w:lang w:val="es-CL"/>
              </w:rPr>
            </w:pPr>
            <w:r w:rsidRPr="005D17EB">
              <w:rPr>
                <w:rFonts w:ascii="Arial" w:hAnsi="Arial" w:cs="Arial"/>
                <w:b/>
                <w:bCs/>
                <w:sz w:val="18"/>
                <w:szCs w:val="18"/>
                <w:lang w:val="es-CL"/>
              </w:rPr>
              <w:t>R</w:t>
            </w:r>
            <w:r w:rsidR="009E0627">
              <w:rPr>
                <w:rFonts w:ascii="Arial" w:hAnsi="Arial" w:cs="Arial"/>
                <w:b/>
                <w:bCs/>
                <w:sz w:val="18"/>
                <w:szCs w:val="18"/>
                <w:lang w:val="es-CL"/>
              </w:rPr>
              <w:t>IC</w:t>
            </w:r>
          </w:p>
        </w:tc>
      </w:tr>
      <w:tr w:rsidR="0028385D" w:rsidRPr="005D17EB" w14:paraId="688AA282" w14:textId="77777777" w:rsidTr="001B1046">
        <w:tc>
          <w:tcPr>
            <w:tcW w:w="4943" w:type="dxa"/>
            <w:vMerge w:val="restart"/>
          </w:tcPr>
          <w:p w14:paraId="56D74F33" w14:textId="77777777" w:rsidR="00D13419" w:rsidRPr="00744BCC" w:rsidRDefault="00D13419" w:rsidP="003D7844">
            <w:pPr>
              <w:pStyle w:val="MethodologyText"/>
              <w:ind w:left="0" w:right="0"/>
              <w:rPr>
                <w:rFonts w:ascii="Arial" w:hAnsi="Arial" w:cs="Arial"/>
                <w:sz w:val="18"/>
                <w:szCs w:val="18"/>
              </w:rPr>
            </w:pPr>
            <w:r w:rsidRPr="00744BCC">
              <w:rPr>
                <w:rFonts w:ascii="Arial" w:hAnsi="Arial" w:cs="Arial"/>
                <w:sz w:val="18"/>
                <w:szCs w:val="18"/>
              </w:rPr>
              <w:t>Dow Jones Industrial Average™ (USD)</w:t>
            </w:r>
          </w:p>
        </w:tc>
        <w:tc>
          <w:tcPr>
            <w:tcW w:w="2070" w:type="dxa"/>
            <w:tcBorders>
              <w:bottom w:val="nil"/>
            </w:tcBorders>
          </w:tcPr>
          <w:p w14:paraId="1D06490C" w14:textId="77777777" w:rsidR="00D13419" w:rsidRPr="005D17EB" w:rsidRDefault="004C4C7A" w:rsidP="001B1046">
            <w:pPr>
              <w:pStyle w:val="MethodologyText"/>
              <w:ind w:left="0" w:right="0"/>
              <w:rPr>
                <w:rFonts w:ascii="Arial" w:hAnsi="Arial" w:cs="Arial"/>
                <w:sz w:val="18"/>
                <w:szCs w:val="18"/>
                <w:lang w:val="es-CL"/>
              </w:rPr>
            </w:pPr>
            <w:r>
              <w:rPr>
                <w:rFonts w:ascii="Arial" w:hAnsi="Arial" w:cs="Arial"/>
                <w:sz w:val="18"/>
                <w:szCs w:val="18"/>
                <w:lang w:val="es-CL"/>
              </w:rPr>
              <w:t>R</w:t>
            </w:r>
            <w:r w:rsidR="001B1046">
              <w:rPr>
                <w:rFonts w:ascii="Arial" w:hAnsi="Arial" w:cs="Arial"/>
                <w:sz w:val="18"/>
                <w:szCs w:val="18"/>
                <w:lang w:val="es-CL"/>
              </w:rPr>
              <w:t>entabilidad del</w:t>
            </w:r>
            <w:r>
              <w:rPr>
                <w:rFonts w:ascii="Arial" w:hAnsi="Arial" w:cs="Arial"/>
                <w:sz w:val="18"/>
                <w:szCs w:val="18"/>
                <w:lang w:val="es-CL"/>
              </w:rPr>
              <w:t xml:space="preserve"> precio</w:t>
            </w:r>
          </w:p>
        </w:tc>
        <w:tc>
          <w:tcPr>
            <w:tcW w:w="1080" w:type="dxa"/>
            <w:tcBorders>
              <w:bottom w:val="nil"/>
            </w:tcBorders>
          </w:tcPr>
          <w:p w14:paraId="152D0BF5" w14:textId="77777777" w:rsidR="00D13419" w:rsidRPr="005D17EB" w:rsidRDefault="00D13419" w:rsidP="00D13419">
            <w:pPr>
              <w:pStyle w:val="MethodologyText"/>
              <w:ind w:left="0" w:right="0"/>
              <w:rPr>
                <w:rFonts w:ascii="Arial" w:hAnsi="Arial" w:cs="Arial"/>
                <w:sz w:val="18"/>
                <w:szCs w:val="18"/>
                <w:lang w:val="es-CL"/>
              </w:rPr>
            </w:pPr>
            <w:r w:rsidRPr="005D17EB">
              <w:rPr>
                <w:rFonts w:ascii="Arial" w:hAnsi="Arial" w:cs="Arial"/>
                <w:sz w:val="18"/>
                <w:szCs w:val="18"/>
                <w:lang w:val="es-CL"/>
              </w:rPr>
              <w:t>DJI</w:t>
            </w:r>
          </w:p>
        </w:tc>
        <w:tc>
          <w:tcPr>
            <w:tcW w:w="1094" w:type="dxa"/>
            <w:tcBorders>
              <w:bottom w:val="nil"/>
            </w:tcBorders>
          </w:tcPr>
          <w:p w14:paraId="7C306B20" w14:textId="77777777" w:rsidR="00D13419" w:rsidRPr="005D17EB" w:rsidRDefault="00D13419" w:rsidP="00D13419">
            <w:pPr>
              <w:pStyle w:val="MethodologyText"/>
              <w:ind w:left="0" w:right="0"/>
              <w:rPr>
                <w:rFonts w:ascii="Arial" w:hAnsi="Arial" w:cs="Arial"/>
                <w:sz w:val="18"/>
                <w:szCs w:val="18"/>
                <w:lang w:val="es-CL"/>
              </w:rPr>
            </w:pPr>
            <w:r w:rsidRPr="005D17EB">
              <w:rPr>
                <w:rFonts w:ascii="Arial" w:hAnsi="Arial" w:cs="Arial"/>
                <w:sz w:val="18"/>
                <w:szCs w:val="18"/>
                <w:lang w:val="es-CL"/>
              </w:rPr>
              <w:t>.DJI</w:t>
            </w:r>
          </w:p>
        </w:tc>
      </w:tr>
      <w:tr w:rsidR="0028385D" w:rsidRPr="005D17EB" w14:paraId="06F0C8A9" w14:textId="77777777" w:rsidTr="001B1046">
        <w:tc>
          <w:tcPr>
            <w:tcW w:w="4943" w:type="dxa"/>
            <w:vMerge/>
          </w:tcPr>
          <w:p w14:paraId="2989470B" w14:textId="77777777" w:rsidR="00D13419" w:rsidRPr="005D17EB" w:rsidRDefault="00D13419" w:rsidP="003D7844">
            <w:pPr>
              <w:pStyle w:val="MethodologyText"/>
              <w:ind w:left="0" w:right="0"/>
              <w:rPr>
                <w:rFonts w:ascii="Arial" w:hAnsi="Arial" w:cs="Arial"/>
                <w:sz w:val="18"/>
                <w:szCs w:val="18"/>
                <w:lang w:val="es-CL"/>
              </w:rPr>
            </w:pPr>
          </w:p>
        </w:tc>
        <w:tc>
          <w:tcPr>
            <w:tcW w:w="2070" w:type="dxa"/>
            <w:tcBorders>
              <w:top w:val="nil"/>
              <w:bottom w:val="single" w:sz="4" w:space="0" w:color="auto"/>
            </w:tcBorders>
          </w:tcPr>
          <w:p w14:paraId="12774777" w14:textId="77777777" w:rsidR="00D13419" w:rsidRPr="005D17EB" w:rsidRDefault="004C4C7A" w:rsidP="002232D4">
            <w:pPr>
              <w:pStyle w:val="MethodologyText"/>
              <w:ind w:left="0" w:right="0"/>
              <w:rPr>
                <w:rFonts w:ascii="Arial" w:hAnsi="Arial" w:cs="Arial"/>
                <w:sz w:val="18"/>
                <w:szCs w:val="18"/>
                <w:lang w:val="es-CL"/>
              </w:rPr>
            </w:pPr>
            <w:r>
              <w:rPr>
                <w:rFonts w:ascii="Arial" w:hAnsi="Arial" w:cs="Arial"/>
                <w:sz w:val="18"/>
                <w:szCs w:val="18"/>
                <w:lang w:val="es-CL"/>
              </w:rPr>
              <w:t>Rentabilidad total</w:t>
            </w:r>
          </w:p>
        </w:tc>
        <w:tc>
          <w:tcPr>
            <w:tcW w:w="1080" w:type="dxa"/>
            <w:tcBorders>
              <w:top w:val="nil"/>
              <w:bottom w:val="single" w:sz="4" w:space="0" w:color="auto"/>
            </w:tcBorders>
          </w:tcPr>
          <w:p w14:paraId="04FD6B3D" w14:textId="77777777" w:rsidR="00D13419" w:rsidRPr="005D17EB" w:rsidRDefault="00D13419" w:rsidP="00D13419">
            <w:pPr>
              <w:pStyle w:val="MethodologyText"/>
              <w:ind w:left="0" w:right="0"/>
              <w:rPr>
                <w:rFonts w:ascii="Arial" w:hAnsi="Arial" w:cs="Arial"/>
                <w:sz w:val="18"/>
                <w:szCs w:val="18"/>
                <w:lang w:val="es-CL"/>
              </w:rPr>
            </w:pPr>
            <w:r w:rsidRPr="005D17EB">
              <w:rPr>
                <w:rFonts w:ascii="Arial" w:hAnsi="Arial" w:cs="Arial"/>
                <w:sz w:val="18"/>
                <w:szCs w:val="18"/>
                <w:lang w:val="es-CL"/>
              </w:rPr>
              <w:t>DJITR</w:t>
            </w:r>
          </w:p>
        </w:tc>
        <w:tc>
          <w:tcPr>
            <w:tcW w:w="1094" w:type="dxa"/>
            <w:tcBorders>
              <w:top w:val="nil"/>
              <w:bottom w:val="single" w:sz="4" w:space="0" w:color="auto"/>
            </w:tcBorders>
          </w:tcPr>
          <w:p w14:paraId="0907AFD2" w14:textId="77777777" w:rsidR="00D13419" w:rsidRPr="005D17EB" w:rsidRDefault="00D13419" w:rsidP="00D13419">
            <w:pPr>
              <w:pStyle w:val="MethodologyText"/>
              <w:ind w:left="0" w:right="0"/>
              <w:rPr>
                <w:rFonts w:ascii="Arial" w:hAnsi="Arial" w:cs="Arial"/>
                <w:sz w:val="18"/>
                <w:szCs w:val="18"/>
                <w:lang w:val="es-CL"/>
              </w:rPr>
            </w:pPr>
            <w:r w:rsidRPr="005D17EB">
              <w:rPr>
                <w:rFonts w:ascii="Arial" w:hAnsi="Arial" w:cs="Arial"/>
                <w:sz w:val="18"/>
                <w:szCs w:val="18"/>
                <w:lang w:val="es-CL"/>
              </w:rPr>
              <w:t>.DJITR</w:t>
            </w:r>
          </w:p>
        </w:tc>
      </w:tr>
      <w:tr w:rsidR="001B1046" w:rsidRPr="005D17EB" w14:paraId="5847001B" w14:textId="77777777" w:rsidTr="001B1046">
        <w:tc>
          <w:tcPr>
            <w:tcW w:w="4943" w:type="dxa"/>
            <w:vMerge w:val="restart"/>
          </w:tcPr>
          <w:p w14:paraId="5E4EA5CD" w14:textId="77777777" w:rsidR="001B1046" w:rsidRPr="00744BCC" w:rsidRDefault="001B1046" w:rsidP="001B1046">
            <w:pPr>
              <w:pStyle w:val="MethodologyText"/>
              <w:ind w:left="0" w:right="0"/>
              <w:rPr>
                <w:rFonts w:ascii="Arial" w:hAnsi="Arial" w:cs="Arial"/>
                <w:sz w:val="18"/>
                <w:szCs w:val="18"/>
              </w:rPr>
            </w:pPr>
            <w:r w:rsidRPr="00744BCC">
              <w:rPr>
                <w:rFonts w:ascii="Arial" w:hAnsi="Arial" w:cs="Arial"/>
                <w:sz w:val="18"/>
                <w:szCs w:val="18"/>
              </w:rPr>
              <w:t>Dow Jones Transportation Average™ (USD)</w:t>
            </w:r>
          </w:p>
        </w:tc>
        <w:tc>
          <w:tcPr>
            <w:tcW w:w="2070" w:type="dxa"/>
            <w:tcBorders>
              <w:top w:val="single" w:sz="4" w:space="0" w:color="auto"/>
              <w:bottom w:val="nil"/>
            </w:tcBorders>
          </w:tcPr>
          <w:p w14:paraId="0A3BA256" w14:textId="77777777" w:rsidR="001B1046" w:rsidRPr="005D17EB" w:rsidRDefault="001B1046" w:rsidP="001B1046">
            <w:pPr>
              <w:pStyle w:val="MethodologyText"/>
              <w:ind w:left="0" w:right="0"/>
              <w:rPr>
                <w:rFonts w:ascii="Arial" w:hAnsi="Arial" w:cs="Arial"/>
                <w:sz w:val="18"/>
                <w:szCs w:val="18"/>
                <w:lang w:val="es-CL"/>
              </w:rPr>
            </w:pPr>
            <w:r>
              <w:rPr>
                <w:rFonts w:ascii="Arial" w:hAnsi="Arial" w:cs="Arial"/>
                <w:sz w:val="18"/>
                <w:szCs w:val="18"/>
                <w:lang w:val="es-CL"/>
              </w:rPr>
              <w:t>Rentabilidad del precio</w:t>
            </w:r>
          </w:p>
        </w:tc>
        <w:tc>
          <w:tcPr>
            <w:tcW w:w="1080" w:type="dxa"/>
            <w:tcBorders>
              <w:top w:val="single" w:sz="4" w:space="0" w:color="auto"/>
              <w:bottom w:val="nil"/>
            </w:tcBorders>
          </w:tcPr>
          <w:p w14:paraId="2CCF7032" w14:textId="77777777" w:rsidR="001B1046" w:rsidRPr="005D17EB" w:rsidRDefault="001B1046" w:rsidP="001B1046">
            <w:pPr>
              <w:pStyle w:val="MethodologyText"/>
              <w:ind w:left="0" w:right="0"/>
              <w:rPr>
                <w:rFonts w:ascii="Arial" w:hAnsi="Arial" w:cs="Arial"/>
                <w:sz w:val="18"/>
                <w:szCs w:val="18"/>
                <w:lang w:val="es-CL"/>
              </w:rPr>
            </w:pPr>
            <w:r w:rsidRPr="005D17EB">
              <w:rPr>
                <w:rFonts w:ascii="Arial" w:hAnsi="Arial" w:cs="Arial"/>
                <w:sz w:val="18"/>
                <w:szCs w:val="18"/>
                <w:lang w:val="es-CL"/>
              </w:rPr>
              <w:t>TRAN</w:t>
            </w:r>
          </w:p>
        </w:tc>
        <w:tc>
          <w:tcPr>
            <w:tcW w:w="1094" w:type="dxa"/>
            <w:tcBorders>
              <w:top w:val="single" w:sz="4" w:space="0" w:color="auto"/>
              <w:bottom w:val="nil"/>
            </w:tcBorders>
          </w:tcPr>
          <w:p w14:paraId="2D0FF56C" w14:textId="77777777" w:rsidR="001B1046" w:rsidRPr="005D17EB" w:rsidRDefault="001B1046" w:rsidP="001B1046">
            <w:pPr>
              <w:pStyle w:val="MethodologyText"/>
              <w:ind w:left="0" w:right="0"/>
              <w:rPr>
                <w:rFonts w:ascii="Arial" w:hAnsi="Arial" w:cs="Arial"/>
                <w:sz w:val="18"/>
                <w:szCs w:val="18"/>
                <w:lang w:val="es-CL"/>
              </w:rPr>
            </w:pPr>
            <w:r w:rsidRPr="005D17EB">
              <w:rPr>
                <w:rFonts w:ascii="Arial" w:hAnsi="Arial" w:cs="Arial"/>
                <w:sz w:val="18"/>
                <w:szCs w:val="18"/>
                <w:lang w:val="es-CL"/>
              </w:rPr>
              <w:t>.DJT</w:t>
            </w:r>
          </w:p>
        </w:tc>
      </w:tr>
      <w:tr w:rsidR="001B1046" w:rsidRPr="005D17EB" w14:paraId="514F7A0A" w14:textId="77777777" w:rsidTr="001B1046">
        <w:tc>
          <w:tcPr>
            <w:tcW w:w="4943" w:type="dxa"/>
            <w:vMerge/>
          </w:tcPr>
          <w:p w14:paraId="36DBFDC7" w14:textId="77777777" w:rsidR="001B1046" w:rsidRPr="005D17EB" w:rsidRDefault="001B1046" w:rsidP="001B1046">
            <w:pPr>
              <w:pStyle w:val="MethodologyText"/>
              <w:ind w:left="0" w:right="0"/>
              <w:rPr>
                <w:rFonts w:ascii="Arial" w:hAnsi="Arial" w:cs="Arial"/>
                <w:sz w:val="18"/>
                <w:szCs w:val="18"/>
                <w:lang w:val="es-CL"/>
              </w:rPr>
            </w:pPr>
          </w:p>
        </w:tc>
        <w:tc>
          <w:tcPr>
            <w:tcW w:w="2070" w:type="dxa"/>
            <w:tcBorders>
              <w:top w:val="nil"/>
              <w:bottom w:val="single" w:sz="4" w:space="0" w:color="auto"/>
            </w:tcBorders>
          </w:tcPr>
          <w:p w14:paraId="30A37956" w14:textId="77777777" w:rsidR="001B1046" w:rsidRPr="005D17EB" w:rsidRDefault="001B1046" w:rsidP="001B1046">
            <w:pPr>
              <w:pStyle w:val="MethodologyText"/>
              <w:ind w:left="0" w:right="0"/>
              <w:rPr>
                <w:rFonts w:ascii="Arial" w:hAnsi="Arial" w:cs="Arial"/>
                <w:sz w:val="18"/>
                <w:szCs w:val="18"/>
                <w:lang w:val="es-CL"/>
              </w:rPr>
            </w:pPr>
            <w:r>
              <w:rPr>
                <w:rFonts w:ascii="Arial" w:hAnsi="Arial" w:cs="Arial"/>
                <w:sz w:val="18"/>
                <w:szCs w:val="18"/>
                <w:lang w:val="es-CL"/>
              </w:rPr>
              <w:t>Rentabilidad total</w:t>
            </w:r>
          </w:p>
        </w:tc>
        <w:tc>
          <w:tcPr>
            <w:tcW w:w="1080" w:type="dxa"/>
            <w:tcBorders>
              <w:top w:val="nil"/>
              <w:bottom w:val="single" w:sz="4" w:space="0" w:color="auto"/>
            </w:tcBorders>
          </w:tcPr>
          <w:p w14:paraId="0A729B02" w14:textId="77777777" w:rsidR="001B1046" w:rsidRPr="005D17EB" w:rsidRDefault="001B1046" w:rsidP="001B1046">
            <w:pPr>
              <w:pStyle w:val="MethodologyText"/>
              <w:ind w:left="0" w:right="0"/>
              <w:rPr>
                <w:rFonts w:ascii="Arial" w:hAnsi="Arial" w:cs="Arial"/>
                <w:sz w:val="18"/>
                <w:szCs w:val="18"/>
                <w:lang w:val="es-CL"/>
              </w:rPr>
            </w:pPr>
            <w:r w:rsidRPr="005D17EB">
              <w:rPr>
                <w:rFonts w:ascii="Arial" w:hAnsi="Arial" w:cs="Arial"/>
                <w:sz w:val="18"/>
                <w:szCs w:val="18"/>
                <w:lang w:val="es-CL"/>
              </w:rPr>
              <w:t>DJTTR</w:t>
            </w:r>
          </w:p>
        </w:tc>
        <w:tc>
          <w:tcPr>
            <w:tcW w:w="1094" w:type="dxa"/>
            <w:tcBorders>
              <w:top w:val="nil"/>
              <w:bottom w:val="single" w:sz="4" w:space="0" w:color="auto"/>
            </w:tcBorders>
          </w:tcPr>
          <w:p w14:paraId="69B14922" w14:textId="77777777" w:rsidR="001B1046" w:rsidRPr="005D17EB" w:rsidRDefault="001B1046" w:rsidP="001B1046">
            <w:pPr>
              <w:pStyle w:val="MethodologyText"/>
              <w:ind w:left="0" w:right="0"/>
              <w:rPr>
                <w:rFonts w:ascii="Arial" w:hAnsi="Arial" w:cs="Arial"/>
                <w:sz w:val="18"/>
                <w:szCs w:val="18"/>
                <w:lang w:val="es-CL"/>
              </w:rPr>
            </w:pPr>
            <w:r w:rsidRPr="005D17EB">
              <w:rPr>
                <w:rFonts w:ascii="Arial" w:hAnsi="Arial" w:cs="Arial"/>
                <w:sz w:val="18"/>
                <w:szCs w:val="18"/>
                <w:lang w:val="es-CL"/>
              </w:rPr>
              <w:t>.DJTTR</w:t>
            </w:r>
          </w:p>
        </w:tc>
      </w:tr>
      <w:tr w:rsidR="001B1046" w:rsidRPr="005D17EB" w14:paraId="2137A1B5" w14:textId="77777777" w:rsidTr="001B1046">
        <w:tc>
          <w:tcPr>
            <w:tcW w:w="4943" w:type="dxa"/>
            <w:vMerge w:val="restart"/>
          </w:tcPr>
          <w:p w14:paraId="71099F8E" w14:textId="77777777" w:rsidR="001B1046" w:rsidRPr="00744BCC" w:rsidRDefault="001B1046" w:rsidP="001B1046">
            <w:pPr>
              <w:pStyle w:val="MethodologyText"/>
              <w:ind w:left="0" w:right="0"/>
              <w:rPr>
                <w:rFonts w:ascii="Arial" w:hAnsi="Arial" w:cs="Arial"/>
                <w:sz w:val="18"/>
                <w:szCs w:val="18"/>
              </w:rPr>
            </w:pPr>
            <w:r w:rsidRPr="00744BCC">
              <w:rPr>
                <w:rFonts w:ascii="Arial" w:hAnsi="Arial" w:cs="Arial"/>
                <w:sz w:val="18"/>
                <w:szCs w:val="18"/>
              </w:rPr>
              <w:t>Dow Jones Utility Average™ (USD)</w:t>
            </w:r>
          </w:p>
        </w:tc>
        <w:tc>
          <w:tcPr>
            <w:tcW w:w="2070" w:type="dxa"/>
            <w:tcBorders>
              <w:top w:val="single" w:sz="4" w:space="0" w:color="auto"/>
              <w:bottom w:val="nil"/>
            </w:tcBorders>
          </w:tcPr>
          <w:p w14:paraId="193B0732" w14:textId="77777777" w:rsidR="001B1046" w:rsidRPr="005D17EB" w:rsidRDefault="001B1046" w:rsidP="001B1046">
            <w:pPr>
              <w:pStyle w:val="MethodologyText"/>
              <w:ind w:left="0" w:right="0"/>
              <w:rPr>
                <w:rFonts w:ascii="Arial" w:hAnsi="Arial" w:cs="Arial"/>
                <w:sz w:val="18"/>
                <w:szCs w:val="18"/>
                <w:lang w:val="es-CL"/>
              </w:rPr>
            </w:pPr>
            <w:r>
              <w:rPr>
                <w:rFonts w:ascii="Arial" w:hAnsi="Arial" w:cs="Arial"/>
                <w:sz w:val="18"/>
                <w:szCs w:val="18"/>
                <w:lang w:val="es-CL"/>
              </w:rPr>
              <w:t>Rentabilidad del precio</w:t>
            </w:r>
          </w:p>
        </w:tc>
        <w:tc>
          <w:tcPr>
            <w:tcW w:w="1080" w:type="dxa"/>
            <w:tcBorders>
              <w:top w:val="single" w:sz="4" w:space="0" w:color="auto"/>
              <w:bottom w:val="nil"/>
            </w:tcBorders>
          </w:tcPr>
          <w:p w14:paraId="088FBF57" w14:textId="77777777" w:rsidR="001B1046" w:rsidRPr="005D17EB" w:rsidRDefault="001B1046" w:rsidP="001B1046">
            <w:pPr>
              <w:pStyle w:val="MethodologyText"/>
              <w:ind w:left="0" w:right="0"/>
              <w:rPr>
                <w:rFonts w:ascii="Arial" w:hAnsi="Arial" w:cs="Arial"/>
                <w:sz w:val="18"/>
                <w:szCs w:val="18"/>
                <w:lang w:val="es-CL"/>
              </w:rPr>
            </w:pPr>
            <w:r w:rsidRPr="005D17EB">
              <w:rPr>
                <w:rFonts w:ascii="Arial" w:hAnsi="Arial" w:cs="Arial"/>
                <w:sz w:val="18"/>
                <w:szCs w:val="18"/>
                <w:lang w:val="es-CL"/>
              </w:rPr>
              <w:t>UTIL</w:t>
            </w:r>
          </w:p>
        </w:tc>
        <w:tc>
          <w:tcPr>
            <w:tcW w:w="1094" w:type="dxa"/>
            <w:tcBorders>
              <w:top w:val="single" w:sz="4" w:space="0" w:color="auto"/>
              <w:bottom w:val="nil"/>
            </w:tcBorders>
          </w:tcPr>
          <w:p w14:paraId="0DAC2C99" w14:textId="77777777" w:rsidR="001B1046" w:rsidRPr="005D17EB" w:rsidRDefault="001B1046" w:rsidP="001B1046">
            <w:pPr>
              <w:pStyle w:val="MethodologyText"/>
              <w:ind w:left="0" w:right="0"/>
              <w:rPr>
                <w:rFonts w:ascii="Arial" w:hAnsi="Arial" w:cs="Arial"/>
                <w:sz w:val="18"/>
                <w:szCs w:val="18"/>
                <w:lang w:val="es-CL"/>
              </w:rPr>
            </w:pPr>
            <w:r w:rsidRPr="005D17EB">
              <w:rPr>
                <w:rFonts w:ascii="Arial" w:hAnsi="Arial" w:cs="Arial"/>
                <w:sz w:val="18"/>
                <w:szCs w:val="18"/>
                <w:lang w:val="es-CL"/>
              </w:rPr>
              <w:t>.DJU</w:t>
            </w:r>
          </w:p>
        </w:tc>
      </w:tr>
      <w:tr w:rsidR="001B1046" w:rsidRPr="005D17EB" w14:paraId="7B6BFDFA" w14:textId="77777777" w:rsidTr="001B1046">
        <w:tc>
          <w:tcPr>
            <w:tcW w:w="4943" w:type="dxa"/>
            <w:vMerge/>
          </w:tcPr>
          <w:p w14:paraId="6E43521A" w14:textId="77777777" w:rsidR="001B1046" w:rsidRPr="005D17EB" w:rsidRDefault="001B1046" w:rsidP="001B1046">
            <w:pPr>
              <w:pStyle w:val="MethodologyText"/>
              <w:ind w:left="0" w:right="0"/>
              <w:rPr>
                <w:rFonts w:ascii="Arial" w:hAnsi="Arial" w:cs="Arial"/>
                <w:sz w:val="18"/>
                <w:szCs w:val="18"/>
                <w:lang w:val="es-CL"/>
              </w:rPr>
            </w:pPr>
          </w:p>
        </w:tc>
        <w:tc>
          <w:tcPr>
            <w:tcW w:w="2070" w:type="dxa"/>
            <w:tcBorders>
              <w:top w:val="nil"/>
              <w:bottom w:val="single" w:sz="4" w:space="0" w:color="auto"/>
            </w:tcBorders>
          </w:tcPr>
          <w:p w14:paraId="27B195E0" w14:textId="77777777" w:rsidR="001B1046" w:rsidRPr="005D17EB" w:rsidRDefault="001B1046" w:rsidP="001B1046">
            <w:pPr>
              <w:pStyle w:val="MethodologyText"/>
              <w:ind w:left="0" w:right="0"/>
              <w:rPr>
                <w:rFonts w:ascii="Arial" w:hAnsi="Arial" w:cs="Arial"/>
                <w:sz w:val="18"/>
                <w:szCs w:val="18"/>
                <w:lang w:val="es-CL"/>
              </w:rPr>
            </w:pPr>
            <w:r>
              <w:rPr>
                <w:rFonts w:ascii="Arial" w:hAnsi="Arial" w:cs="Arial"/>
                <w:sz w:val="18"/>
                <w:szCs w:val="18"/>
                <w:lang w:val="es-CL"/>
              </w:rPr>
              <w:t>Rentabilidad total</w:t>
            </w:r>
          </w:p>
        </w:tc>
        <w:tc>
          <w:tcPr>
            <w:tcW w:w="1080" w:type="dxa"/>
            <w:tcBorders>
              <w:top w:val="nil"/>
              <w:bottom w:val="single" w:sz="4" w:space="0" w:color="auto"/>
            </w:tcBorders>
          </w:tcPr>
          <w:p w14:paraId="62CF718A" w14:textId="77777777" w:rsidR="001B1046" w:rsidRPr="005D17EB" w:rsidRDefault="001B1046" w:rsidP="001B1046">
            <w:pPr>
              <w:pStyle w:val="MethodologyText"/>
              <w:ind w:left="0" w:right="0"/>
              <w:rPr>
                <w:rFonts w:ascii="Arial" w:hAnsi="Arial" w:cs="Arial"/>
                <w:sz w:val="18"/>
                <w:szCs w:val="18"/>
                <w:lang w:val="es-CL"/>
              </w:rPr>
            </w:pPr>
            <w:r w:rsidRPr="005D17EB">
              <w:rPr>
                <w:rFonts w:ascii="Arial" w:hAnsi="Arial" w:cs="Arial"/>
                <w:sz w:val="18"/>
                <w:szCs w:val="18"/>
                <w:lang w:val="es-CL"/>
              </w:rPr>
              <w:t>DJUTR</w:t>
            </w:r>
          </w:p>
        </w:tc>
        <w:tc>
          <w:tcPr>
            <w:tcW w:w="1094" w:type="dxa"/>
            <w:tcBorders>
              <w:top w:val="nil"/>
              <w:bottom w:val="single" w:sz="4" w:space="0" w:color="auto"/>
            </w:tcBorders>
          </w:tcPr>
          <w:p w14:paraId="4B4399B1" w14:textId="77777777" w:rsidR="001B1046" w:rsidRPr="005D17EB" w:rsidRDefault="001B1046" w:rsidP="001B1046">
            <w:pPr>
              <w:pStyle w:val="MethodologyText"/>
              <w:ind w:left="0" w:right="0"/>
              <w:rPr>
                <w:rFonts w:ascii="Arial" w:hAnsi="Arial" w:cs="Arial"/>
                <w:sz w:val="18"/>
                <w:szCs w:val="18"/>
                <w:lang w:val="es-CL"/>
              </w:rPr>
            </w:pPr>
            <w:r w:rsidRPr="005D17EB">
              <w:rPr>
                <w:rFonts w:ascii="Arial" w:hAnsi="Arial" w:cs="Arial"/>
                <w:sz w:val="18"/>
                <w:szCs w:val="18"/>
                <w:lang w:val="es-CL"/>
              </w:rPr>
              <w:t>.DJUTR</w:t>
            </w:r>
          </w:p>
        </w:tc>
      </w:tr>
      <w:tr w:rsidR="001B1046" w:rsidRPr="005D17EB" w14:paraId="7835982E" w14:textId="77777777" w:rsidTr="001B1046">
        <w:tc>
          <w:tcPr>
            <w:tcW w:w="4943" w:type="dxa"/>
            <w:vMerge w:val="restart"/>
          </w:tcPr>
          <w:p w14:paraId="78FB687D" w14:textId="77777777" w:rsidR="001B1046" w:rsidRPr="00A26051" w:rsidRDefault="001B1046" w:rsidP="001B1046">
            <w:pPr>
              <w:pStyle w:val="MethodologyText"/>
              <w:ind w:left="0" w:right="0"/>
              <w:rPr>
                <w:rFonts w:ascii="Arial" w:hAnsi="Arial" w:cs="Arial"/>
                <w:sz w:val="18"/>
                <w:szCs w:val="18"/>
              </w:rPr>
            </w:pPr>
            <w:r w:rsidRPr="00A26051">
              <w:rPr>
                <w:rFonts w:ascii="Arial" w:hAnsi="Arial" w:cs="Arial"/>
                <w:sz w:val="18"/>
                <w:szCs w:val="18"/>
              </w:rPr>
              <w:t>Dow Jones Composite Average™ (USD)</w:t>
            </w:r>
          </w:p>
        </w:tc>
        <w:tc>
          <w:tcPr>
            <w:tcW w:w="2070" w:type="dxa"/>
            <w:tcBorders>
              <w:top w:val="single" w:sz="4" w:space="0" w:color="auto"/>
              <w:bottom w:val="nil"/>
            </w:tcBorders>
          </w:tcPr>
          <w:p w14:paraId="5FE4693C" w14:textId="77777777" w:rsidR="001B1046" w:rsidRPr="005D17EB" w:rsidRDefault="001B1046" w:rsidP="001B1046">
            <w:pPr>
              <w:pStyle w:val="MethodologyText"/>
              <w:ind w:left="0" w:right="0"/>
              <w:rPr>
                <w:rFonts w:ascii="Arial" w:hAnsi="Arial" w:cs="Arial"/>
                <w:sz w:val="18"/>
                <w:szCs w:val="18"/>
                <w:lang w:val="es-CL"/>
              </w:rPr>
            </w:pPr>
            <w:r>
              <w:rPr>
                <w:rFonts w:ascii="Arial" w:hAnsi="Arial" w:cs="Arial"/>
                <w:sz w:val="18"/>
                <w:szCs w:val="18"/>
                <w:lang w:val="es-CL"/>
              </w:rPr>
              <w:t>Rentabilidad del precio</w:t>
            </w:r>
          </w:p>
        </w:tc>
        <w:tc>
          <w:tcPr>
            <w:tcW w:w="1080" w:type="dxa"/>
            <w:tcBorders>
              <w:top w:val="single" w:sz="4" w:space="0" w:color="auto"/>
              <w:bottom w:val="nil"/>
            </w:tcBorders>
          </w:tcPr>
          <w:p w14:paraId="58A61D4E" w14:textId="77777777" w:rsidR="001B1046" w:rsidRPr="005D17EB" w:rsidRDefault="001B1046" w:rsidP="001B1046">
            <w:pPr>
              <w:pStyle w:val="MethodologyText"/>
              <w:ind w:left="0" w:right="0"/>
              <w:rPr>
                <w:rFonts w:ascii="Arial" w:hAnsi="Arial" w:cs="Arial"/>
                <w:sz w:val="18"/>
                <w:szCs w:val="18"/>
                <w:lang w:val="es-CL"/>
              </w:rPr>
            </w:pPr>
            <w:r w:rsidRPr="005D17EB">
              <w:rPr>
                <w:rFonts w:ascii="Arial" w:hAnsi="Arial" w:cs="Arial"/>
                <w:sz w:val="18"/>
                <w:szCs w:val="18"/>
                <w:lang w:val="es-CL"/>
              </w:rPr>
              <w:t>COMP</w:t>
            </w:r>
          </w:p>
        </w:tc>
        <w:tc>
          <w:tcPr>
            <w:tcW w:w="1094" w:type="dxa"/>
            <w:tcBorders>
              <w:top w:val="single" w:sz="4" w:space="0" w:color="auto"/>
              <w:bottom w:val="nil"/>
            </w:tcBorders>
          </w:tcPr>
          <w:p w14:paraId="77BF127F" w14:textId="77777777" w:rsidR="001B1046" w:rsidRPr="005D17EB" w:rsidRDefault="001B1046" w:rsidP="001B1046">
            <w:pPr>
              <w:pStyle w:val="MethodologyText"/>
              <w:ind w:left="0" w:right="0"/>
              <w:rPr>
                <w:rFonts w:ascii="Arial" w:hAnsi="Arial" w:cs="Arial"/>
                <w:sz w:val="18"/>
                <w:szCs w:val="18"/>
                <w:lang w:val="es-CL"/>
              </w:rPr>
            </w:pPr>
            <w:r w:rsidRPr="005D17EB">
              <w:rPr>
                <w:rFonts w:ascii="Arial" w:hAnsi="Arial" w:cs="Arial"/>
                <w:sz w:val="18"/>
                <w:szCs w:val="18"/>
                <w:lang w:val="es-CL"/>
              </w:rPr>
              <w:t>.DJA</w:t>
            </w:r>
          </w:p>
        </w:tc>
      </w:tr>
      <w:tr w:rsidR="001B1046" w:rsidRPr="005D17EB" w14:paraId="25A3DDD3" w14:textId="77777777" w:rsidTr="001B1046">
        <w:tc>
          <w:tcPr>
            <w:tcW w:w="4943" w:type="dxa"/>
            <w:vMerge/>
          </w:tcPr>
          <w:p w14:paraId="3B1C1B44" w14:textId="77777777" w:rsidR="001B1046" w:rsidRPr="005D17EB" w:rsidRDefault="001B1046" w:rsidP="001B1046">
            <w:pPr>
              <w:pStyle w:val="MethodologyText"/>
              <w:ind w:left="0" w:right="0"/>
              <w:rPr>
                <w:rFonts w:ascii="Arial" w:hAnsi="Arial" w:cs="Arial"/>
                <w:sz w:val="18"/>
                <w:szCs w:val="18"/>
                <w:lang w:val="es-CL"/>
              </w:rPr>
            </w:pPr>
          </w:p>
        </w:tc>
        <w:tc>
          <w:tcPr>
            <w:tcW w:w="2070" w:type="dxa"/>
            <w:tcBorders>
              <w:top w:val="nil"/>
              <w:bottom w:val="single" w:sz="4" w:space="0" w:color="auto"/>
            </w:tcBorders>
          </w:tcPr>
          <w:p w14:paraId="404ED19A" w14:textId="77777777" w:rsidR="001B1046" w:rsidRPr="005D17EB" w:rsidRDefault="001B1046" w:rsidP="001B1046">
            <w:pPr>
              <w:pStyle w:val="MethodologyText"/>
              <w:ind w:left="0" w:right="0"/>
              <w:rPr>
                <w:rFonts w:ascii="Arial" w:hAnsi="Arial" w:cs="Arial"/>
                <w:sz w:val="18"/>
                <w:szCs w:val="18"/>
                <w:lang w:val="es-CL"/>
              </w:rPr>
            </w:pPr>
            <w:r>
              <w:rPr>
                <w:rFonts w:ascii="Arial" w:hAnsi="Arial" w:cs="Arial"/>
                <w:sz w:val="18"/>
                <w:szCs w:val="18"/>
                <w:lang w:val="es-CL"/>
              </w:rPr>
              <w:t>Rentabilidad total</w:t>
            </w:r>
          </w:p>
        </w:tc>
        <w:tc>
          <w:tcPr>
            <w:tcW w:w="1080" w:type="dxa"/>
            <w:tcBorders>
              <w:top w:val="nil"/>
              <w:bottom w:val="single" w:sz="4" w:space="0" w:color="auto"/>
            </w:tcBorders>
          </w:tcPr>
          <w:p w14:paraId="2ACBC8E1" w14:textId="77777777" w:rsidR="001B1046" w:rsidRPr="005D17EB" w:rsidRDefault="001B1046" w:rsidP="001B1046">
            <w:pPr>
              <w:pStyle w:val="MethodologyText"/>
              <w:ind w:left="0" w:right="0"/>
              <w:rPr>
                <w:rFonts w:ascii="Arial" w:hAnsi="Arial" w:cs="Arial"/>
                <w:sz w:val="18"/>
                <w:szCs w:val="18"/>
                <w:lang w:val="es-CL"/>
              </w:rPr>
            </w:pPr>
            <w:r w:rsidRPr="005D17EB">
              <w:rPr>
                <w:rFonts w:ascii="Arial" w:hAnsi="Arial" w:cs="Arial"/>
                <w:sz w:val="18"/>
                <w:szCs w:val="18"/>
                <w:lang w:val="es-CL"/>
              </w:rPr>
              <w:t>DJCTR</w:t>
            </w:r>
          </w:p>
        </w:tc>
        <w:tc>
          <w:tcPr>
            <w:tcW w:w="1094" w:type="dxa"/>
            <w:tcBorders>
              <w:top w:val="nil"/>
              <w:bottom w:val="single" w:sz="4" w:space="0" w:color="auto"/>
            </w:tcBorders>
          </w:tcPr>
          <w:p w14:paraId="66E62199" w14:textId="77777777" w:rsidR="001B1046" w:rsidRPr="005D17EB" w:rsidRDefault="001B1046" w:rsidP="001B1046">
            <w:pPr>
              <w:pStyle w:val="MethodologyText"/>
              <w:ind w:left="0" w:right="0"/>
              <w:rPr>
                <w:rFonts w:ascii="Arial" w:hAnsi="Arial" w:cs="Arial"/>
                <w:sz w:val="18"/>
                <w:szCs w:val="18"/>
                <w:lang w:val="es-CL"/>
              </w:rPr>
            </w:pPr>
            <w:r w:rsidRPr="005D17EB">
              <w:rPr>
                <w:rFonts w:ascii="Arial" w:hAnsi="Arial" w:cs="Arial"/>
                <w:sz w:val="18"/>
                <w:szCs w:val="18"/>
                <w:lang w:val="es-CL"/>
              </w:rPr>
              <w:t>.DJCTR</w:t>
            </w:r>
          </w:p>
        </w:tc>
      </w:tr>
      <w:tr w:rsidR="001B1046" w:rsidRPr="005D17EB" w14:paraId="3E8C72B9" w14:textId="77777777" w:rsidTr="001B1046">
        <w:tc>
          <w:tcPr>
            <w:tcW w:w="4943" w:type="dxa"/>
            <w:vMerge w:val="restart"/>
          </w:tcPr>
          <w:p w14:paraId="3B08562E" w14:textId="77777777" w:rsidR="001B1046" w:rsidRPr="00744BCC" w:rsidRDefault="001B1046" w:rsidP="001B1046">
            <w:pPr>
              <w:pStyle w:val="MethodologyText"/>
              <w:ind w:left="0" w:right="0"/>
              <w:rPr>
                <w:rFonts w:ascii="Arial" w:hAnsi="Arial" w:cs="Arial"/>
                <w:sz w:val="18"/>
                <w:szCs w:val="18"/>
              </w:rPr>
            </w:pPr>
            <w:r w:rsidRPr="00744BCC">
              <w:rPr>
                <w:rFonts w:ascii="Arial" w:hAnsi="Arial" w:cs="Arial"/>
                <w:sz w:val="18"/>
                <w:szCs w:val="18"/>
              </w:rPr>
              <w:t>Dow Jones Industrial Average Yield Weighted (USD)</w:t>
            </w:r>
          </w:p>
        </w:tc>
        <w:tc>
          <w:tcPr>
            <w:tcW w:w="2070" w:type="dxa"/>
            <w:tcBorders>
              <w:bottom w:val="nil"/>
            </w:tcBorders>
          </w:tcPr>
          <w:p w14:paraId="49DEF0DC" w14:textId="77777777" w:rsidR="001B1046" w:rsidRPr="005D17EB" w:rsidRDefault="001B1046" w:rsidP="001B1046">
            <w:pPr>
              <w:pStyle w:val="MethodologyText"/>
              <w:ind w:left="0" w:right="0"/>
              <w:rPr>
                <w:rFonts w:ascii="Arial" w:hAnsi="Arial" w:cs="Arial"/>
                <w:sz w:val="18"/>
                <w:szCs w:val="18"/>
                <w:lang w:val="es-CL"/>
              </w:rPr>
            </w:pPr>
            <w:r>
              <w:rPr>
                <w:rFonts w:ascii="Arial" w:hAnsi="Arial" w:cs="Arial"/>
                <w:sz w:val="18"/>
                <w:szCs w:val="18"/>
                <w:lang w:val="es-CL"/>
              </w:rPr>
              <w:t>Rentabilidad del precio</w:t>
            </w:r>
          </w:p>
        </w:tc>
        <w:tc>
          <w:tcPr>
            <w:tcW w:w="1080" w:type="dxa"/>
            <w:tcBorders>
              <w:bottom w:val="nil"/>
            </w:tcBorders>
          </w:tcPr>
          <w:p w14:paraId="08CB1313" w14:textId="77777777" w:rsidR="001B1046" w:rsidRPr="005D17EB" w:rsidRDefault="001B1046" w:rsidP="001B1046">
            <w:pPr>
              <w:pStyle w:val="MethodologyText"/>
              <w:ind w:left="0" w:right="0"/>
              <w:rPr>
                <w:rFonts w:ascii="Arial" w:hAnsi="Arial" w:cs="Arial"/>
                <w:sz w:val="18"/>
                <w:szCs w:val="18"/>
                <w:lang w:val="es-CL"/>
              </w:rPr>
            </w:pPr>
            <w:r w:rsidRPr="005D17EB">
              <w:rPr>
                <w:rFonts w:ascii="Arial" w:hAnsi="Arial" w:cs="Arial"/>
                <w:color w:val="000000"/>
                <w:sz w:val="18"/>
                <w:szCs w:val="18"/>
                <w:lang w:val="es-CL"/>
              </w:rPr>
              <w:t>DJIYW</w:t>
            </w:r>
          </w:p>
        </w:tc>
        <w:tc>
          <w:tcPr>
            <w:tcW w:w="1094" w:type="dxa"/>
            <w:tcBorders>
              <w:bottom w:val="nil"/>
            </w:tcBorders>
          </w:tcPr>
          <w:p w14:paraId="71A769A2" w14:textId="77777777" w:rsidR="001B1046" w:rsidRPr="005D17EB" w:rsidRDefault="001B1046" w:rsidP="001B1046">
            <w:pPr>
              <w:pStyle w:val="MethodologyText"/>
              <w:ind w:left="0" w:right="0"/>
              <w:rPr>
                <w:rFonts w:ascii="Arial" w:hAnsi="Arial" w:cs="Arial"/>
                <w:sz w:val="18"/>
                <w:szCs w:val="18"/>
                <w:lang w:val="es-CL"/>
              </w:rPr>
            </w:pPr>
            <w:r w:rsidRPr="005D17EB">
              <w:rPr>
                <w:rFonts w:ascii="Arial" w:hAnsi="Arial" w:cs="Arial"/>
                <w:color w:val="000000"/>
                <w:sz w:val="18"/>
                <w:szCs w:val="18"/>
                <w:lang w:val="es-CL"/>
              </w:rPr>
              <w:t>.DJIYW</w:t>
            </w:r>
          </w:p>
        </w:tc>
      </w:tr>
      <w:tr w:rsidR="001B1046" w:rsidRPr="005D17EB" w14:paraId="0FC788A4" w14:textId="77777777" w:rsidTr="001B1046">
        <w:tc>
          <w:tcPr>
            <w:tcW w:w="4943" w:type="dxa"/>
            <w:vMerge/>
          </w:tcPr>
          <w:p w14:paraId="2D19FB40" w14:textId="77777777" w:rsidR="001B1046" w:rsidRPr="005D17EB" w:rsidRDefault="001B1046" w:rsidP="001B1046">
            <w:pPr>
              <w:pStyle w:val="MethodologyText"/>
              <w:ind w:left="0" w:right="0"/>
              <w:rPr>
                <w:rFonts w:ascii="Arial" w:hAnsi="Arial" w:cs="Arial"/>
                <w:sz w:val="18"/>
                <w:szCs w:val="18"/>
                <w:lang w:val="es-CL"/>
              </w:rPr>
            </w:pPr>
          </w:p>
        </w:tc>
        <w:tc>
          <w:tcPr>
            <w:tcW w:w="2070" w:type="dxa"/>
            <w:tcBorders>
              <w:top w:val="nil"/>
              <w:bottom w:val="nil"/>
            </w:tcBorders>
          </w:tcPr>
          <w:p w14:paraId="58C88A22" w14:textId="77777777" w:rsidR="001B1046" w:rsidRPr="005D17EB" w:rsidRDefault="001B1046" w:rsidP="001B1046">
            <w:pPr>
              <w:pStyle w:val="MethodologyText"/>
              <w:ind w:left="0" w:right="0"/>
              <w:rPr>
                <w:rFonts w:ascii="Arial" w:hAnsi="Arial" w:cs="Arial"/>
                <w:sz w:val="18"/>
                <w:szCs w:val="18"/>
                <w:lang w:val="es-CL"/>
              </w:rPr>
            </w:pPr>
            <w:r>
              <w:rPr>
                <w:rFonts w:ascii="Arial" w:hAnsi="Arial" w:cs="Arial"/>
                <w:sz w:val="18"/>
                <w:szCs w:val="18"/>
                <w:lang w:val="es-CL"/>
              </w:rPr>
              <w:t>Rentabilidad total</w:t>
            </w:r>
          </w:p>
        </w:tc>
        <w:tc>
          <w:tcPr>
            <w:tcW w:w="1080" w:type="dxa"/>
            <w:tcBorders>
              <w:top w:val="nil"/>
              <w:bottom w:val="nil"/>
            </w:tcBorders>
          </w:tcPr>
          <w:p w14:paraId="206829EC" w14:textId="77777777" w:rsidR="001B1046" w:rsidRPr="005D17EB" w:rsidRDefault="001B1046" w:rsidP="001B1046">
            <w:pPr>
              <w:pStyle w:val="MethodologyText"/>
              <w:ind w:left="0" w:right="0"/>
              <w:rPr>
                <w:rFonts w:ascii="Arial" w:hAnsi="Arial" w:cs="Arial"/>
                <w:sz w:val="18"/>
                <w:szCs w:val="18"/>
                <w:lang w:val="es-CL"/>
              </w:rPr>
            </w:pPr>
            <w:r w:rsidRPr="005D17EB">
              <w:rPr>
                <w:rFonts w:ascii="Arial" w:hAnsi="Arial" w:cs="Arial"/>
                <w:color w:val="000000"/>
                <w:sz w:val="18"/>
                <w:szCs w:val="18"/>
                <w:lang w:val="es-CL"/>
              </w:rPr>
              <w:t>DJIYWT</w:t>
            </w:r>
          </w:p>
        </w:tc>
        <w:tc>
          <w:tcPr>
            <w:tcW w:w="1094" w:type="dxa"/>
            <w:tcBorders>
              <w:top w:val="nil"/>
              <w:bottom w:val="nil"/>
            </w:tcBorders>
          </w:tcPr>
          <w:p w14:paraId="571D07F8" w14:textId="77777777" w:rsidR="001B1046" w:rsidRPr="005D17EB" w:rsidRDefault="001B1046" w:rsidP="001B1046">
            <w:pPr>
              <w:pStyle w:val="MethodologyText"/>
              <w:ind w:left="0" w:right="0"/>
              <w:jc w:val="center"/>
              <w:rPr>
                <w:rFonts w:ascii="Arial" w:hAnsi="Arial" w:cs="Arial"/>
                <w:sz w:val="18"/>
                <w:szCs w:val="18"/>
                <w:lang w:val="es-CL"/>
              </w:rPr>
            </w:pPr>
            <w:r w:rsidRPr="005D17EB">
              <w:rPr>
                <w:rFonts w:ascii="Arial" w:hAnsi="Arial" w:cs="Arial"/>
                <w:sz w:val="18"/>
                <w:szCs w:val="18"/>
                <w:lang w:val="es-CL"/>
              </w:rPr>
              <w:t>--</w:t>
            </w:r>
          </w:p>
        </w:tc>
      </w:tr>
      <w:tr w:rsidR="0028385D" w:rsidRPr="005D17EB" w14:paraId="083D4205" w14:textId="77777777" w:rsidTr="001B1046">
        <w:tc>
          <w:tcPr>
            <w:tcW w:w="4943" w:type="dxa"/>
            <w:vMerge/>
          </w:tcPr>
          <w:p w14:paraId="74D1C35B" w14:textId="77777777" w:rsidR="002232D4" w:rsidRPr="005D17EB" w:rsidRDefault="002232D4" w:rsidP="00A53ECE">
            <w:pPr>
              <w:pStyle w:val="MethodologyText"/>
              <w:ind w:left="0" w:right="0"/>
              <w:rPr>
                <w:rFonts w:ascii="Arial" w:hAnsi="Arial" w:cs="Arial"/>
                <w:sz w:val="18"/>
                <w:szCs w:val="18"/>
                <w:lang w:val="es-CL"/>
              </w:rPr>
            </w:pPr>
          </w:p>
        </w:tc>
        <w:tc>
          <w:tcPr>
            <w:tcW w:w="2070" w:type="dxa"/>
            <w:tcBorders>
              <w:top w:val="nil"/>
              <w:bottom w:val="single" w:sz="4" w:space="0" w:color="auto"/>
            </w:tcBorders>
          </w:tcPr>
          <w:p w14:paraId="2E407AB6" w14:textId="77777777" w:rsidR="002232D4" w:rsidRPr="005D17EB" w:rsidRDefault="001B1046" w:rsidP="002232D4">
            <w:pPr>
              <w:pStyle w:val="MethodologyText"/>
              <w:ind w:left="0" w:right="0"/>
              <w:rPr>
                <w:rFonts w:ascii="Arial" w:hAnsi="Arial" w:cs="Arial"/>
                <w:sz w:val="18"/>
                <w:szCs w:val="18"/>
                <w:lang w:val="es-CL"/>
              </w:rPr>
            </w:pPr>
            <w:r>
              <w:rPr>
                <w:rFonts w:ascii="Arial" w:hAnsi="Arial" w:cs="Arial"/>
                <w:sz w:val="18"/>
                <w:szCs w:val="18"/>
                <w:lang w:val="es-CL"/>
              </w:rPr>
              <w:t>Rentabilidad total neto</w:t>
            </w:r>
          </w:p>
        </w:tc>
        <w:tc>
          <w:tcPr>
            <w:tcW w:w="1080" w:type="dxa"/>
            <w:tcBorders>
              <w:top w:val="nil"/>
              <w:bottom w:val="single" w:sz="4" w:space="0" w:color="auto"/>
            </w:tcBorders>
          </w:tcPr>
          <w:p w14:paraId="7AB06D4F" w14:textId="77777777" w:rsidR="002232D4" w:rsidRPr="005D17EB" w:rsidRDefault="002232D4" w:rsidP="00A53ECE">
            <w:pPr>
              <w:pStyle w:val="MethodologyText"/>
              <w:ind w:left="0" w:right="0"/>
              <w:rPr>
                <w:rFonts w:ascii="Arial" w:hAnsi="Arial" w:cs="Arial"/>
                <w:sz w:val="18"/>
                <w:szCs w:val="18"/>
                <w:lang w:val="es-CL"/>
              </w:rPr>
            </w:pPr>
            <w:r w:rsidRPr="005D17EB">
              <w:rPr>
                <w:rFonts w:ascii="Arial" w:hAnsi="Arial" w:cs="Arial"/>
                <w:color w:val="000000"/>
                <w:sz w:val="18"/>
                <w:szCs w:val="18"/>
                <w:lang w:val="es-CL"/>
              </w:rPr>
              <w:t>DJIYWN</w:t>
            </w:r>
          </w:p>
        </w:tc>
        <w:tc>
          <w:tcPr>
            <w:tcW w:w="1094" w:type="dxa"/>
            <w:tcBorders>
              <w:top w:val="nil"/>
              <w:bottom w:val="single" w:sz="4" w:space="0" w:color="auto"/>
            </w:tcBorders>
          </w:tcPr>
          <w:p w14:paraId="5D5E5DB1" w14:textId="77777777" w:rsidR="002232D4" w:rsidRPr="005D17EB" w:rsidRDefault="002232D4" w:rsidP="002232D4">
            <w:pPr>
              <w:pStyle w:val="MethodologyText"/>
              <w:ind w:left="0" w:right="0"/>
              <w:jc w:val="center"/>
              <w:rPr>
                <w:rFonts w:ascii="Arial" w:hAnsi="Arial" w:cs="Arial"/>
                <w:sz w:val="18"/>
                <w:szCs w:val="18"/>
                <w:lang w:val="es-CL"/>
              </w:rPr>
            </w:pPr>
            <w:r w:rsidRPr="005D17EB">
              <w:rPr>
                <w:rFonts w:ascii="Arial" w:hAnsi="Arial" w:cs="Arial"/>
                <w:sz w:val="18"/>
                <w:szCs w:val="18"/>
                <w:lang w:val="es-CL"/>
              </w:rPr>
              <w:t>--</w:t>
            </w:r>
          </w:p>
        </w:tc>
      </w:tr>
      <w:tr w:rsidR="000E3248" w:rsidRPr="005D17EB" w14:paraId="67484045" w14:textId="77777777" w:rsidTr="000E3248">
        <w:tc>
          <w:tcPr>
            <w:tcW w:w="4943" w:type="dxa"/>
            <w:tcBorders>
              <w:bottom w:val="nil"/>
            </w:tcBorders>
          </w:tcPr>
          <w:p w14:paraId="311A70D1" w14:textId="77777777" w:rsidR="000E3248" w:rsidRPr="000E3248" w:rsidRDefault="000E3248" w:rsidP="00A53ECE">
            <w:pPr>
              <w:pStyle w:val="MethodologyText"/>
              <w:ind w:left="0" w:right="0"/>
              <w:rPr>
                <w:rFonts w:ascii="Arial" w:hAnsi="Arial" w:cs="Arial"/>
                <w:sz w:val="18"/>
                <w:szCs w:val="18"/>
              </w:rPr>
            </w:pPr>
            <w:r w:rsidRPr="0069074C">
              <w:rPr>
                <w:rFonts w:ascii="Arial" w:hAnsi="Arial" w:cs="Arial"/>
                <w:sz w:val="18"/>
                <w:szCs w:val="18"/>
              </w:rPr>
              <w:t>Dow Jones Industrial Average Equal Weight Index (USD)</w:t>
            </w:r>
          </w:p>
        </w:tc>
        <w:tc>
          <w:tcPr>
            <w:tcW w:w="2070" w:type="dxa"/>
            <w:tcBorders>
              <w:top w:val="nil"/>
              <w:bottom w:val="single" w:sz="4" w:space="0" w:color="auto"/>
            </w:tcBorders>
          </w:tcPr>
          <w:p w14:paraId="5E66C1D7" w14:textId="77777777" w:rsidR="000E3248" w:rsidRPr="000E3248" w:rsidRDefault="000E3248" w:rsidP="002232D4">
            <w:pPr>
              <w:pStyle w:val="MethodologyText"/>
              <w:ind w:left="0" w:right="0"/>
              <w:rPr>
                <w:rFonts w:ascii="Arial" w:hAnsi="Arial" w:cs="Arial"/>
                <w:sz w:val="18"/>
                <w:szCs w:val="18"/>
              </w:rPr>
            </w:pPr>
            <w:r>
              <w:rPr>
                <w:rFonts w:ascii="Arial" w:hAnsi="Arial" w:cs="Arial"/>
                <w:sz w:val="18"/>
                <w:szCs w:val="18"/>
                <w:lang w:val="es-CL"/>
              </w:rPr>
              <w:t>Rentabilidad del precio</w:t>
            </w:r>
          </w:p>
        </w:tc>
        <w:tc>
          <w:tcPr>
            <w:tcW w:w="1080" w:type="dxa"/>
            <w:tcBorders>
              <w:top w:val="nil"/>
              <w:bottom w:val="single" w:sz="4" w:space="0" w:color="auto"/>
            </w:tcBorders>
          </w:tcPr>
          <w:p w14:paraId="27272CA0" w14:textId="77777777" w:rsidR="000E3248" w:rsidRPr="000E3248" w:rsidRDefault="000E3248" w:rsidP="00A53ECE">
            <w:pPr>
              <w:pStyle w:val="MethodologyText"/>
              <w:ind w:left="0" w:right="0"/>
              <w:rPr>
                <w:rFonts w:ascii="Arial" w:hAnsi="Arial" w:cs="Arial"/>
                <w:sz w:val="18"/>
                <w:szCs w:val="18"/>
                <w:lang w:val="es-CL"/>
              </w:rPr>
            </w:pPr>
            <w:r w:rsidRPr="000E3248">
              <w:rPr>
                <w:rFonts w:ascii="Arial" w:hAnsi="Arial" w:cs="Arial"/>
                <w:sz w:val="18"/>
                <w:szCs w:val="18"/>
                <w:lang w:val="es-CL"/>
              </w:rPr>
              <w:t>DJIEW</w:t>
            </w:r>
          </w:p>
        </w:tc>
        <w:tc>
          <w:tcPr>
            <w:tcW w:w="1094" w:type="dxa"/>
            <w:tcBorders>
              <w:top w:val="nil"/>
              <w:bottom w:val="single" w:sz="4" w:space="0" w:color="auto"/>
            </w:tcBorders>
          </w:tcPr>
          <w:p w14:paraId="24E7AF99" w14:textId="77777777" w:rsidR="000E3248" w:rsidRPr="000E3248" w:rsidRDefault="000E3248" w:rsidP="000E3248">
            <w:pPr>
              <w:pStyle w:val="MethodologyText"/>
              <w:ind w:left="0" w:right="0"/>
              <w:rPr>
                <w:rFonts w:ascii="Arial" w:hAnsi="Arial" w:cs="Arial"/>
                <w:sz w:val="18"/>
                <w:szCs w:val="18"/>
                <w:lang w:val="es-CL"/>
              </w:rPr>
            </w:pPr>
            <w:r w:rsidRPr="000E3248">
              <w:rPr>
                <w:rFonts w:ascii="Arial" w:hAnsi="Arial" w:cs="Arial"/>
                <w:sz w:val="18"/>
                <w:szCs w:val="18"/>
                <w:lang w:val="es-CL"/>
              </w:rPr>
              <w:t>.DJIEW</w:t>
            </w:r>
          </w:p>
        </w:tc>
      </w:tr>
      <w:tr w:rsidR="000E3248" w:rsidRPr="005D17EB" w14:paraId="4BBDC4CA" w14:textId="77777777" w:rsidTr="000E3248">
        <w:tc>
          <w:tcPr>
            <w:tcW w:w="4943" w:type="dxa"/>
            <w:tcBorders>
              <w:top w:val="nil"/>
              <w:bottom w:val="nil"/>
            </w:tcBorders>
          </w:tcPr>
          <w:p w14:paraId="59D6800A" w14:textId="77777777" w:rsidR="000E3248" w:rsidRPr="000E3248" w:rsidRDefault="000E3248" w:rsidP="00A53ECE">
            <w:pPr>
              <w:pStyle w:val="MethodologyText"/>
              <w:ind w:left="0" w:right="0"/>
              <w:rPr>
                <w:rFonts w:ascii="Arial" w:hAnsi="Arial" w:cs="Arial"/>
                <w:sz w:val="18"/>
                <w:szCs w:val="18"/>
              </w:rPr>
            </w:pPr>
          </w:p>
        </w:tc>
        <w:tc>
          <w:tcPr>
            <w:tcW w:w="2070" w:type="dxa"/>
            <w:tcBorders>
              <w:top w:val="nil"/>
              <w:bottom w:val="single" w:sz="4" w:space="0" w:color="auto"/>
            </w:tcBorders>
          </w:tcPr>
          <w:p w14:paraId="14FAEBD5" w14:textId="77777777" w:rsidR="000E3248" w:rsidRPr="000E3248" w:rsidRDefault="000E3248" w:rsidP="002232D4">
            <w:pPr>
              <w:pStyle w:val="MethodologyText"/>
              <w:ind w:left="0" w:right="0"/>
              <w:rPr>
                <w:rFonts w:ascii="Arial" w:hAnsi="Arial" w:cs="Arial"/>
                <w:sz w:val="18"/>
                <w:szCs w:val="18"/>
              </w:rPr>
            </w:pPr>
            <w:r>
              <w:rPr>
                <w:rFonts w:ascii="Arial" w:hAnsi="Arial" w:cs="Arial"/>
                <w:sz w:val="18"/>
                <w:szCs w:val="18"/>
                <w:lang w:val="es-CL"/>
              </w:rPr>
              <w:t>Rentabilidad total</w:t>
            </w:r>
          </w:p>
        </w:tc>
        <w:tc>
          <w:tcPr>
            <w:tcW w:w="1080" w:type="dxa"/>
            <w:tcBorders>
              <w:top w:val="nil"/>
              <w:bottom w:val="single" w:sz="4" w:space="0" w:color="auto"/>
            </w:tcBorders>
          </w:tcPr>
          <w:p w14:paraId="793608F1" w14:textId="77777777" w:rsidR="000E3248" w:rsidRPr="000E3248" w:rsidRDefault="000E3248" w:rsidP="00A53ECE">
            <w:pPr>
              <w:pStyle w:val="MethodologyText"/>
              <w:ind w:left="0" w:right="0"/>
              <w:rPr>
                <w:rFonts w:ascii="Arial" w:hAnsi="Arial" w:cs="Arial"/>
                <w:sz w:val="18"/>
                <w:szCs w:val="18"/>
                <w:lang w:val="es-CL"/>
              </w:rPr>
            </w:pPr>
            <w:r w:rsidRPr="000E3248">
              <w:rPr>
                <w:rFonts w:ascii="Arial" w:hAnsi="Arial" w:cs="Arial"/>
                <w:sz w:val="18"/>
                <w:szCs w:val="18"/>
                <w:lang w:val="es-CL"/>
              </w:rPr>
              <w:t>DJIEWTR</w:t>
            </w:r>
          </w:p>
        </w:tc>
        <w:tc>
          <w:tcPr>
            <w:tcW w:w="1094" w:type="dxa"/>
            <w:tcBorders>
              <w:top w:val="nil"/>
              <w:bottom w:val="single" w:sz="4" w:space="0" w:color="auto"/>
            </w:tcBorders>
          </w:tcPr>
          <w:p w14:paraId="2901F918" w14:textId="77777777" w:rsidR="000E3248" w:rsidRPr="000E3248" w:rsidRDefault="000E3248" w:rsidP="000E3248">
            <w:pPr>
              <w:pStyle w:val="MethodologyText"/>
              <w:ind w:left="0" w:right="0"/>
              <w:rPr>
                <w:rFonts w:ascii="Arial" w:hAnsi="Arial" w:cs="Arial"/>
                <w:sz w:val="18"/>
                <w:szCs w:val="18"/>
                <w:lang w:val="es-CL"/>
              </w:rPr>
            </w:pPr>
            <w:r w:rsidRPr="000E3248">
              <w:rPr>
                <w:rFonts w:ascii="Arial" w:hAnsi="Arial" w:cs="Arial"/>
                <w:sz w:val="18"/>
                <w:szCs w:val="18"/>
                <w:lang w:val="es-CL"/>
              </w:rPr>
              <w:t>.DJIEWTR</w:t>
            </w:r>
          </w:p>
        </w:tc>
      </w:tr>
      <w:tr w:rsidR="000E3248" w:rsidRPr="005D17EB" w14:paraId="6B1113CD" w14:textId="77777777" w:rsidTr="000E3248">
        <w:tc>
          <w:tcPr>
            <w:tcW w:w="4943" w:type="dxa"/>
            <w:tcBorders>
              <w:top w:val="nil"/>
              <w:bottom w:val="single" w:sz="4" w:space="0" w:color="auto"/>
            </w:tcBorders>
          </w:tcPr>
          <w:p w14:paraId="4A3366A1" w14:textId="77777777" w:rsidR="000E3248" w:rsidRPr="000E3248" w:rsidRDefault="000E3248" w:rsidP="00A53ECE">
            <w:pPr>
              <w:pStyle w:val="MethodologyText"/>
              <w:ind w:left="0" w:right="0"/>
              <w:rPr>
                <w:rFonts w:ascii="Arial" w:hAnsi="Arial" w:cs="Arial"/>
                <w:sz w:val="18"/>
                <w:szCs w:val="18"/>
              </w:rPr>
            </w:pPr>
          </w:p>
        </w:tc>
        <w:tc>
          <w:tcPr>
            <w:tcW w:w="2070" w:type="dxa"/>
            <w:tcBorders>
              <w:top w:val="nil"/>
              <w:bottom w:val="single" w:sz="4" w:space="0" w:color="auto"/>
            </w:tcBorders>
          </w:tcPr>
          <w:p w14:paraId="30F501E2" w14:textId="77777777" w:rsidR="000E3248" w:rsidRPr="000E3248" w:rsidRDefault="000E3248" w:rsidP="002232D4">
            <w:pPr>
              <w:pStyle w:val="MethodologyText"/>
              <w:ind w:left="0" w:right="0"/>
              <w:rPr>
                <w:rFonts w:ascii="Arial" w:hAnsi="Arial" w:cs="Arial"/>
                <w:sz w:val="18"/>
                <w:szCs w:val="18"/>
              </w:rPr>
            </w:pPr>
            <w:r>
              <w:rPr>
                <w:rFonts w:ascii="Arial" w:hAnsi="Arial" w:cs="Arial"/>
                <w:sz w:val="18"/>
                <w:szCs w:val="18"/>
                <w:lang w:val="es-CL"/>
              </w:rPr>
              <w:t>Rentabilidad total neto</w:t>
            </w:r>
          </w:p>
        </w:tc>
        <w:tc>
          <w:tcPr>
            <w:tcW w:w="1080" w:type="dxa"/>
            <w:tcBorders>
              <w:top w:val="nil"/>
              <w:bottom w:val="single" w:sz="4" w:space="0" w:color="auto"/>
            </w:tcBorders>
          </w:tcPr>
          <w:p w14:paraId="42561B4F" w14:textId="77777777" w:rsidR="000E3248" w:rsidRPr="000E3248" w:rsidRDefault="000E3248" w:rsidP="00A53ECE">
            <w:pPr>
              <w:pStyle w:val="MethodologyText"/>
              <w:ind w:left="0" w:right="0"/>
              <w:rPr>
                <w:rFonts w:ascii="Arial" w:hAnsi="Arial" w:cs="Arial"/>
                <w:color w:val="000000"/>
                <w:sz w:val="18"/>
                <w:szCs w:val="18"/>
              </w:rPr>
            </w:pPr>
            <w:r w:rsidRPr="000E3248">
              <w:rPr>
                <w:rFonts w:ascii="Arial" w:hAnsi="Arial" w:cs="Arial"/>
                <w:sz w:val="18"/>
                <w:szCs w:val="18"/>
                <w:lang w:val="es-CL"/>
              </w:rPr>
              <w:t>DJIEWNTR</w:t>
            </w:r>
          </w:p>
        </w:tc>
        <w:tc>
          <w:tcPr>
            <w:tcW w:w="1094" w:type="dxa"/>
            <w:tcBorders>
              <w:top w:val="nil"/>
              <w:bottom w:val="single" w:sz="4" w:space="0" w:color="auto"/>
            </w:tcBorders>
          </w:tcPr>
          <w:p w14:paraId="7C62883A" w14:textId="77777777" w:rsidR="000E3248" w:rsidRPr="000E3248" w:rsidRDefault="000E3248" w:rsidP="002232D4">
            <w:pPr>
              <w:pStyle w:val="MethodologyText"/>
              <w:ind w:left="0" w:right="0"/>
              <w:jc w:val="center"/>
              <w:rPr>
                <w:rFonts w:ascii="Arial" w:hAnsi="Arial" w:cs="Arial"/>
                <w:sz w:val="18"/>
                <w:szCs w:val="18"/>
              </w:rPr>
            </w:pPr>
            <w:r w:rsidRPr="000E3248">
              <w:rPr>
                <w:rFonts w:ascii="Arial" w:hAnsi="Arial" w:cs="Arial"/>
                <w:sz w:val="18"/>
                <w:szCs w:val="18"/>
                <w:lang w:val="es-CL"/>
              </w:rPr>
              <w:t>.DJIEWNTR</w:t>
            </w:r>
          </w:p>
        </w:tc>
      </w:tr>
      <w:tr w:rsidR="000E3248" w:rsidRPr="005D17EB" w14:paraId="69B8AD94" w14:textId="77777777" w:rsidTr="000E3248">
        <w:tc>
          <w:tcPr>
            <w:tcW w:w="4943" w:type="dxa"/>
            <w:vMerge w:val="restart"/>
            <w:tcBorders>
              <w:top w:val="single" w:sz="4" w:space="0" w:color="auto"/>
            </w:tcBorders>
          </w:tcPr>
          <w:p w14:paraId="09318DB2" w14:textId="77777777" w:rsidR="000E3248" w:rsidRPr="00744BCC" w:rsidRDefault="000E3248" w:rsidP="001B1046">
            <w:pPr>
              <w:pStyle w:val="MethodologyText"/>
              <w:ind w:left="0" w:right="0"/>
              <w:rPr>
                <w:rFonts w:ascii="Arial" w:hAnsi="Arial" w:cs="Arial"/>
                <w:sz w:val="18"/>
                <w:szCs w:val="18"/>
              </w:rPr>
            </w:pPr>
            <w:r w:rsidRPr="00744BCC">
              <w:rPr>
                <w:rFonts w:ascii="Arial" w:hAnsi="Arial" w:cs="Arial"/>
                <w:sz w:val="18"/>
                <w:szCs w:val="18"/>
              </w:rPr>
              <w:t>Dow Jones Industrial Average™ Hedged JPY Leveraged 2X Index</w:t>
            </w:r>
          </w:p>
        </w:tc>
        <w:tc>
          <w:tcPr>
            <w:tcW w:w="2070" w:type="dxa"/>
            <w:tcBorders>
              <w:top w:val="single" w:sz="4" w:space="0" w:color="auto"/>
              <w:bottom w:val="nil"/>
            </w:tcBorders>
          </w:tcPr>
          <w:p w14:paraId="4D15A0A2" w14:textId="77777777" w:rsidR="000E3248" w:rsidRPr="005D17EB" w:rsidRDefault="000E3248" w:rsidP="001B1046">
            <w:pPr>
              <w:pStyle w:val="MethodologyText"/>
              <w:ind w:left="0" w:right="0"/>
              <w:rPr>
                <w:rFonts w:ascii="Arial" w:hAnsi="Arial" w:cs="Arial"/>
                <w:sz w:val="18"/>
                <w:szCs w:val="18"/>
                <w:lang w:val="es-CL"/>
              </w:rPr>
            </w:pPr>
            <w:r>
              <w:rPr>
                <w:rFonts w:ascii="Arial" w:hAnsi="Arial" w:cs="Arial"/>
                <w:sz w:val="18"/>
                <w:szCs w:val="18"/>
                <w:lang w:val="es-CL"/>
              </w:rPr>
              <w:t>Rentabilidad del precio</w:t>
            </w:r>
          </w:p>
        </w:tc>
        <w:tc>
          <w:tcPr>
            <w:tcW w:w="1080" w:type="dxa"/>
            <w:tcBorders>
              <w:top w:val="single" w:sz="4" w:space="0" w:color="auto"/>
              <w:bottom w:val="nil"/>
            </w:tcBorders>
          </w:tcPr>
          <w:p w14:paraId="51C03ED1" w14:textId="77777777" w:rsidR="000E3248" w:rsidRPr="005D17EB" w:rsidRDefault="000E3248" w:rsidP="001B1046">
            <w:pPr>
              <w:pStyle w:val="MethodologyText"/>
              <w:ind w:left="0" w:right="0"/>
              <w:rPr>
                <w:rFonts w:ascii="Arial" w:hAnsi="Arial" w:cs="Arial"/>
                <w:sz w:val="18"/>
                <w:szCs w:val="18"/>
                <w:lang w:val="es-CL"/>
              </w:rPr>
            </w:pPr>
            <w:r w:rsidRPr="005D17EB">
              <w:rPr>
                <w:rFonts w:ascii="Arial" w:hAnsi="Arial" w:cs="Arial"/>
                <w:sz w:val="18"/>
                <w:szCs w:val="18"/>
                <w:lang w:val="es-CL"/>
              </w:rPr>
              <w:t>DJIA2LJP</w:t>
            </w:r>
          </w:p>
        </w:tc>
        <w:tc>
          <w:tcPr>
            <w:tcW w:w="1094" w:type="dxa"/>
            <w:tcBorders>
              <w:top w:val="single" w:sz="4" w:space="0" w:color="auto"/>
              <w:bottom w:val="nil"/>
            </w:tcBorders>
          </w:tcPr>
          <w:p w14:paraId="5736BB34" w14:textId="77777777" w:rsidR="000E3248" w:rsidRPr="005D17EB" w:rsidRDefault="000E3248" w:rsidP="001B1046">
            <w:pPr>
              <w:pStyle w:val="MethodologyText"/>
              <w:ind w:left="0" w:right="0"/>
              <w:rPr>
                <w:rFonts w:ascii="Arial" w:hAnsi="Arial" w:cs="Arial"/>
                <w:sz w:val="18"/>
                <w:szCs w:val="18"/>
                <w:lang w:val="es-CL"/>
              </w:rPr>
            </w:pPr>
            <w:r w:rsidRPr="005D17EB">
              <w:rPr>
                <w:rFonts w:ascii="Arial" w:hAnsi="Arial" w:cs="Arial"/>
                <w:sz w:val="18"/>
                <w:szCs w:val="18"/>
                <w:lang w:val="es-CL"/>
              </w:rPr>
              <w:t>.DJIA2LJP</w:t>
            </w:r>
          </w:p>
        </w:tc>
      </w:tr>
      <w:tr w:rsidR="000E3248" w:rsidRPr="005D17EB" w14:paraId="1C310BA2" w14:textId="77777777" w:rsidTr="001B1046">
        <w:tc>
          <w:tcPr>
            <w:tcW w:w="4943" w:type="dxa"/>
            <w:vMerge/>
          </w:tcPr>
          <w:p w14:paraId="6CE7F1FC" w14:textId="77777777" w:rsidR="000E3248" w:rsidRPr="005D17EB" w:rsidRDefault="000E3248" w:rsidP="001B1046">
            <w:pPr>
              <w:pStyle w:val="MethodologyText"/>
              <w:ind w:left="0" w:right="0"/>
              <w:rPr>
                <w:rFonts w:ascii="Arial" w:hAnsi="Arial" w:cs="Arial"/>
                <w:sz w:val="18"/>
                <w:szCs w:val="18"/>
                <w:lang w:val="es-CL"/>
              </w:rPr>
            </w:pPr>
          </w:p>
        </w:tc>
        <w:tc>
          <w:tcPr>
            <w:tcW w:w="2070" w:type="dxa"/>
            <w:tcBorders>
              <w:top w:val="nil"/>
              <w:bottom w:val="single" w:sz="4" w:space="0" w:color="auto"/>
            </w:tcBorders>
          </w:tcPr>
          <w:p w14:paraId="193B4DFB" w14:textId="77777777" w:rsidR="000E3248" w:rsidRPr="005D17EB" w:rsidRDefault="000E3248" w:rsidP="001B1046">
            <w:pPr>
              <w:pStyle w:val="MethodologyText"/>
              <w:ind w:left="0" w:right="0"/>
              <w:rPr>
                <w:rFonts w:ascii="Arial" w:hAnsi="Arial" w:cs="Arial"/>
                <w:sz w:val="18"/>
                <w:szCs w:val="18"/>
                <w:lang w:val="es-CL"/>
              </w:rPr>
            </w:pPr>
            <w:r>
              <w:rPr>
                <w:rFonts w:ascii="Arial" w:hAnsi="Arial" w:cs="Arial"/>
                <w:sz w:val="18"/>
                <w:szCs w:val="18"/>
                <w:lang w:val="es-CL"/>
              </w:rPr>
              <w:t>Rentabilidad total</w:t>
            </w:r>
          </w:p>
        </w:tc>
        <w:tc>
          <w:tcPr>
            <w:tcW w:w="1080" w:type="dxa"/>
            <w:tcBorders>
              <w:top w:val="nil"/>
              <w:bottom w:val="single" w:sz="4" w:space="0" w:color="auto"/>
            </w:tcBorders>
          </w:tcPr>
          <w:p w14:paraId="132B4C5C" w14:textId="77777777" w:rsidR="000E3248" w:rsidRPr="005D17EB" w:rsidRDefault="000E3248" w:rsidP="001B1046">
            <w:pPr>
              <w:pStyle w:val="MethodologyText"/>
              <w:ind w:left="0" w:right="0"/>
              <w:rPr>
                <w:rFonts w:ascii="Arial" w:hAnsi="Arial" w:cs="Arial"/>
                <w:sz w:val="18"/>
                <w:szCs w:val="18"/>
                <w:lang w:val="es-CL"/>
              </w:rPr>
            </w:pPr>
            <w:r w:rsidRPr="005D17EB">
              <w:rPr>
                <w:rFonts w:ascii="Arial" w:hAnsi="Arial" w:cs="Arial"/>
                <w:sz w:val="18"/>
                <w:szCs w:val="18"/>
                <w:lang w:val="es-CL"/>
              </w:rPr>
              <w:t>DJIA2LJT</w:t>
            </w:r>
          </w:p>
        </w:tc>
        <w:tc>
          <w:tcPr>
            <w:tcW w:w="1094" w:type="dxa"/>
            <w:tcBorders>
              <w:top w:val="nil"/>
              <w:bottom w:val="single" w:sz="4" w:space="0" w:color="auto"/>
            </w:tcBorders>
          </w:tcPr>
          <w:p w14:paraId="7F1D2568" w14:textId="77777777" w:rsidR="000E3248" w:rsidRPr="005D17EB" w:rsidRDefault="000E3248" w:rsidP="001B1046">
            <w:pPr>
              <w:pStyle w:val="MethodologyText"/>
              <w:ind w:left="0" w:right="0"/>
              <w:rPr>
                <w:rFonts w:ascii="Arial" w:hAnsi="Arial" w:cs="Arial"/>
                <w:sz w:val="18"/>
                <w:szCs w:val="18"/>
                <w:lang w:val="es-CL"/>
              </w:rPr>
            </w:pPr>
            <w:r w:rsidRPr="005D17EB">
              <w:rPr>
                <w:rFonts w:ascii="Arial" w:hAnsi="Arial" w:cs="Arial"/>
                <w:sz w:val="18"/>
                <w:szCs w:val="18"/>
                <w:lang w:val="es-CL"/>
              </w:rPr>
              <w:t>.DJIA2LJT</w:t>
            </w:r>
            <w:r w:rsidRPr="005D17EB" w:rsidDel="007003E4">
              <w:rPr>
                <w:rFonts w:ascii="Arial" w:hAnsi="Arial" w:cs="Arial"/>
                <w:sz w:val="18"/>
                <w:szCs w:val="18"/>
                <w:lang w:val="es-CL"/>
              </w:rPr>
              <w:t xml:space="preserve"> </w:t>
            </w:r>
          </w:p>
        </w:tc>
      </w:tr>
      <w:tr w:rsidR="000E3248" w:rsidRPr="005D17EB" w14:paraId="428D9369" w14:textId="77777777" w:rsidTr="001B1046">
        <w:tc>
          <w:tcPr>
            <w:tcW w:w="4943" w:type="dxa"/>
            <w:vMerge w:val="restart"/>
          </w:tcPr>
          <w:p w14:paraId="2097FB47" w14:textId="77777777" w:rsidR="000E3248" w:rsidRPr="00744BCC" w:rsidRDefault="000E3248" w:rsidP="001B1046">
            <w:pPr>
              <w:pStyle w:val="MethodologyText"/>
              <w:ind w:left="0" w:right="0"/>
              <w:rPr>
                <w:rFonts w:ascii="Arial" w:hAnsi="Arial" w:cs="Arial"/>
                <w:sz w:val="18"/>
                <w:szCs w:val="18"/>
              </w:rPr>
            </w:pPr>
            <w:r w:rsidRPr="00744BCC">
              <w:rPr>
                <w:rFonts w:ascii="Arial" w:hAnsi="Arial" w:cs="Arial"/>
                <w:sz w:val="18"/>
                <w:szCs w:val="18"/>
              </w:rPr>
              <w:t>Dow Jones Industrial Average™ Hedged JPY Inverse Index</w:t>
            </w:r>
          </w:p>
        </w:tc>
        <w:tc>
          <w:tcPr>
            <w:tcW w:w="2070" w:type="dxa"/>
            <w:tcBorders>
              <w:top w:val="single" w:sz="4" w:space="0" w:color="auto"/>
              <w:bottom w:val="nil"/>
            </w:tcBorders>
          </w:tcPr>
          <w:p w14:paraId="018F99D4" w14:textId="77777777" w:rsidR="000E3248" w:rsidRPr="005D17EB" w:rsidRDefault="000E3248" w:rsidP="001B1046">
            <w:pPr>
              <w:pStyle w:val="MethodologyText"/>
              <w:ind w:left="0" w:right="0"/>
              <w:rPr>
                <w:rFonts w:ascii="Arial" w:hAnsi="Arial" w:cs="Arial"/>
                <w:sz w:val="18"/>
                <w:szCs w:val="18"/>
                <w:lang w:val="es-CL"/>
              </w:rPr>
            </w:pPr>
            <w:r>
              <w:rPr>
                <w:rFonts w:ascii="Arial" w:hAnsi="Arial" w:cs="Arial"/>
                <w:sz w:val="18"/>
                <w:szCs w:val="18"/>
                <w:lang w:val="es-CL"/>
              </w:rPr>
              <w:t>Rentabilidad del precio</w:t>
            </w:r>
          </w:p>
        </w:tc>
        <w:tc>
          <w:tcPr>
            <w:tcW w:w="1080" w:type="dxa"/>
            <w:tcBorders>
              <w:top w:val="single" w:sz="4" w:space="0" w:color="auto"/>
              <w:bottom w:val="nil"/>
            </w:tcBorders>
          </w:tcPr>
          <w:p w14:paraId="7D0D14FB" w14:textId="77777777" w:rsidR="000E3248" w:rsidRPr="005D17EB" w:rsidRDefault="000E3248" w:rsidP="001B1046">
            <w:pPr>
              <w:pStyle w:val="MethodologyText"/>
              <w:ind w:left="0" w:right="0"/>
              <w:rPr>
                <w:rFonts w:ascii="Arial" w:hAnsi="Arial" w:cs="Arial"/>
                <w:sz w:val="18"/>
                <w:szCs w:val="18"/>
                <w:lang w:val="es-CL"/>
              </w:rPr>
            </w:pPr>
            <w:r w:rsidRPr="005D17EB">
              <w:rPr>
                <w:rFonts w:ascii="Arial" w:hAnsi="Arial" w:cs="Arial"/>
                <w:sz w:val="18"/>
                <w:szCs w:val="18"/>
                <w:lang w:val="es-CL"/>
              </w:rPr>
              <w:t>DJIAIJP</w:t>
            </w:r>
          </w:p>
        </w:tc>
        <w:tc>
          <w:tcPr>
            <w:tcW w:w="1094" w:type="dxa"/>
            <w:tcBorders>
              <w:top w:val="single" w:sz="4" w:space="0" w:color="auto"/>
              <w:bottom w:val="nil"/>
            </w:tcBorders>
          </w:tcPr>
          <w:p w14:paraId="79EADF83" w14:textId="77777777" w:rsidR="000E3248" w:rsidRPr="005D17EB" w:rsidRDefault="000E3248" w:rsidP="001B1046">
            <w:pPr>
              <w:pStyle w:val="MethodologyText"/>
              <w:ind w:left="0" w:right="0"/>
              <w:rPr>
                <w:rFonts w:ascii="Arial" w:hAnsi="Arial" w:cs="Arial"/>
                <w:sz w:val="18"/>
                <w:szCs w:val="18"/>
                <w:lang w:val="es-CL"/>
              </w:rPr>
            </w:pPr>
            <w:r w:rsidRPr="005D17EB">
              <w:rPr>
                <w:rFonts w:ascii="Arial" w:hAnsi="Arial" w:cs="Arial"/>
                <w:sz w:val="18"/>
                <w:szCs w:val="18"/>
                <w:lang w:val="es-CL"/>
              </w:rPr>
              <w:t>.DJIAIJP</w:t>
            </w:r>
          </w:p>
        </w:tc>
      </w:tr>
      <w:tr w:rsidR="000E3248" w:rsidRPr="005D17EB" w14:paraId="7670CE03" w14:textId="77777777" w:rsidTr="001B1046">
        <w:tc>
          <w:tcPr>
            <w:tcW w:w="4943" w:type="dxa"/>
            <w:vMerge/>
          </w:tcPr>
          <w:p w14:paraId="4C5CEF7F" w14:textId="77777777" w:rsidR="000E3248" w:rsidRPr="005D17EB" w:rsidRDefault="000E3248" w:rsidP="001B1046">
            <w:pPr>
              <w:pStyle w:val="MethodologyText"/>
              <w:ind w:left="0" w:right="0"/>
              <w:rPr>
                <w:rFonts w:ascii="Arial" w:hAnsi="Arial" w:cs="Arial"/>
                <w:sz w:val="18"/>
                <w:szCs w:val="18"/>
                <w:lang w:val="es-CL"/>
              </w:rPr>
            </w:pPr>
          </w:p>
        </w:tc>
        <w:tc>
          <w:tcPr>
            <w:tcW w:w="2070" w:type="dxa"/>
            <w:tcBorders>
              <w:top w:val="nil"/>
              <w:bottom w:val="single" w:sz="4" w:space="0" w:color="auto"/>
            </w:tcBorders>
          </w:tcPr>
          <w:p w14:paraId="245CB880" w14:textId="77777777" w:rsidR="000E3248" w:rsidRPr="005D17EB" w:rsidRDefault="000E3248" w:rsidP="001B1046">
            <w:pPr>
              <w:pStyle w:val="MethodologyText"/>
              <w:ind w:left="0" w:right="0"/>
              <w:rPr>
                <w:rFonts w:ascii="Arial" w:hAnsi="Arial" w:cs="Arial"/>
                <w:sz w:val="18"/>
                <w:szCs w:val="18"/>
                <w:lang w:val="es-CL"/>
              </w:rPr>
            </w:pPr>
            <w:r>
              <w:rPr>
                <w:rFonts w:ascii="Arial" w:hAnsi="Arial" w:cs="Arial"/>
                <w:sz w:val="18"/>
                <w:szCs w:val="18"/>
                <w:lang w:val="es-CL"/>
              </w:rPr>
              <w:t>Rentabilidad total</w:t>
            </w:r>
          </w:p>
        </w:tc>
        <w:tc>
          <w:tcPr>
            <w:tcW w:w="1080" w:type="dxa"/>
            <w:tcBorders>
              <w:top w:val="nil"/>
              <w:bottom w:val="single" w:sz="4" w:space="0" w:color="auto"/>
            </w:tcBorders>
          </w:tcPr>
          <w:p w14:paraId="141EC66B" w14:textId="77777777" w:rsidR="000E3248" w:rsidRPr="005D17EB" w:rsidRDefault="000E3248" w:rsidP="001B1046">
            <w:pPr>
              <w:pStyle w:val="MethodologyText"/>
              <w:ind w:left="0" w:right="0"/>
              <w:rPr>
                <w:rFonts w:ascii="Arial" w:hAnsi="Arial" w:cs="Arial"/>
                <w:sz w:val="18"/>
                <w:szCs w:val="18"/>
                <w:lang w:val="es-CL"/>
              </w:rPr>
            </w:pPr>
            <w:r w:rsidRPr="005D17EB">
              <w:rPr>
                <w:rFonts w:ascii="Arial" w:hAnsi="Arial" w:cs="Arial"/>
                <w:sz w:val="18"/>
                <w:szCs w:val="18"/>
                <w:lang w:val="es-CL"/>
              </w:rPr>
              <w:t>DJIAIJT</w:t>
            </w:r>
          </w:p>
        </w:tc>
        <w:tc>
          <w:tcPr>
            <w:tcW w:w="1094" w:type="dxa"/>
            <w:tcBorders>
              <w:top w:val="nil"/>
              <w:bottom w:val="single" w:sz="4" w:space="0" w:color="auto"/>
            </w:tcBorders>
          </w:tcPr>
          <w:p w14:paraId="7BAEA805" w14:textId="77777777" w:rsidR="000E3248" w:rsidRPr="005D17EB" w:rsidRDefault="000E3248" w:rsidP="001B1046">
            <w:pPr>
              <w:pStyle w:val="MethodologyText"/>
              <w:ind w:left="0" w:right="0"/>
              <w:rPr>
                <w:rFonts w:ascii="Arial" w:hAnsi="Arial" w:cs="Arial"/>
                <w:sz w:val="18"/>
                <w:szCs w:val="18"/>
                <w:lang w:val="es-CL"/>
              </w:rPr>
            </w:pPr>
            <w:r w:rsidRPr="005D17EB">
              <w:rPr>
                <w:rFonts w:ascii="Arial" w:hAnsi="Arial" w:cs="Arial"/>
                <w:sz w:val="18"/>
                <w:szCs w:val="18"/>
                <w:lang w:val="es-CL"/>
              </w:rPr>
              <w:t>.DJIAIJT</w:t>
            </w:r>
          </w:p>
        </w:tc>
      </w:tr>
      <w:tr w:rsidR="000E3248" w:rsidRPr="005D17EB" w14:paraId="38F0DDB9" w14:textId="77777777" w:rsidTr="001B1046">
        <w:tc>
          <w:tcPr>
            <w:tcW w:w="4943" w:type="dxa"/>
            <w:vMerge w:val="restart"/>
          </w:tcPr>
          <w:p w14:paraId="609C2F37" w14:textId="77777777" w:rsidR="000E3248" w:rsidRPr="00744BCC" w:rsidRDefault="000E3248" w:rsidP="001B1046">
            <w:pPr>
              <w:pStyle w:val="MethodologyText"/>
              <w:ind w:left="0" w:right="0"/>
              <w:rPr>
                <w:rFonts w:ascii="Arial" w:hAnsi="Arial" w:cs="Arial"/>
                <w:sz w:val="18"/>
                <w:szCs w:val="18"/>
              </w:rPr>
            </w:pPr>
            <w:r w:rsidRPr="00744BCC">
              <w:rPr>
                <w:rFonts w:ascii="Arial" w:hAnsi="Arial" w:cs="Arial"/>
                <w:sz w:val="18"/>
                <w:szCs w:val="18"/>
              </w:rPr>
              <w:t>Dow Jones Industrial Average™ JPY Hedged Index</w:t>
            </w:r>
          </w:p>
        </w:tc>
        <w:tc>
          <w:tcPr>
            <w:tcW w:w="2070" w:type="dxa"/>
            <w:tcBorders>
              <w:top w:val="single" w:sz="4" w:space="0" w:color="auto"/>
              <w:bottom w:val="nil"/>
            </w:tcBorders>
          </w:tcPr>
          <w:p w14:paraId="62CC40FF" w14:textId="77777777" w:rsidR="000E3248" w:rsidRPr="005D17EB" w:rsidRDefault="000E3248" w:rsidP="001B1046">
            <w:pPr>
              <w:pStyle w:val="MethodologyText"/>
              <w:ind w:left="0" w:right="0"/>
              <w:rPr>
                <w:rFonts w:ascii="Arial" w:hAnsi="Arial" w:cs="Arial"/>
                <w:sz w:val="18"/>
                <w:szCs w:val="18"/>
                <w:lang w:val="es-CL"/>
              </w:rPr>
            </w:pPr>
            <w:r>
              <w:rPr>
                <w:rFonts w:ascii="Arial" w:hAnsi="Arial" w:cs="Arial"/>
                <w:sz w:val="18"/>
                <w:szCs w:val="18"/>
                <w:lang w:val="es-CL"/>
              </w:rPr>
              <w:t>Rentabilidad del precio</w:t>
            </w:r>
          </w:p>
        </w:tc>
        <w:tc>
          <w:tcPr>
            <w:tcW w:w="1080" w:type="dxa"/>
            <w:tcBorders>
              <w:top w:val="single" w:sz="4" w:space="0" w:color="auto"/>
              <w:bottom w:val="nil"/>
            </w:tcBorders>
          </w:tcPr>
          <w:p w14:paraId="50E665AE" w14:textId="77777777" w:rsidR="000E3248" w:rsidRPr="005D17EB" w:rsidRDefault="000E3248" w:rsidP="001B1046">
            <w:pPr>
              <w:pStyle w:val="MethodologyText"/>
              <w:ind w:left="0" w:right="0"/>
              <w:rPr>
                <w:rFonts w:ascii="Arial" w:hAnsi="Arial" w:cs="Arial"/>
                <w:sz w:val="18"/>
                <w:szCs w:val="18"/>
                <w:lang w:val="es-CL"/>
              </w:rPr>
            </w:pPr>
            <w:r w:rsidRPr="005D17EB">
              <w:rPr>
                <w:rFonts w:ascii="Arial" w:hAnsi="Arial" w:cs="Arial"/>
                <w:sz w:val="18"/>
                <w:szCs w:val="18"/>
                <w:lang w:val="es-CL"/>
              </w:rPr>
              <w:t>DJIHJ</w:t>
            </w:r>
          </w:p>
        </w:tc>
        <w:tc>
          <w:tcPr>
            <w:tcW w:w="1094" w:type="dxa"/>
            <w:tcBorders>
              <w:top w:val="single" w:sz="4" w:space="0" w:color="auto"/>
              <w:bottom w:val="nil"/>
            </w:tcBorders>
          </w:tcPr>
          <w:p w14:paraId="31D7A565" w14:textId="77777777" w:rsidR="000E3248" w:rsidRPr="005D17EB" w:rsidRDefault="000E3248" w:rsidP="001B1046">
            <w:pPr>
              <w:pStyle w:val="MethodologyText"/>
              <w:ind w:left="0" w:right="0"/>
              <w:rPr>
                <w:rFonts w:ascii="Arial" w:hAnsi="Arial" w:cs="Arial"/>
                <w:sz w:val="18"/>
                <w:szCs w:val="18"/>
                <w:lang w:val="es-CL"/>
              </w:rPr>
            </w:pPr>
            <w:r w:rsidRPr="005D17EB">
              <w:rPr>
                <w:rFonts w:ascii="Arial" w:hAnsi="Arial" w:cs="Arial"/>
                <w:sz w:val="18"/>
                <w:szCs w:val="18"/>
                <w:lang w:val="es-CL"/>
              </w:rPr>
              <w:t>.DJIHJ</w:t>
            </w:r>
          </w:p>
        </w:tc>
      </w:tr>
      <w:tr w:rsidR="000E3248" w:rsidRPr="005D17EB" w14:paraId="50FE96A7" w14:textId="77777777" w:rsidTr="001B1046">
        <w:tc>
          <w:tcPr>
            <w:tcW w:w="4943" w:type="dxa"/>
            <w:vMerge/>
          </w:tcPr>
          <w:p w14:paraId="0B76C75F" w14:textId="77777777" w:rsidR="000E3248" w:rsidRPr="005D17EB" w:rsidRDefault="000E3248" w:rsidP="001B1046">
            <w:pPr>
              <w:pStyle w:val="MethodologyText"/>
              <w:ind w:left="0" w:right="0"/>
              <w:rPr>
                <w:rFonts w:ascii="Arial" w:hAnsi="Arial" w:cs="Arial"/>
                <w:sz w:val="18"/>
                <w:szCs w:val="18"/>
                <w:lang w:val="es-CL"/>
              </w:rPr>
            </w:pPr>
          </w:p>
        </w:tc>
        <w:tc>
          <w:tcPr>
            <w:tcW w:w="2070" w:type="dxa"/>
            <w:tcBorders>
              <w:top w:val="nil"/>
              <w:bottom w:val="single" w:sz="4" w:space="0" w:color="auto"/>
            </w:tcBorders>
          </w:tcPr>
          <w:p w14:paraId="66CB2DB9" w14:textId="77777777" w:rsidR="000E3248" w:rsidRPr="005D17EB" w:rsidRDefault="000E3248" w:rsidP="001B1046">
            <w:pPr>
              <w:pStyle w:val="MethodologyText"/>
              <w:ind w:left="0" w:right="0"/>
              <w:rPr>
                <w:rFonts w:ascii="Arial" w:hAnsi="Arial" w:cs="Arial"/>
                <w:sz w:val="18"/>
                <w:szCs w:val="18"/>
                <w:lang w:val="es-CL"/>
              </w:rPr>
            </w:pPr>
            <w:r>
              <w:rPr>
                <w:rFonts w:ascii="Arial" w:hAnsi="Arial" w:cs="Arial"/>
                <w:sz w:val="18"/>
                <w:szCs w:val="18"/>
                <w:lang w:val="es-CL"/>
              </w:rPr>
              <w:t>Rentabilidad total</w:t>
            </w:r>
          </w:p>
        </w:tc>
        <w:tc>
          <w:tcPr>
            <w:tcW w:w="1080" w:type="dxa"/>
            <w:tcBorders>
              <w:top w:val="nil"/>
              <w:bottom w:val="single" w:sz="4" w:space="0" w:color="auto"/>
            </w:tcBorders>
          </w:tcPr>
          <w:p w14:paraId="1BA6047A" w14:textId="77777777" w:rsidR="000E3248" w:rsidRPr="005D17EB" w:rsidRDefault="000E3248" w:rsidP="001B1046">
            <w:pPr>
              <w:pStyle w:val="MethodologyText"/>
              <w:ind w:left="0" w:right="0"/>
              <w:rPr>
                <w:rFonts w:ascii="Arial" w:hAnsi="Arial" w:cs="Arial"/>
                <w:sz w:val="18"/>
                <w:szCs w:val="18"/>
                <w:lang w:val="es-CL"/>
              </w:rPr>
            </w:pPr>
            <w:r w:rsidRPr="005D17EB">
              <w:rPr>
                <w:rFonts w:ascii="Arial" w:hAnsi="Arial" w:cs="Arial"/>
                <w:sz w:val="18"/>
                <w:szCs w:val="18"/>
                <w:lang w:val="es-CL"/>
              </w:rPr>
              <w:t>DJIHJT</w:t>
            </w:r>
          </w:p>
        </w:tc>
        <w:tc>
          <w:tcPr>
            <w:tcW w:w="1094" w:type="dxa"/>
            <w:tcBorders>
              <w:top w:val="nil"/>
              <w:bottom w:val="single" w:sz="4" w:space="0" w:color="auto"/>
            </w:tcBorders>
          </w:tcPr>
          <w:p w14:paraId="4B066FDF" w14:textId="77777777" w:rsidR="000E3248" w:rsidRPr="005D17EB" w:rsidRDefault="000E3248" w:rsidP="001B1046">
            <w:pPr>
              <w:pStyle w:val="MethodologyText"/>
              <w:ind w:left="0" w:right="0"/>
              <w:rPr>
                <w:rFonts w:ascii="Arial" w:hAnsi="Arial" w:cs="Arial"/>
                <w:sz w:val="18"/>
                <w:szCs w:val="18"/>
                <w:lang w:val="es-CL"/>
              </w:rPr>
            </w:pPr>
            <w:r w:rsidRPr="005D17EB">
              <w:rPr>
                <w:rFonts w:ascii="Arial" w:hAnsi="Arial" w:cs="Arial"/>
                <w:sz w:val="18"/>
                <w:szCs w:val="18"/>
                <w:lang w:val="es-CL"/>
              </w:rPr>
              <w:t>.DJIHJT</w:t>
            </w:r>
          </w:p>
        </w:tc>
      </w:tr>
    </w:tbl>
    <w:p w14:paraId="51E659F0" w14:textId="77777777" w:rsidR="00CA0FEA" w:rsidRPr="005D17EB" w:rsidRDefault="005A467E" w:rsidP="009B5CA0">
      <w:pPr>
        <w:pStyle w:val="Heading2"/>
        <w:ind w:left="720"/>
        <w:rPr>
          <w:rFonts w:ascii="Arial" w:hAnsi="Arial" w:cs="Arial"/>
          <w:sz w:val="20"/>
          <w:lang w:val="es-CL"/>
        </w:rPr>
      </w:pPr>
      <w:bookmarkStart w:id="47" w:name="_Toc198540706"/>
      <w:r>
        <w:rPr>
          <w:rFonts w:ascii="Arial" w:hAnsi="Arial" w:cs="Arial"/>
          <w:sz w:val="20"/>
          <w:lang w:val="es-CL"/>
        </w:rPr>
        <w:t>Datos del índice</w:t>
      </w:r>
      <w:bookmarkEnd w:id="47"/>
    </w:p>
    <w:p w14:paraId="0D151ACA" w14:textId="77777777" w:rsidR="00692E4F" w:rsidRDefault="002F7815" w:rsidP="00692E4F">
      <w:pPr>
        <w:pStyle w:val="MethodologyText"/>
        <w:spacing w:after="200"/>
        <w:ind w:left="720"/>
        <w:rPr>
          <w:rFonts w:ascii="Arial" w:hAnsi="Arial" w:cs="Arial"/>
          <w:sz w:val="20"/>
          <w:lang w:val="es-CL"/>
        </w:rPr>
      </w:pPr>
      <w:r>
        <w:rPr>
          <w:rFonts w:ascii="Arial" w:hAnsi="Arial" w:cs="Arial"/>
          <w:sz w:val="20"/>
          <w:lang w:val="es-CL"/>
        </w:rPr>
        <w:t>El nivel diario de las componentes</w:t>
      </w:r>
      <w:r w:rsidR="00692E4F" w:rsidRPr="00692E4F">
        <w:rPr>
          <w:rFonts w:ascii="Arial" w:hAnsi="Arial" w:cs="Arial"/>
          <w:sz w:val="20"/>
          <w:lang w:val="es-CL"/>
        </w:rPr>
        <w:t xml:space="preserve"> y datos del índice están dispo</w:t>
      </w:r>
      <w:r w:rsidR="00683057">
        <w:rPr>
          <w:rFonts w:ascii="Arial" w:hAnsi="Arial" w:cs="Arial"/>
          <w:sz w:val="20"/>
          <w:lang w:val="es-CL"/>
        </w:rPr>
        <w:t>nibles previa suscripción.</w:t>
      </w:r>
    </w:p>
    <w:p w14:paraId="7DB17F9C" w14:textId="5B782736" w:rsidR="000911DC" w:rsidRPr="008532F2" w:rsidRDefault="00E4020A" w:rsidP="008532F2">
      <w:pPr>
        <w:pStyle w:val="MethodologyText"/>
        <w:ind w:left="720"/>
        <w:rPr>
          <w:rFonts w:ascii="Arial" w:hAnsi="Arial" w:cs="Arial"/>
          <w:i/>
          <w:iCs/>
          <w:sz w:val="20"/>
          <w:szCs w:val="22"/>
          <w:lang w:val="es-CL"/>
        </w:rPr>
      </w:pPr>
      <w:r w:rsidRPr="00E4020A">
        <w:rPr>
          <w:rFonts w:ascii="Arial" w:hAnsi="Arial" w:cs="Arial"/>
          <w:i/>
          <w:iCs/>
          <w:sz w:val="20"/>
          <w:lang w:val="es-CL" w:eastAsia="ja-JP"/>
        </w:rPr>
        <w:t xml:space="preserve">Para mayor información sobre el producto, contacte a </w:t>
      </w:r>
      <w:r w:rsidR="00CA0FEA" w:rsidRPr="00E4020A">
        <w:rPr>
          <w:rFonts w:ascii="Arial" w:hAnsi="Arial" w:cs="Arial"/>
          <w:i/>
          <w:iCs/>
          <w:sz w:val="20"/>
          <w:lang w:val="es-CL" w:eastAsia="ja-JP"/>
        </w:rPr>
        <w:t>S&amp;P Dow Jones Indices,</w:t>
      </w:r>
      <w:r w:rsidR="000333D9">
        <w:rPr>
          <w:rFonts w:ascii="Arial" w:hAnsi="Arial" w:cs="Arial"/>
          <w:i/>
          <w:iCs/>
          <w:sz w:val="20"/>
          <w:lang w:val="es-CL" w:eastAsia="ja-JP"/>
        </w:rPr>
        <w:t xml:space="preserve"> a través de nuestro sitio web</w:t>
      </w:r>
      <w:r w:rsidR="008570D8">
        <w:rPr>
          <w:rFonts w:ascii="Arial" w:hAnsi="Arial" w:cs="Arial"/>
          <w:i/>
          <w:iCs/>
          <w:sz w:val="20"/>
          <w:lang w:val="es-CL" w:eastAsia="ja-JP"/>
        </w:rPr>
        <w:t>,</w:t>
      </w:r>
      <w:r w:rsidR="00CA0FEA" w:rsidRPr="00E4020A">
        <w:rPr>
          <w:rFonts w:ascii="Arial" w:hAnsi="Arial" w:cs="Arial"/>
          <w:i/>
          <w:iCs/>
          <w:sz w:val="20"/>
          <w:lang w:val="es-CL" w:eastAsia="ja-JP"/>
        </w:rPr>
        <w:t xml:space="preserve"> </w:t>
      </w:r>
      <w:hyperlink r:id="rId27" w:history="1">
        <w:r w:rsidR="008532F2" w:rsidRPr="009426FC">
          <w:rPr>
            <w:rStyle w:val="Hyperlink"/>
            <w:rFonts w:ascii="Arial" w:hAnsi="Arial" w:cs="Arial"/>
            <w:i/>
            <w:iCs/>
            <w:sz w:val="20"/>
            <w:szCs w:val="22"/>
            <w:lang w:val="es-CL"/>
          </w:rPr>
          <w:t>www.spglobal/spdji.com/contact-us</w:t>
        </w:r>
      </w:hyperlink>
    </w:p>
    <w:p w14:paraId="1D7987C6" w14:textId="77777777" w:rsidR="00CA0FEA" w:rsidRPr="003E0DDB" w:rsidRDefault="009E53D5" w:rsidP="009B5CA0">
      <w:pPr>
        <w:pStyle w:val="Heading2"/>
        <w:ind w:left="720"/>
        <w:rPr>
          <w:rFonts w:ascii="Arial" w:hAnsi="Arial" w:cs="Arial"/>
          <w:sz w:val="20"/>
          <w:lang w:val="es-CL"/>
        </w:rPr>
      </w:pPr>
      <w:bookmarkStart w:id="48" w:name="_Toc198540707"/>
      <w:r w:rsidRPr="003E0DDB">
        <w:rPr>
          <w:rFonts w:ascii="Arial" w:hAnsi="Arial" w:cs="Arial"/>
          <w:sz w:val="20"/>
          <w:lang w:val="es-CL"/>
        </w:rPr>
        <w:t>Sitio web</w:t>
      </w:r>
      <w:bookmarkEnd w:id="48"/>
    </w:p>
    <w:p w14:paraId="5A5A7365" w14:textId="2952CB5E" w:rsidR="003E0DDB" w:rsidRPr="00E4020A" w:rsidRDefault="003E0DDB" w:rsidP="003E0DDB">
      <w:pPr>
        <w:pStyle w:val="MethodologyText"/>
        <w:ind w:left="720"/>
        <w:rPr>
          <w:rFonts w:ascii="Arial" w:hAnsi="Arial" w:cs="Arial"/>
          <w:i/>
          <w:iCs/>
          <w:sz w:val="20"/>
          <w:lang w:val="es-CL" w:eastAsia="ja-JP"/>
        </w:rPr>
      </w:pPr>
      <w:r w:rsidRPr="00E4020A">
        <w:rPr>
          <w:rFonts w:ascii="Arial" w:hAnsi="Arial" w:cs="Arial"/>
          <w:i/>
          <w:iCs/>
          <w:sz w:val="20"/>
          <w:lang w:val="es-CL" w:eastAsia="ja-JP"/>
        </w:rPr>
        <w:t xml:space="preserve">Para mayor información, </w:t>
      </w:r>
      <w:r>
        <w:rPr>
          <w:rFonts w:ascii="Arial" w:hAnsi="Arial" w:cs="Arial"/>
          <w:i/>
          <w:iCs/>
          <w:sz w:val="20"/>
          <w:lang w:val="es-CL" w:eastAsia="ja-JP"/>
        </w:rPr>
        <w:t>visite el sitio web de</w:t>
      </w:r>
      <w:r w:rsidRPr="00E4020A">
        <w:rPr>
          <w:rFonts w:ascii="Arial" w:hAnsi="Arial" w:cs="Arial"/>
          <w:i/>
          <w:iCs/>
          <w:sz w:val="20"/>
          <w:lang w:val="es-CL" w:eastAsia="ja-JP"/>
        </w:rPr>
        <w:t xml:space="preserve"> S&amp;P Dow Jones Indices,</w:t>
      </w:r>
      <w:r>
        <w:rPr>
          <w:rFonts w:ascii="Arial" w:hAnsi="Arial" w:cs="Arial"/>
          <w:i/>
          <w:iCs/>
          <w:sz w:val="20"/>
          <w:lang w:val="es-CL" w:eastAsia="ja-JP"/>
        </w:rPr>
        <w:t xml:space="preserve"> </w:t>
      </w:r>
      <w:hyperlink r:id="rId28" w:history="1">
        <w:r w:rsidR="00E3182B" w:rsidRPr="00E3182B">
          <w:rPr>
            <w:rStyle w:val="Hyperlink"/>
            <w:rFonts w:ascii="Arial" w:hAnsi="Arial" w:cs="Arial"/>
            <w:i/>
            <w:iCs/>
            <w:sz w:val="20"/>
            <w:szCs w:val="20"/>
            <w:lang w:val="es-MX"/>
          </w:rPr>
          <w:t>www.spglobal.com/spdji/</w:t>
        </w:r>
      </w:hyperlink>
      <w:r w:rsidRPr="00E4020A">
        <w:rPr>
          <w:rFonts w:ascii="Arial" w:hAnsi="Arial" w:cs="Arial"/>
          <w:i/>
          <w:iCs/>
          <w:sz w:val="20"/>
          <w:lang w:val="es-CL" w:eastAsia="ja-JP"/>
        </w:rPr>
        <w:t>.</w:t>
      </w:r>
    </w:p>
    <w:p w14:paraId="2CE2B684" w14:textId="790061F8" w:rsidR="008532F2" w:rsidRPr="005D7387" w:rsidRDefault="00652504" w:rsidP="008532F2">
      <w:pPr>
        <w:pStyle w:val="Heading1"/>
        <w:ind w:left="720"/>
        <w:rPr>
          <w:rFonts w:ascii="Arial" w:hAnsi="Arial" w:cs="Arial"/>
        </w:rPr>
      </w:pPr>
      <w:r w:rsidRPr="00B12CD9">
        <w:br w:type="page"/>
      </w:r>
      <w:bookmarkStart w:id="49" w:name="_Toc198540708"/>
      <w:bookmarkStart w:id="50" w:name="_Toc61444184"/>
      <w:bookmarkStart w:id="51" w:name="_Toc89435677"/>
      <w:bookmarkStart w:id="52" w:name="_Toc89954994"/>
      <w:r w:rsidR="008532F2" w:rsidRPr="005D7387">
        <w:rPr>
          <w:rFonts w:ascii="Arial" w:hAnsi="Arial" w:cs="Arial"/>
        </w:rPr>
        <w:t xml:space="preserve">Apéndice </w:t>
      </w:r>
      <w:r w:rsidR="008D2088">
        <w:rPr>
          <w:rFonts w:ascii="Arial" w:hAnsi="Arial" w:cs="Arial"/>
        </w:rPr>
        <w:t>A</w:t>
      </w:r>
      <w:bookmarkEnd w:id="49"/>
    </w:p>
    <w:p w14:paraId="23CA6466" w14:textId="77777777" w:rsidR="00885CD0" w:rsidRDefault="00885CD0" w:rsidP="00885CD0">
      <w:pPr>
        <w:ind w:left="720"/>
        <w:rPr>
          <w:rFonts w:ascii="Arial" w:hAnsi="Arial" w:cs="Arial"/>
          <w:sz w:val="20"/>
          <w:szCs w:val="20"/>
        </w:rPr>
      </w:pPr>
    </w:p>
    <w:p w14:paraId="1080B2E8" w14:textId="1D175952" w:rsidR="008532F2" w:rsidRPr="005D7387" w:rsidRDefault="008532F2" w:rsidP="00885CD0">
      <w:pPr>
        <w:pStyle w:val="Heading2"/>
        <w:ind w:left="1440" w:hanging="720"/>
        <w:rPr>
          <w:rFonts w:ascii="Arial" w:hAnsi="Arial" w:cs="Arial"/>
          <w:sz w:val="20"/>
        </w:rPr>
      </w:pPr>
      <w:bookmarkStart w:id="53" w:name="_Toc198540709"/>
      <w:r w:rsidRPr="005D7387">
        <w:rPr>
          <w:rFonts w:ascii="Arial" w:hAnsi="Arial" w:cs="Arial"/>
          <w:sz w:val="20"/>
        </w:rPr>
        <w:t>DJIA JPY Hedged Index (T-1 TTM)</w:t>
      </w:r>
      <w:bookmarkEnd w:id="53"/>
    </w:p>
    <w:p w14:paraId="41B771CE" w14:textId="77777777" w:rsidR="00885CD0" w:rsidRPr="005D7387" w:rsidRDefault="00885CD0" w:rsidP="00885CD0">
      <w:pPr>
        <w:ind w:left="720"/>
        <w:rPr>
          <w:rFonts w:ascii="Arial" w:hAnsi="Arial" w:cs="Arial"/>
          <w:sz w:val="20"/>
          <w:szCs w:val="20"/>
        </w:rPr>
      </w:pPr>
    </w:p>
    <w:p w14:paraId="39750C88" w14:textId="267A6D14" w:rsidR="008532F2" w:rsidRPr="00885CD0" w:rsidRDefault="008532F2" w:rsidP="00885CD0">
      <w:pPr>
        <w:ind w:left="720" w:right="720"/>
        <w:rPr>
          <w:rFonts w:ascii="Arial" w:hAnsi="Arial" w:cs="Arial"/>
          <w:sz w:val="20"/>
          <w:szCs w:val="20"/>
          <w:lang w:val="es-MX"/>
        </w:rPr>
      </w:pPr>
      <w:r w:rsidRPr="00885CD0">
        <w:rPr>
          <w:rFonts w:ascii="Arial" w:hAnsi="Arial" w:cs="Arial"/>
          <w:b/>
          <w:bCs/>
          <w:sz w:val="20"/>
          <w:szCs w:val="20"/>
          <w:lang w:val="es-MX"/>
        </w:rPr>
        <w:t>Objetivo del Índice.</w:t>
      </w:r>
      <w:r w:rsidRPr="00885CD0">
        <w:rPr>
          <w:rFonts w:ascii="Arial" w:hAnsi="Arial" w:cs="Arial"/>
          <w:sz w:val="20"/>
          <w:szCs w:val="20"/>
          <w:lang w:val="es-MX"/>
        </w:rPr>
        <w:t xml:space="preserve"> </w:t>
      </w:r>
      <w:r w:rsidR="00D82E03" w:rsidRPr="00885CD0">
        <w:rPr>
          <w:rFonts w:ascii="Arial" w:hAnsi="Arial" w:cs="Arial"/>
          <w:sz w:val="20"/>
          <w:szCs w:val="20"/>
          <w:lang w:val="es-MX"/>
        </w:rPr>
        <w:t>El índice mide el desempeño del índice de cobertura subyacente ante variaciones en el precio de las monedas.</w:t>
      </w:r>
    </w:p>
    <w:p w14:paraId="77B245CE" w14:textId="77777777" w:rsidR="00885CD0" w:rsidRPr="00885CD0" w:rsidRDefault="00885CD0" w:rsidP="00885CD0">
      <w:pPr>
        <w:ind w:left="720" w:right="720"/>
        <w:rPr>
          <w:rFonts w:ascii="Arial" w:hAnsi="Arial" w:cs="Arial"/>
          <w:sz w:val="20"/>
          <w:szCs w:val="20"/>
          <w:lang w:val="es-MX"/>
        </w:rPr>
      </w:pPr>
    </w:p>
    <w:p w14:paraId="0E9FA3D7" w14:textId="1154A7B3" w:rsidR="00D82E03" w:rsidRPr="00885CD0" w:rsidRDefault="00D82E03" w:rsidP="00885CD0">
      <w:pPr>
        <w:ind w:left="720" w:right="720"/>
        <w:rPr>
          <w:rFonts w:ascii="Arial" w:hAnsi="Arial" w:cs="Arial"/>
          <w:sz w:val="20"/>
          <w:szCs w:val="20"/>
          <w:lang w:val="es-MX"/>
        </w:rPr>
      </w:pPr>
      <w:r w:rsidRPr="00885CD0">
        <w:rPr>
          <w:rFonts w:ascii="Arial" w:hAnsi="Arial" w:cs="Arial"/>
          <w:b/>
          <w:bCs/>
          <w:sz w:val="20"/>
          <w:szCs w:val="20"/>
          <w:lang w:val="es-MX"/>
        </w:rPr>
        <w:t>Índice Subyacente.</w:t>
      </w:r>
      <w:r w:rsidRPr="00885CD0">
        <w:rPr>
          <w:rFonts w:ascii="Arial" w:hAnsi="Arial" w:cs="Arial"/>
          <w:sz w:val="20"/>
          <w:szCs w:val="20"/>
          <w:lang w:val="es-MX"/>
        </w:rPr>
        <w:t xml:space="preserve"> Dow Jones Industrial Average (Index Code: DJI), documentado en esta metodología. </w:t>
      </w:r>
    </w:p>
    <w:p w14:paraId="1012C09B" w14:textId="77777777" w:rsidR="00885CD0" w:rsidRPr="00885CD0" w:rsidRDefault="00885CD0" w:rsidP="00885CD0">
      <w:pPr>
        <w:ind w:left="720" w:right="720"/>
        <w:rPr>
          <w:rFonts w:ascii="Arial" w:hAnsi="Arial" w:cs="Arial"/>
          <w:sz w:val="20"/>
          <w:szCs w:val="20"/>
          <w:lang w:val="es-MX"/>
        </w:rPr>
      </w:pPr>
    </w:p>
    <w:p w14:paraId="3FFAC4C7" w14:textId="1FB25C49" w:rsidR="00D82E03" w:rsidRPr="00885CD0" w:rsidRDefault="00D82E03" w:rsidP="00885CD0">
      <w:pPr>
        <w:ind w:left="720" w:right="720"/>
        <w:rPr>
          <w:rFonts w:ascii="Arial" w:hAnsi="Arial" w:cs="Arial"/>
          <w:sz w:val="20"/>
          <w:szCs w:val="20"/>
          <w:lang w:val="es-MX"/>
        </w:rPr>
      </w:pPr>
      <w:r w:rsidRPr="00885CD0">
        <w:rPr>
          <w:rFonts w:ascii="Arial" w:hAnsi="Arial" w:cs="Arial"/>
          <w:b/>
          <w:bCs/>
          <w:sz w:val="20"/>
          <w:szCs w:val="20"/>
          <w:lang w:val="es-MX"/>
        </w:rPr>
        <w:t>Moneda de Cálculo</w:t>
      </w:r>
      <w:r w:rsidR="00885CD0">
        <w:rPr>
          <w:rFonts w:ascii="Arial" w:hAnsi="Arial" w:cs="Arial"/>
          <w:sz w:val="20"/>
          <w:szCs w:val="20"/>
          <w:lang w:val="es-MX"/>
        </w:rPr>
        <w:t>.</w:t>
      </w:r>
      <w:r w:rsidRPr="00885CD0">
        <w:rPr>
          <w:rFonts w:ascii="Arial" w:hAnsi="Arial" w:cs="Arial"/>
          <w:sz w:val="20"/>
          <w:szCs w:val="20"/>
          <w:lang w:val="es-MX"/>
        </w:rPr>
        <w:t xml:space="preserve"> El índice se calcula en Yenes Japonés</w:t>
      </w:r>
    </w:p>
    <w:p w14:paraId="05E406E8" w14:textId="77777777" w:rsidR="00885CD0" w:rsidRPr="00885CD0" w:rsidRDefault="00885CD0" w:rsidP="00885CD0">
      <w:pPr>
        <w:ind w:left="720" w:right="720"/>
        <w:rPr>
          <w:rFonts w:ascii="Arial" w:hAnsi="Arial" w:cs="Arial"/>
          <w:sz w:val="20"/>
          <w:szCs w:val="20"/>
          <w:lang w:val="es-MX"/>
        </w:rPr>
      </w:pPr>
    </w:p>
    <w:p w14:paraId="51A488EC" w14:textId="59A42ECC" w:rsidR="00D82E03" w:rsidRPr="00885CD0" w:rsidRDefault="00D82E03" w:rsidP="00885CD0">
      <w:pPr>
        <w:ind w:left="720" w:right="720"/>
        <w:rPr>
          <w:rFonts w:ascii="Arial" w:hAnsi="Arial" w:cs="Arial"/>
          <w:sz w:val="20"/>
          <w:szCs w:val="20"/>
          <w:lang w:val="es-MX"/>
        </w:rPr>
      </w:pPr>
      <w:r w:rsidRPr="00885CD0">
        <w:rPr>
          <w:rFonts w:ascii="Arial" w:hAnsi="Arial" w:cs="Arial"/>
          <w:b/>
          <w:bCs/>
          <w:sz w:val="20"/>
          <w:szCs w:val="20"/>
          <w:lang w:val="es-MX"/>
        </w:rPr>
        <w:t>Tipo de Cambio.</w:t>
      </w:r>
      <w:r w:rsidRPr="00885CD0">
        <w:rPr>
          <w:rFonts w:ascii="Arial" w:hAnsi="Arial" w:cs="Arial"/>
          <w:sz w:val="20"/>
          <w:szCs w:val="20"/>
          <w:lang w:val="es-MX"/>
        </w:rPr>
        <w:t xml:space="preserve"> Los valores del índice se calculan utilizando los tipos de cambio TTM (Telegraphic Transfer Midrate) del Banco de Tokio Mitsubishi. Los valores del índice se publican en la fecha de cálculo utilizando tasas T de TTM.</w:t>
      </w:r>
    </w:p>
    <w:p w14:paraId="7A0FEF11" w14:textId="77777777" w:rsidR="00885CD0" w:rsidRPr="00885CD0" w:rsidRDefault="00885CD0" w:rsidP="00885CD0">
      <w:pPr>
        <w:ind w:left="720" w:right="720"/>
        <w:rPr>
          <w:rFonts w:ascii="Arial" w:hAnsi="Arial" w:cs="Arial"/>
          <w:b/>
          <w:bCs/>
          <w:sz w:val="20"/>
          <w:szCs w:val="20"/>
          <w:lang w:val="es-CL"/>
        </w:rPr>
      </w:pPr>
    </w:p>
    <w:p w14:paraId="4DCFFEBF" w14:textId="79841B05" w:rsidR="00885CD0" w:rsidRPr="00885CD0" w:rsidRDefault="006A714E" w:rsidP="00885CD0">
      <w:pPr>
        <w:ind w:left="720" w:right="720"/>
        <w:rPr>
          <w:rFonts w:ascii="Arial" w:hAnsi="Arial" w:cs="Arial"/>
          <w:i/>
          <w:iCs/>
          <w:sz w:val="20"/>
          <w:szCs w:val="20"/>
          <w:lang w:val="es-CL"/>
        </w:rPr>
      </w:pPr>
      <w:r w:rsidRPr="00885CD0">
        <w:rPr>
          <w:rFonts w:ascii="Arial" w:hAnsi="Arial" w:cs="Arial"/>
          <w:b/>
          <w:bCs/>
          <w:sz w:val="20"/>
          <w:szCs w:val="20"/>
          <w:lang w:val="es-CL"/>
        </w:rPr>
        <w:t xml:space="preserve">Cronograma de días festivos. </w:t>
      </w:r>
      <w:r w:rsidRPr="00885CD0">
        <w:rPr>
          <w:rFonts w:ascii="Arial" w:hAnsi="Arial" w:cs="Arial"/>
          <w:sz w:val="20"/>
          <w:szCs w:val="20"/>
          <w:lang w:val="es-MX"/>
        </w:rPr>
        <w:t xml:space="preserve">Los índices se calculan toda vez que el mercado de capitales de Japón se encuentre abierto y operando. Un cronograma completo de días festivos está disponible en el sitio web de S&amp;P Dow Jones Indices, </w:t>
      </w:r>
      <w:hyperlink r:id="rId29" w:history="1">
        <w:r w:rsidR="00E3182B" w:rsidRPr="00E3182B">
          <w:rPr>
            <w:rStyle w:val="Hyperlink"/>
            <w:rFonts w:ascii="Arial" w:hAnsi="Arial" w:cs="Arial"/>
            <w:i/>
            <w:iCs/>
            <w:sz w:val="20"/>
            <w:szCs w:val="20"/>
            <w:lang w:val="es-MX"/>
          </w:rPr>
          <w:t>www.spglobal.com/spdji/</w:t>
        </w:r>
      </w:hyperlink>
      <w:r w:rsidR="00E3182B" w:rsidRPr="00E3182B">
        <w:rPr>
          <w:rFonts w:ascii="Arial" w:hAnsi="Arial" w:cs="Arial"/>
          <w:i/>
          <w:sz w:val="20"/>
          <w:lang w:val="es-MX"/>
        </w:rPr>
        <w:t>.</w:t>
      </w:r>
      <w:r w:rsidR="00885CD0" w:rsidRPr="00885CD0">
        <w:rPr>
          <w:rFonts w:ascii="Arial" w:hAnsi="Arial" w:cs="Arial"/>
          <w:i/>
          <w:iCs/>
          <w:sz w:val="20"/>
          <w:szCs w:val="20"/>
          <w:lang w:val="es-CL"/>
        </w:rPr>
        <w:t xml:space="preserve"> </w:t>
      </w:r>
    </w:p>
    <w:p w14:paraId="2925C1EC" w14:textId="77777777" w:rsidR="00885CD0" w:rsidRPr="00885CD0" w:rsidRDefault="00885CD0" w:rsidP="00885CD0">
      <w:pPr>
        <w:ind w:left="720" w:right="720"/>
        <w:rPr>
          <w:rFonts w:ascii="Arial" w:hAnsi="Arial" w:cs="Arial"/>
          <w:sz w:val="20"/>
          <w:szCs w:val="20"/>
          <w:lang w:val="es-CL"/>
        </w:rPr>
      </w:pPr>
    </w:p>
    <w:p w14:paraId="5B0AC5BC" w14:textId="50535D0E" w:rsidR="006A714E" w:rsidRPr="00885CD0" w:rsidRDefault="006A714E" w:rsidP="00885CD0">
      <w:pPr>
        <w:ind w:left="720" w:right="720"/>
        <w:rPr>
          <w:rFonts w:ascii="Arial" w:hAnsi="Arial" w:cs="Arial"/>
          <w:sz w:val="20"/>
          <w:szCs w:val="20"/>
          <w:lang w:val="es-CL"/>
        </w:rPr>
      </w:pPr>
      <w:r w:rsidRPr="00885CD0">
        <w:rPr>
          <w:rFonts w:ascii="Arial" w:hAnsi="Arial" w:cs="Arial"/>
          <w:b/>
          <w:bCs/>
          <w:sz w:val="20"/>
          <w:szCs w:val="20"/>
          <w:lang w:val="es-CL"/>
        </w:rPr>
        <w:t>Rebalanceo.</w:t>
      </w:r>
      <w:r w:rsidRPr="00885CD0">
        <w:rPr>
          <w:rFonts w:ascii="Arial" w:hAnsi="Arial" w:cs="Arial"/>
          <w:sz w:val="20"/>
          <w:szCs w:val="20"/>
          <w:lang w:val="es-CL"/>
        </w:rPr>
        <w:t xml:space="preserve"> El índice se rebalancea con periodicidad mensual. El monto requerido para la cobertura se determina por la tasa TTM el último día del año </w:t>
      </w:r>
      <w:r w:rsidRPr="00885CD0">
        <w:rPr>
          <w:rFonts w:ascii="Arial" w:hAnsi="Arial" w:cs="Arial"/>
          <w:i/>
          <w:iCs/>
          <w:sz w:val="20"/>
          <w:szCs w:val="20"/>
          <w:lang w:val="es-CL"/>
        </w:rPr>
        <w:t>(LBD, “Last Business Day”)</w:t>
      </w:r>
      <w:r w:rsidRPr="00885CD0">
        <w:rPr>
          <w:rFonts w:ascii="Arial" w:hAnsi="Arial" w:cs="Arial"/>
          <w:sz w:val="20"/>
          <w:szCs w:val="20"/>
          <w:lang w:val="es-CL"/>
        </w:rPr>
        <w:t xml:space="preserve"> de acuerdo al calendario de Japón y el valor del índice subyacente en el día “</w:t>
      </w:r>
      <w:r w:rsidRPr="00885CD0">
        <w:rPr>
          <w:rFonts w:ascii="Arial" w:hAnsi="Arial" w:cs="Arial"/>
          <w:i/>
          <w:iCs/>
          <w:sz w:val="20"/>
          <w:szCs w:val="20"/>
          <w:lang w:val="es-CL"/>
        </w:rPr>
        <w:t xml:space="preserve">LBD-1”. </w:t>
      </w:r>
      <w:r w:rsidRPr="00885CD0">
        <w:rPr>
          <w:rFonts w:ascii="Arial" w:hAnsi="Arial" w:cs="Arial"/>
          <w:sz w:val="20"/>
          <w:szCs w:val="20"/>
          <w:lang w:val="es-CL"/>
        </w:rPr>
        <w:t>En caso de no contar con un valor subyacente en el día “</w:t>
      </w:r>
      <w:r w:rsidRPr="00885CD0">
        <w:rPr>
          <w:rFonts w:ascii="Arial" w:hAnsi="Arial" w:cs="Arial"/>
          <w:i/>
          <w:iCs/>
          <w:sz w:val="20"/>
          <w:szCs w:val="20"/>
          <w:lang w:val="es-CL"/>
        </w:rPr>
        <w:t>LBD-1”</w:t>
      </w:r>
      <w:r w:rsidRPr="00885CD0">
        <w:rPr>
          <w:rFonts w:ascii="Arial" w:hAnsi="Arial" w:cs="Arial"/>
          <w:sz w:val="20"/>
          <w:szCs w:val="20"/>
          <w:lang w:val="es-CL"/>
        </w:rPr>
        <w:t xml:space="preserve"> por coincidir con un día feriado en los EE.UU. el valor más reciente del índice subyacente es empleado.</w:t>
      </w:r>
    </w:p>
    <w:p w14:paraId="0C0B8AC9" w14:textId="31D7ECDB" w:rsidR="006A714E" w:rsidRPr="00885CD0" w:rsidRDefault="006A714E" w:rsidP="00885CD0">
      <w:pPr>
        <w:ind w:left="720"/>
        <w:rPr>
          <w:rFonts w:ascii="Arial" w:hAnsi="Arial" w:cs="Arial"/>
          <w:sz w:val="20"/>
          <w:szCs w:val="20"/>
          <w:lang w:val="es-CL"/>
        </w:rPr>
      </w:pPr>
    </w:p>
    <w:p w14:paraId="43A64B00" w14:textId="5BE7D158" w:rsidR="006A714E" w:rsidRPr="00885CD0" w:rsidRDefault="006A714E" w:rsidP="00885CD0">
      <w:pPr>
        <w:ind w:left="720"/>
        <w:rPr>
          <w:rFonts w:ascii="Arial" w:hAnsi="Arial" w:cs="Arial"/>
          <w:sz w:val="20"/>
          <w:szCs w:val="20"/>
          <w:lang w:val="es-CL"/>
        </w:rPr>
      </w:pPr>
      <w:r w:rsidRPr="00885CD0">
        <w:rPr>
          <w:rFonts w:ascii="Arial" w:hAnsi="Arial" w:cs="Arial"/>
          <w:b/>
          <w:bCs/>
          <w:sz w:val="20"/>
          <w:szCs w:val="20"/>
          <w:lang w:val="es-CL"/>
        </w:rPr>
        <w:t>Cobertura</w:t>
      </w:r>
      <w:r w:rsidR="00A00B36" w:rsidRPr="00885CD0">
        <w:rPr>
          <w:rFonts w:ascii="Arial" w:hAnsi="Arial" w:cs="Arial"/>
          <w:b/>
          <w:bCs/>
          <w:sz w:val="20"/>
          <w:szCs w:val="20"/>
          <w:lang w:val="es-CL"/>
        </w:rPr>
        <w:t xml:space="preserve">. </w:t>
      </w:r>
      <w:r w:rsidR="00A00B36" w:rsidRPr="00885CD0">
        <w:rPr>
          <w:rFonts w:ascii="Arial" w:hAnsi="Arial" w:cs="Arial"/>
          <w:sz w:val="20"/>
          <w:szCs w:val="20"/>
          <w:lang w:val="es-CL"/>
        </w:rPr>
        <w:t>El rendimiento del día del índice se calcula a partir de la interpolación del precio spot y el precio forward.</w:t>
      </w:r>
    </w:p>
    <w:p w14:paraId="67570E09" w14:textId="11C263C9" w:rsidR="00A00B36" w:rsidRPr="00885CD0" w:rsidRDefault="00A00B36" w:rsidP="006A714E">
      <w:pPr>
        <w:pStyle w:val="MethodologyText"/>
        <w:ind w:left="720"/>
        <w:rPr>
          <w:rFonts w:ascii="Arial" w:hAnsi="Arial" w:cs="Arial"/>
          <w:sz w:val="20"/>
          <w:szCs w:val="20"/>
          <w:lang w:val="es-CL"/>
        </w:rPr>
      </w:pPr>
    </w:p>
    <w:p w14:paraId="697ADACD" w14:textId="3981B433" w:rsidR="00A00B36" w:rsidRPr="00885CD0" w:rsidRDefault="00877726" w:rsidP="006A714E">
      <w:pPr>
        <w:pStyle w:val="MethodologyText"/>
        <w:ind w:left="720"/>
        <w:rPr>
          <w:rFonts w:ascii="Arial" w:eastAsia="Cambria Math" w:hAnsi="Arial" w:cs="Arial"/>
          <w:sz w:val="20"/>
          <w:szCs w:val="20"/>
          <w:lang w:val="es-MX"/>
        </w:rPr>
      </w:pPr>
      <w:r w:rsidRPr="00885CD0">
        <w:rPr>
          <w:rFonts w:ascii="Arial" w:hAnsi="Arial" w:cs="Arial"/>
          <w:sz w:val="20"/>
          <w:szCs w:val="20"/>
          <w:lang w:val="es-CL"/>
        </w:rPr>
        <w:t xml:space="preserve">Para cada mes de cobertura </w:t>
      </w:r>
      <w:r w:rsidRPr="00885CD0">
        <w:rPr>
          <w:rFonts w:ascii="Cambria Math" w:eastAsia="Cambria Math" w:hAnsi="Cambria Math" w:cs="Cambria Math"/>
          <w:sz w:val="20"/>
          <w:szCs w:val="20"/>
        </w:rPr>
        <w:t>𝑚</w:t>
      </w:r>
      <w:r w:rsidRPr="00885CD0">
        <w:rPr>
          <w:rFonts w:ascii="Cambria Math" w:eastAsia="Cambria Math" w:hAnsi="Cambria Math" w:cs="Cambria Math"/>
          <w:sz w:val="20"/>
          <w:szCs w:val="20"/>
          <w:lang w:val="es-MX"/>
        </w:rPr>
        <w:t xml:space="preserve">, </w:t>
      </w:r>
      <w:r w:rsidRPr="00885CD0">
        <w:rPr>
          <w:rFonts w:ascii="Arial" w:hAnsi="Arial" w:cs="Arial"/>
          <w:sz w:val="20"/>
          <w:szCs w:val="20"/>
          <w:lang w:val="es-CL"/>
        </w:rPr>
        <w:t xml:space="preserve">hay </w:t>
      </w:r>
      <w:r w:rsidRPr="00885CD0">
        <w:rPr>
          <w:rFonts w:ascii="Cambria Math" w:eastAsia="Cambria Math" w:hAnsi="Cambria Math" w:cs="Cambria Math"/>
          <w:sz w:val="20"/>
          <w:szCs w:val="20"/>
        </w:rPr>
        <w:t>𝑑</w:t>
      </w:r>
      <w:r w:rsidRPr="00885CD0">
        <w:rPr>
          <w:rFonts w:ascii="Arial" w:eastAsia="Cambria Math" w:hAnsi="Arial" w:cs="Arial"/>
          <w:sz w:val="20"/>
          <w:szCs w:val="20"/>
          <w:lang w:val="es-MX"/>
        </w:rPr>
        <w:t xml:space="preserve"> = 1,2,3… D días hábiles</w:t>
      </w:r>
    </w:p>
    <w:p w14:paraId="3FEAC97E" w14:textId="2D40ACC2" w:rsidR="00877726" w:rsidRPr="00885CD0" w:rsidRDefault="00877726" w:rsidP="006A714E">
      <w:pPr>
        <w:pStyle w:val="MethodologyText"/>
        <w:ind w:left="720"/>
        <w:rPr>
          <w:rFonts w:ascii="Arial" w:eastAsia="Cambria Math" w:hAnsi="Arial" w:cs="Arial"/>
          <w:sz w:val="20"/>
          <w:szCs w:val="20"/>
          <w:lang w:val="es-MX"/>
        </w:rPr>
      </w:pPr>
    </w:p>
    <w:p w14:paraId="4B1F141E" w14:textId="4A629FE7" w:rsidR="00877726" w:rsidRPr="00885CD0" w:rsidRDefault="00877726" w:rsidP="00877726">
      <w:pPr>
        <w:pStyle w:val="BodyText"/>
        <w:tabs>
          <w:tab w:val="left" w:pos="7853"/>
        </w:tabs>
        <w:spacing w:after="0"/>
        <w:ind w:left="720" w:right="720"/>
        <w:rPr>
          <w:rFonts w:ascii="Arial" w:eastAsia="Cambria Math" w:hAnsi="Arial" w:cs="Arial"/>
          <w:sz w:val="20"/>
          <w:szCs w:val="20"/>
          <w:lang w:val="es-MX"/>
        </w:rPr>
      </w:pPr>
      <w:r w:rsidRPr="00885CD0">
        <w:rPr>
          <w:rFonts w:ascii="Cambria Math" w:eastAsia="Cambria Math" w:hAnsi="Cambria Math" w:cs="Cambria Math"/>
          <w:sz w:val="20"/>
          <w:szCs w:val="20"/>
        </w:rPr>
        <w:t>𝑚𝑑</w:t>
      </w:r>
      <w:r w:rsidRPr="00885CD0">
        <w:rPr>
          <w:rFonts w:ascii="Arial" w:eastAsia="Cambria Math" w:hAnsi="Arial" w:cs="Arial"/>
          <w:spacing w:val="-11"/>
          <w:sz w:val="20"/>
          <w:szCs w:val="20"/>
          <w:lang w:val="es-MX"/>
        </w:rPr>
        <w:t xml:space="preserve"> </w:t>
      </w:r>
      <w:r w:rsidRPr="00885CD0">
        <w:rPr>
          <w:rFonts w:ascii="Arial" w:hAnsi="Arial" w:cs="Arial"/>
          <w:sz w:val="20"/>
          <w:szCs w:val="20"/>
          <w:lang w:val="es-MX"/>
        </w:rPr>
        <w:t>es el dia</w:t>
      </w:r>
      <w:r w:rsidRPr="00885CD0">
        <w:rPr>
          <w:rFonts w:ascii="Arial" w:hAnsi="Arial" w:cs="Arial"/>
          <w:spacing w:val="31"/>
          <w:sz w:val="20"/>
          <w:szCs w:val="20"/>
          <w:lang w:val="es-MX"/>
        </w:rPr>
        <w:t xml:space="preserve"> </w:t>
      </w:r>
      <w:r w:rsidRPr="00885CD0">
        <w:rPr>
          <w:rFonts w:ascii="Cambria Math" w:eastAsia="Cambria Math" w:hAnsi="Cambria Math" w:cs="Cambria Math"/>
          <w:sz w:val="20"/>
          <w:szCs w:val="20"/>
        </w:rPr>
        <w:t>𝑑</w:t>
      </w:r>
      <w:r w:rsidRPr="00885CD0">
        <w:rPr>
          <w:rFonts w:ascii="Arial" w:eastAsia="Cambria Math" w:hAnsi="Arial" w:cs="Arial"/>
          <w:spacing w:val="21"/>
          <w:sz w:val="20"/>
          <w:szCs w:val="20"/>
          <w:lang w:val="es-MX"/>
        </w:rPr>
        <w:t xml:space="preserve"> </w:t>
      </w:r>
      <w:r w:rsidRPr="00885CD0">
        <w:rPr>
          <w:rFonts w:ascii="Arial" w:hAnsi="Arial" w:cs="Arial"/>
          <w:sz w:val="20"/>
          <w:szCs w:val="20"/>
          <w:lang w:val="es-MX"/>
        </w:rPr>
        <w:t xml:space="preserve">para el mes de cobertura </w:t>
      </w:r>
      <w:r w:rsidRPr="00885CD0">
        <w:rPr>
          <w:rFonts w:ascii="Arial" w:hAnsi="Arial" w:cs="Arial"/>
          <w:spacing w:val="-44"/>
          <w:sz w:val="20"/>
          <w:szCs w:val="20"/>
          <w:lang w:val="es-MX"/>
        </w:rPr>
        <w:t xml:space="preserve"> </w:t>
      </w:r>
      <w:r w:rsidRPr="00885CD0">
        <w:rPr>
          <w:rFonts w:ascii="Cambria Math" w:eastAsia="Cambria Math" w:hAnsi="Cambria Math" w:cs="Cambria Math"/>
          <w:sz w:val="20"/>
          <w:szCs w:val="20"/>
        </w:rPr>
        <w:t>𝑚</w:t>
      </w:r>
      <w:r w:rsidRPr="00885CD0">
        <w:rPr>
          <w:rFonts w:ascii="Arial" w:eastAsia="Cambria Math" w:hAnsi="Arial" w:cs="Arial"/>
          <w:sz w:val="20"/>
          <w:szCs w:val="20"/>
          <w:lang w:val="es-MX"/>
        </w:rPr>
        <w:t xml:space="preserve"> </w:t>
      </w:r>
      <w:r w:rsidRPr="00885CD0">
        <w:rPr>
          <w:rFonts w:ascii="Arial" w:hAnsi="Arial" w:cs="Arial"/>
          <w:sz w:val="20"/>
          <w:szCs w:val="20"/>
          <w:lang w:val="es-MX"/>
        </w:rPr>
        <w:t>y</w:t>
      </w:r>
      <w:r w:rsidRPr="00885CD0">
        <w:rPr>
          <w:rFonts w:ascii="Arial" w:hAnsi="Arial" w:cs="Arial"/>
          <w:spacing w:val="2"/>
          <w:sz w:val="20"/>
          <w:szCs w:val="20"/>
          <w:lang w:val="es-MX"/>
        </w:rPr>
        <w:t xml:space="preserve"> </w:t>
      </w:r>
      <w:r w:rsidRPr="00885CD0">
        <w:rPr>
          <w:rFonts w:ascii="Cambria Math" w:eastAsia="Cambria Math" w:hAnsi="Cambria Math" w:cs="Cambria Math"/>
          <w:sz w:val="20"/>
          <w:szCs w:val="20"/>
        </w:rPr>
        <w:t>𝑚</w:t>
      </w:r>
      <w:r w:rsidRPr="00885CD0">
        <w:rPr>
          <w:rFonts w:ascii="Arial" w:eastAsia="Cambria Math" w:hAnsi="Arial" w:cs="Arial"/>
          <w:sz w:val="20"/>
          <w:szCs w:val="20"/>
          <w:lang w:val="es-MX"/>
        </w:rPr>
        <w:t>0</w:t>
      </w:r>
      <w:r w:rsidRPr="00885CD0">
        <w:rPr>
          <w:rFonts w:ascii="Arial" w:eastAsia="Cambria Math" w:hAnsi="Arial" w:cs="Arial"/>
          <w:spacing w:val="-20"/>
          <w:sz w:val="20"/>
          <w:szCs w:val="20"/>
          <w:lang w:val="es-MX"/>
        </w:rPr>
        <w:t xml:space="preserve"> es el  último día hábil del mes de cobertura </w:t>
      </w:r>
      <w:r w:rsidRPr="00885CD0">
        <w:rPr>
          <w:rFonts w:ascii="Cambria Math" w:eastAsia="Cambria Math" w:hAnsi="Cambria Math" w:cs="Cambria Math"/>
          <w:sz w:val="20"/>
          <w:szCs w:val="20"/>
        </w:rPr>
        <w:t>𝑚</w:t>
      </w:r>
      <w:r w:rsidRPr="00885CD0">
        <w:rPr>
          <w:rFonts w:ascii="Arial" w:eastAsia="Cambria Math" w:hAnsi="Arial" w:cs="Arial"/>
          <w:sz w:val="20"/>
          <w:szCs w:val="20"/>
          <w:lang w:val="es-MX"/>
        </w:rPr>
        <w:t xml:space="preserve"> −</w:t>
      </w:r>
      <w:r w:rsidRPr="00885CD0">
        <w:rPr>
          <w:rFonts w:ascii="Arial" w:eastAsia="Cambria Math" w:hAnsi="Arial" w:cs="Arial"/>
          <w:spacing w:val="-3"/>
          <w:sz w:val="20"/>
          <w:szCs w:val="20"/>
          <w:lang w:val="es-MX"/>
        </w:rPr>
        <w:t xml:space="preserve"> </w:t>
      </w:r>
      <w:r w:rsidRPr="00885CD0">
        <w:rPr>
          <w:rFonts w:ascii="Arial" w:eastAsia="Cambria Math" w:hAnsi="Arial" w:cs="Arial"/>
          <w:sz w:val="20"/>
          <w:szCs w:val="20"/>
          <w:lang w:val="es-MX"/>
        </w:rPr>
        <w:t>1.</w:t>
      </w:r>
    </w:p>
    <w:p w14:paraId="0253A0F0" w14:textId="77777777" w:rsidR="00877726" w:rsidRPr="00877726" w:rsidRDefault="00877726" w:rsidP="00877726">
      <w:pPr>
        <w:pStyle w:val="BodyText"/>
        <w:spacing w:after="0"/>
        <w:ind w:left="720" w:right="720"/>
        <w:rPr>
          <w:rFonts w:ascii="Arial" w:hAnsi="Arial" w:cs="Arial"/>
          <w:sz w:val="20"/>
          <w:lang w:val="es-MX"/>
        </w:rPr>
      </w:pPr>
    </w:p>
    <w:p w14:paraId="5D51C917" w14:textId="603D72E6" w:rsidR="00877726" w:rsidRPr="00877726" w:rsidRDefault="00877726" w:rsidP="00877726">
      <w:pPr>
        <w:pStyle w:val="BodyText"/>
        <w:tabs>
          <w:tab w:val="left" w:pos="4397"/>
        </w:tabs>
        <w:spacing w:before="120" w:after="0"/>
        <w:ind w:left="720" w:right="720"/>
        <w:rPr>
          <w:rFonts w:ascii="Arial" w:hAnsi="Arial" w:cs="Arial"/>
          <w:sz w:val="20"/>
          <w:lang w:val="es-MX"/>
        </w:rPr>
      </w:pPr>
      <w:r w:rsidRPr="006A6D26">
        <w:rPr>
          <w:rFonts w:ascii="Cambria Math" w:eastAsia="Cambria Math" w:hAnsi="Cambria Math" w:cs="Cambria Math"/>
          <w:sz w:val="20"/>
        </w:rPr>
        <w:t>𝐹</w:t>
      </w:r>
      <w:r w:rsidRPr="00877726">
        <w:rPr>
          <w:rFonts w:ascii="Arial" w:eastAsia="Cambria Math" w:hAnsi="Arial" w:cs="Arial"/>
          <w:sz w:val="20"/>
          <w:lang w:val="es-MX"/>
        </w:rPr>
        <w:t>_</w:t>
      </w:r>
      <w:r w:rsidRPr="006A6D26">
        <w:rPr>
          <w:rFonts w:ascii="Cambria Math" w:eastAsia="Cambria Math" w:hAnsi="Cambria Math" w:cs="Cambria Math"/>
          <w:sz w:val="20"/>
        </w:rPr>
        <w:t>𝐼</w:t>
      </w:r>
      <w:r w:rsidRPr="006A6D26">
        <w:rPr>
          <w:rFonts w:ascii="Cambria Math" w:eastAsia="Cambria Math" w:hAnsi="Cambria Math" w:cs="Cambria Math"/>
          <w:position w:val="-5"/>
          <w:sz w:val="20"/>
        </w:rPr>
        <w:t>𝑚𝑑</w:t>
      </w:r>
      <w:r w:rsidRPr="00877726">
        <w:rPr>
          <w:rFonts w:ascii="Arial" w:eastAsia="Cambria Math" w:hAnsi="Arial" w:cs="Arial"/>
          <w:spacing w:val="-11"/>
          <w:position w:val="-5"/>
          <w:sz w:val="20"/>
          <w:lang w:val="es-MX"/>
        </w:rPr>
        <w:t xml:space="preserve"> </w:t>
      </w:r>
      <w:r w:rsidRPr="00877726">
        <w:rPr>
          <w:rFonts w:ascii="Arial" w:eastAsia="Cambria Math" w:hAnsi="Arial" w:cs="Arial"/>
          <w:sz w:val="20"/>
          <w:lang w:val="es-MX"/>
        </w:rPr>
        <w:t>=</w:t>
      </w:r>
      <w:r w:rsidRPr="00877726">
        <w:rPr>
          <w:rFonts w:ascii="Arial" w:eastAsia="Cambria Math" w:hAnsi="Arial" w:cs="Arial"/>
          <w:spacing w:val="-11"/>
          <w:sz w:val="20"/>
          <w:lang w:val="es-MX"/>
        </w:rPr>
        <w:t xml:space="preserve"> </w:t>
      </w:r>
      <w:r>
        <w:rPr>
          <w:rFonts w:ascii="Arial" w:hAnsi="Arial" w:cs="Arial"/>
          <w:sz w:val="20"/>
          <w:lang w:val="es-MX"/>
        </w:rPr>
        <w:t xml:space="preserve"> el tipo de cambio</w:t>
      </w:r>
      <w:r w:rsidRPr="00877726">
        <w:rPr>
          <w:rFonts w:ascii="Arial" w:hAnsi="Arial" w:cs="Arial"/>
          <w:sz w:val="20"/>
          <w:lang w:val="es-MX"/>
        </w:rPr>
        <w:t xml:space="preserve"> forward interpolad</w:t>
      </w:r>
      <w:r>
        <w:rPr>
          <w:rFonts w:ascii="Arial" w:hAnsi="Arial" w:cs="Arial"/>
          <w:sz w:val="20"/>
          <w:lang w:val="es-MX"/>
        </w:rPr>
        <w:t>o</w:t>
      </w:r>
      <w:r w:rsidRPr="00877726">
        <w:rPr>
          <w:rFonts w:ascii="Arial" w:hAnsi="Arial" w:cs="Arial"/>
          <w:sz w:val="20"/>
          <w:lang w:val="es-MX"/>
        </w:rPr>
        <w:t xml:space="preserve"> el</w:t>
      </w:r>
      <w:r>
        <w:rPr>
          <w:rFonts w:ascii="Arial" w:hAnsi="Arial" w:cs="Arial"/>
          <w:sz w:val="20"/>
          <w:lang w:val="es-MX"/>
        </w:rPr>
        <w:t xml:space="preserve"> día </w:t>
      </w:r>
      <w:r w:rsidRPr="006A6D26">
        <w:rPr>
          <w:rFonts w:ascii="Cambria Math" w:eastAsia="Cambria Math" w:hAnsi="Cambria Math" w:cs="Cambria Math"/>
          <w:sz w:val="20"/>
        </w:rPr>
        <w:t>𝑑</w:t>
      </w:r>
      <w:r w:rsidRPr="00877726">
        <w:rPr>
          <w:rFonts w:ascii="Arial" w:eastAsia="Cambria Math" w:hAnsi="Arial" w:cs="Arial"/>
          <w:sz w:val="20"/>
          <w:lang w:val="es-MX"/>
        </w:rPr>
        <w:t xml:space="preserve"> </w:t>
      </w:r>
      <w:r>
        <w:rPr>
          <w:rFonts w:ascii="Arial" w:hAnsi="Arial" w:cs="Arial"/>
          <w:sz w:val="20"/>
          <w:lang w:val="es-MX"/>
        </w:rPr>
        <w:t>del mes</w:t>
      </w:r>
      <w:r w:rsidRPr="00877726">
        <w:rPr>
          <w:rFonts w:ascii="Arial" w:hAnsi="Arial" w:cs="Arial"/>
          <w:spacing w:val="9"/>
          <w:sz w:val="20"/>
          <w:lang w:val="es-MX"/>
        </w:rPr>
        <w:t xml:space="preserve"> </w:t>
      </w:r>
      <w:r w:rsidRPr="006A6D26">
        <w:rPr>
          <w:rFonts w:ascii="Cambria Math" w:eastAsia="Cambria Math" w:hAnsi="Cambria Math" w:cs="Cambria Math"/>
          <w:sz w:val="20"/>
        </w:rPr>
        <w:t>𝑚</w:t>
      </w:r>
      <w:r w:rsidRPr="00877726">
        <w:rPr>
          <w:rFonts w:ascii="Arial" w:hAnsi="Arial" w:cs="Arial"/>
          <w:sz w:val="20"/>
          <w:lang w:val="es-MX"/>
        </w:rPr>
        <w:t>.</w:t>
      </w:r>
    </w:p>
    <w:p w14:paraId="259C5026" w14:textId="48A9A22B" w:rsidR="00877726" w:rsidRPr="00877726" w:rsidRDefault="00877726" w:rsidP="00877726">
      <w:pPr>
        <w:pStyle w:val="BodyText"/>
        <w:spacing w:before="120" w:after="0"/>
        <w:ind w:left="720" w:right="720"/>
        <w:rPr>
          <w:rFonts w:ascii="Arial" w:hAnsi="Arial" w:cs="Arial"/>
          <w:sz w:val="20"/>
          <w:lang w:val="es-MX"/>
        </w:rPr>
      </w:pPr>
      <w:r w:rsidRPr="006A6D26">
        <w:rPr>
          <w:rFonts w:ascii="Cambria Math" w:eastAsia="Cambria Math" w:hAnsi="Cambria Math" w:cs="Cambria Math"/>
          <w:sz w:val="20"/>
        </w:rPr>
        <w:t>𝑆</w:t>
      </w:r>
      <w:r w:rsidRPr="006A6D26">
        <w:rPr>
          <w:rFonts w:ascii="Cambria Math" w:eastAsia="Cambria Math" w:hAnsi="Cambria Math" w:cs="Cambria Math"/>
          <w:position w:val="-4"/>
          <w:sz w:val="20"/>
        </w:rPr>
        <w:t>𝑚</w:t>
      </w:r>
      <w:r w:rsidRPr="00877726">
        <w:rPr>
          <w:rFonts w:ascii="Arial" w:eastAsia="Cambria Math" w:hAnsi="Arial" w:cs="Arial"/>
          <w:position w:val="-4"/>
          <w:sz w:val="20"/>
          <w:lang w:val="es-MX"/>
        </w:rPr>
        <w:t xml:space="preserve"> </w:t>
      </w:r>
      <w:r w:rsidRPr="00877726">
        <w:rPr>
          <w:rFonts w:ascii="Arial" w:eastAsia="Cambria Math" w:hAnsi="Arial" w:cs="Arial"/>
          <w:sz w:val="20"/>
          <w:lang w:val="es-MX"/>
        </w:rPr>
        <w:t xml:space="preserve">= </w:t>
      </w:r>
      <w:r w:rsidRPr="00877726">
        <w:rPr>
          <w:rFonts w:ascii="Arial" w:hAnsi="Arial" w:cs="Arial"/>
          <w:sz w:val="20"/>
          <w:lang w:val="es-MX"/>
        </w:rPr>
        <w:t xml:space="preserve"> </w:t>
      </w:r>
      <w:r>
        <w:rPr>
          <w:rFonts w:ascii="Arial" w:hAnsi="Arial" w:cs="Arial"/>
          <w:sz w:val="20"/>
          <w:lang w:val="es-MX"/>
        </w:rPr>
        <w:t xml:space="preserve">el tipo de cambio spot </w:t>
      </w:r>
      <w:r w:rsidRPr="00877726">
        <w:rPr>
          <w:rFonts w:ascii="Arial" w:hAnsi="Arial" w:cs="Arial"/>
          <w:sz w:val="20"/>
          <w:lang w:val="es-MX"/>
        </w:rPr>
        <w:t>USD/JPY.</w:t>
      </w:r>
    </w:p>
    <w:p w14:paraId="78BB95A5" w14:textId="51CF7AE6" w:rsidR="00877726" w:rsidRPr="00877726" w:rsidRDefault="00877726" w:rsidP="00877726">
      <w:pPr>
        <w:pStyle w:val="BodyText"/>
        <w:spacing w:before="120" w:after="0"/>
        <w:ind w:left="720" w:right="720"/>
        <w:rPr>
          <w:rFonts w:ascii="Arial" w:hAnsi="Arial" w:cs="Arial"/>
          <w:sz w:val="20"/>
          <w:lang w:val="es-MX"/>
        </w:rPr>
      </w:pPr>
      <w:r w:rsidRPr="006A6D26">
        <w:rPr>
          <w:rFonts w:ascii="Cambria Math" w:eastAsia="Cambria Math" w:hAnsi="Cambria Math" w:cs="Cambria Math"/>
          <w:sz w:val="20"/>
        </w:rPr>
        <w:t>𝐹</w:t>
      </w:r>
      <w:r w:rsidRPr="006A6D26">
        <w:rPr>
          <w:rFonts w:ascii="Cambria Math" w:eastAsia="Cambria Math" w:hAnsi="Cambria Math" w:cs="Cambria Math"/>
          <w:position w:val="-4"/>
          <w:sz w:val="20"/>
        </w:rPr>
        <w:t>𝑚</w:t>
      </w:r>
      <w:r w:rsidRPr="00877726">
        <w:rPr>
          <w:rFonts w:ascii="Arial" w:eastAsia="Cambria Math" w:hAnsi="Arial" w:cs="Arial"/>
          <w:position w:val="-4"/>
          <w:sz w:val="20"/>
          <w:lang w:val="es-MX"/>
        </w:rPr>
        <w:t xml:space="preserve"> </w:t>
      </w:r>
      <w:r w:rsidRPr="00877726">
        <w:rPr>
          <w:rFonts w:ascii="Arial" w:eastAsia="Cambria Math" w:hAnsi="Arial" w:cs="Arial"/>
          <w:sz w:val="20"/>
          <w:lang w:val="es-MX"/>
        </w:rPr>
        <w:t xml:space="preserve">= </w:t>
      </w:r>
      <w:r>
        <w:rPr>
          <w:rFonts w:ascii="Arial" w:hAnsi="Arial" w:cs="Arial"/>
          <w:sz w:val="20"/>
          <w:lang w:val="es-MX"/>
        </w:rPr>
        <w:t>el tipo de cambio</w:t>
      </w:r>
      <w:r w:rsidRPr="00877726">
        <w:rPr>
          <w:rFonts w:ascii="Arial" w:hAnsi="Arial" w:cs="Arial"/>
          <w:sz w:val="20"/>
          <w:lang w:val="es-MX"/>
        </w:rPr>
        <w:t xml:space="preserve"> forward (USD/JPY).</w:t>
      </w:r>
    </w:p>
    <w:p w14:paraId="4F68E4F5" w14:textId="0F06937A" w:rsidR="00877726" w:rsidRPr="00852572" w:rsidRDefault="00877726" w:rsidP="00877726">
      <w:pPr>
        <w:pStyle w:val="BodyText"/>
        <w:spacing w:before="120" w:after="0"/>
        <w:ind w:left="720" w:right="720"/>
        <w:rPr>
          <w:rFonts w:ascii="Arial" w:hAnsi="Arial" w:cs="Arial"/>
          <w:sz w:val="20"/>
          <w:lang w:val="es-MX"/>
        </w:rPr>
      </w:pPr>
      <w:r w:rsidRPr="006A6D26">
        <w:rPr>
          <w:rFonts w:ascii="Cambria Math" w:eastAsia="Cambria Math" w:hAnsi="Cambria Math" w:cs="Cambria Math"/>
          <w:sz w:val="20"/>
        </w:rPr>
        <w:t>𝐻𝑅</w:t>
      </w:r>
      <w:r w:rsidRPr="006A6D26">
        <w:rPr>
          <w:rFonts w:ascii="Cambria Math" w:eastAsia="Cambria Math" w:hAnsi="Cambria Math" w:cs="Cambria Math"/>
          <w:position w:val="-4"/>
          <w:sz w:val="20"/>
        </w:rPr>
        <w:t>𝑚𝑑</w:t>
      </w:r>
      <w:r w:rsidRPr="00852572">
        <w:rPr>
          <w:rFonts w:ascii="Arial" w:eastAsia="Cambria Math" w:hAnsi="Arial" w:cs="Arial"/>
          <w:position w:val="-4"/>
          <w:sz w:val="20"/>
          <w:lang w:val="es-MX"/>
        </w:rPr>
        <w:t xml:space="preserve"> </w:t>
      </w:r>
      <w:r w:rsidRPr="00852572">
        <w:rPr>
          <w:rFonts w:ascii="Arial" w:eastAsia="Cambria Math" w:hAnsi="Arial" w:cs="Arial"/>
          <w:sz w:val="20"/>
          <w:lang w:val="es-MX"/>
        </w:rPr>
        <w:t xml:space="preserve">= </w:t>
      </w:r>
      <w:r w:rsidR="00852572" w:rsidRPr="00852572">
        <w:rPr>
          <w:rFonts w:ascii="Arial" w:hAnsi="Arial" w:cs="Arial"/>
          <w:sz w:val="20"/>
          <w:lang w:val="es-MX"/>
        </w:rPr>
        <w:t>el rendimiento “cubierto”</w:t>
      </w:r>
      <w:r w:rsidRPr="00852572">
        <w:rPr>
          <w:rFonts w:ascii="Arial" w:hAnsi="Arial" w:cs="Arial"/>
          <w:sz w:val="20"/>
          <w:lang w:val="es-MX"/>
        </w:rPr>
        <w:t xml:space="preserve"> (%).</w:t>
      </w:r>
    </w:p>
    <w:p w14:paraId="06247B53" w14:textId="1BEC5B4E" w:rsidR="00877726" w:rsidRPr="00852572" w:rsidRDefault="00877726" w:rsidP="00877726">
      <w:pPr>
        <w:pStyle w:val="BodyText"/>
        <w:spacing w:before="120" w:after="0"/>
        <w:ind w:left="720" w:right="720"/>
        <w:rPr>
          <w:rFonts w:ascii="Arial" w:hAnsi="Arial" w:cs="Arial"/>
          <w:sz w:val="20"/>
          <w:lang w:val="es-MX"/>
        </w:rPr>
      </w:pPr>
      <w:r w:rsidRPr="006A6D26">
        <w:rPr>
          <w:rFonts w:ascii="Cambria Math" w:eastAsia="Cambria Math" w:hAnsi="Cambria Math" w:cs="Cambria Math"/>
          <w:sz w:val="20"/>
        </w:rPr>
        <w:t>𝑆𝑃𝐼</w:t>
      </w:r>
      <w:r w:rsidRPr="00852572">
        <w:rPr>
          <w:rFonts w:ascii="Arial" w:eastAsia="Cambria Math" w:hAnsi="Arial" w:cs="Arial"/>
          <w:sz w:val="20"/>
          <w:lang w:val="es-MX"/>
        </w:rPr>
        <w:t>_</w:t>
      </w:r>
      <w:r w:rsidRPr="006A6D26">
        <w:rPr>
          <w:rFonts w:ascii="Cambria Math" w:eastAsia="Cambria Math" w:hAnsi="Cambria Math" w:cs="Cambria Math"/>
          <w:sz w:val="20"/>
        </w:rPr>
        <w:t>𝐸</w:t>
      </w:r>
      <w:r w:rsidRPr="006A6D26">
        <w:rPr>
          <w:rFonts w:ascii="Cambria Math" w:eastAsia="Cambria Math" w:hAnsi="Cambria Math" w:cs="Cambria Math"/>
          <w:position w:val="-4"/>
          <w:sz w:val="20"/>
        </w:rPr>
        <w:t>𝑚</w:t>
      </w:r>
      <w:r w:rsidRPr="00852572">
        <w:rPr>
          <w:rFonts w:ascii="Arial" w:eastAsia="Cambria Math" w:hAnsi="Arial" w:cs="Arial"/>
          <w:position w:val="-4"/>
          <w:sz w:val="20"/>
          <w:lang w:val="es-MX"/>
        </w:rPr>
        <w:t xml:space="preserve"> </w:t>
      </w:r>
      <w:r w:rsidRPr="00852572">
        <w:rPr>
          <w:rFonts w:ascii="Arial" w:eastAsia="Cambria Math" w:hAnsi="Arial" w:cs="Arial"/>
          <w:sz w:val="20"/>
          <w:lang w:val="es-MX"/>
        </w:rPr>
        <w:t xml:space="preserve">= </w:t>
      </w:r>
      <w:r w:rsidR="00852572" w:rsidRPr="00852572">
        <w:rPr>
          <w:rFonts w:ascii="Arial" w:eastAsia="Cambria Math" w:hAnsi="Arial" w:cs="Arial"/>
          <w:sz w:val="20"/>
          <w:lang w:val="es-MX"/>
        </w:rPr>
        <w:t>el nivel del índice subyacente en Yenes Japonese</w:t>
      </w:r>
      <w:r w:rsidR="00852572">
        <w:rPr>
          <w:rFonts w:ascii="Arial" w:eastAsia="Cambria Math" w:hAnsi="Arial" w:cs="Arial"/>
          <w:sz w:val="20"/>
          <w:lang w:val="es-MX"/>
        </w:rPr>
        <w:t>s</w:t>
      </w:r>
      <w:r w:rsidRPr="00852572">
        <w:rPr>
          <w:rFonts w:ascii="Arial" w:hAnsi="Arial" w:cs="Arial"/>
          <w:sz w:val="20"/>
          <w:lang w:val="es-MX"/>
        </w:rPr>
        <w:t>.</w:t>
      </w:r>
    </w:p>
    <w:p w14:paraId="409BDD58" w14:textId="45233E54" w:rsidR="00877726" w:rsidRPr="00852572" w:rsidRDefault="00877726" w:rsidP="00877726">
      <w:pPr>
        <w:pStyle w:val="BodyText"/>
        <w:spacing w:before="120" w:after="0"/>
        <w:ind w:left="720" w:right="720"/>
        <w:rPr>
          <w:rFonts w:ascii="Arial" w:hAnsi="Arial" w:cs="Arial"/>
          <w:sz w:val="20"/>
          <w:lang w:val="es-MX"/>
        </w:rPr>
      </w:pPr>
      <w:r w:rsidRPr="006A6D26">
        <w:rPr>
          <w:rFonts w:ascii="Cambria Math" w:eastAsia="Cambria Math" w:hAnsi="Cambria Math" w:cs="Cambria Math"/>
          <w:sz w:val="20"/>
        </w:rPr>
        <w:t>𝑆𝑃𝐼</w:t>
      </w:r>
      <w:r w:rsidRPr="00852572">
        <w:rPr>
          <w:rFonts w:ascii="Arial" w:eastAsia="Cambria Math" w:hAnsi="Arial" w:cs="Arial"/>
          <w:sz w:val="20"/>
          <w:lang w:val="es-MX"/>
        </w:rPr>
        <w:t>_</w:t>
      </w:r>
      <w:r w:rsidRPr="006A6D26">
        <w:rPr>
          <w:rFonts w:ascii="Cambria Math" w:eastAsia="Cambria Math" w:hAnsi="Cambria Math" w:cs="Cambria Math"/>
          <w:sz w:val="20"/>
        </w:rPr>
        <w:t>𝐸𝐻</w:t>
      </w:r>
      <w:r w:rsidRPr="006A6D26">
        <w:rPr>
          <w:rFonts w:ascii="Cambria Math" w:eastAsia="Cambria Math" w:hAnsi="Cambria Math" w:cs="Cambria Math"/>
          <w:position w:val="-4"/>
          <w:sz w:val="20"/>
        </w:rPr>
        <w:t>𝑚</w:t>
      </w:r>
      <w:r w:rsidRPr="00852572">
        <w:rPr>
          <w:rFonts w:ascii="Arial" w:eastAsia="Cambria Math" w:hAnsi="Arial" w:cs="Arial"/>
          <w:position w:val="-4"/>
          <w:sz w:val="20"/>
          <w:lang w:val="es-MX"/>
        </w:rPr>
        <w:t xml:space="preserve"> </w:t>
      </w:r>
      <w:r w:rsidRPr="00852572">
        <w:rPr>
          <w:rFonts w:ascii="Arial" w:eastAsia="Cambria Math" w:hAnsi="Arial" w:cs="Arial"/>
          <w:sz w:val="20"/>
          <w:lang w:val="es-MX"/>
        </w:rPr>
        <w:t xml:space="preserve">= </w:t>
      </w:r>
      <w:r w:rsidR="00852572" w:rsidRPr="00852572">
        <w:rPr>
          <w:rFonts w:ascii="Arial" w:eastAsia="Cambria Math" w:hAnsi="Arial" w:cs="Arial"/>
          <w:sz w:val="20"/>
          <w:lang w:val="es-MX"/>
        </w:rPr>
        <w:t>el nivel del índice subyac</w:t>
      </w:r>
      <w:r w:rsidR="00852572">
        <w:rPr>
          <w:rFonts w:ascii="Arial" w:eastAsia="Cambria Math" w:hAnsi="Arial" w:cs="Arial"/>
          <w:sz w:val="20"/>
          <w:lang w:val="es-MX"/>
        </w:rPr>
        <w:t>ente</w:t>
      </w:r>
      <w:r w:rsidRPr="00852572">
        <w:rPr>
          <w:rFonts w:ascii="Arial" w:hAnsi="Arial" w:cs="Arial"/>
          <w:sz w:val="20"/>
          <w:lang w:val="es-MX"/>
        </w:rPr>
        <w:t>.</w:t>
      </w:r>
    </w:p>
    <w:p w14:paraId="368749AB" w14:textId="77777777" w:rsidR="00877726" w:rsidRPr="00852572" w:rsidRDefault="00877726" w:rsidP="00877726">
      <w:pPr>
        <w:pStyle w:val="BodyText"/>
        <w:spacing w:before="120" w:after="0"/>
        <w:ind w:left="720" w:right="720"/>
        <w:rPr>
          <w:rFonts w:ascii="Arial" w:hAnsi="Arial" w:cs="Arial"/>
          <w:sz w:val="20"/>
          <w:lang w:val="es-MX"/>
        </w:rPr>
      </w:pPr>
    </w:p>
    <w:p w14:paraId="71BE4ED2" w14:textId="20CD3A5C" w:rsidR="008532F2" w:rsidRPr="00885CD0" w:rsidRDefault="00877726" w:rsidP="00885CD0">
      <w:pPr>
        <w:pStyle w:val="BodyText"/>
        <w:spacing w:after="0"/>
        <w:ind w:left="720" w:right="720"/>
        <w:rPr>
          <w:rFonts w:ascii="Arial" w:hAnsi="Arial" w:cs="Arial"/>
          <w:sz w:val="20"/>
        </w:rPr>
      </w:pPr>
      <w:r w:rsidRPr="006A6D26">
        <w:rPr>
          <w:rFonts w:ascii="Arial" w:hAnsi="Arial" w:cs="Arial"/>
          <w:noProof/>
          <w:sz w:val="20"/>
        </w:rPr>
        <w:drawing>
          <wp:inline distT="0" distB="0" distL="0" distR="0" wp14:anchorId="01C258FC" wp14:editId="17DC6F8D">
            <wp:extent cx="2720340" cy="11998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55807" cy="1215489"/>
                    </a:xfrm>
                    <a:prstGeom prst="rect">
                      <a:avLst/>
                    </a:prstGeom>
                  </pic:spPr>
                </pic:pic>
              </a:graphicData>
            </a:graphic>
          </wp:inline>
        </w:drawing>
      </w:r>
    </w:p>
    <w:p w14:paraId="501E5C5C" w14:textId="13B2163E" w:rsidR="00530CB8" w:rsidRPr="008532F2" w:rsidRDefault="00530CB8" w:rsidP="00530CB8">
      <w:pPr>
        <w:pStyle w:val="Heading1"/>
        <w:ind w:left="720"/>
        <w:rPr>
          <w:rFonts w:ascii="Arial" w:hAnsi="Arial" w:cs="Arial"/>
          <w:lang w:val="es-MX"/>
        </w:rPr>
      </w:pPr>
      <w:bookmarkStart w:id="54" w:name="_Toc198540710"/>
      <w:r w:rsidRPr="008532F2">
        <w:rPr>
          <w:rFonts w:ascii="Arial" w:hAnsi="Arial" w:cs="Arial"/>
          <w:lang w:val="es-MX"/>
        </w:rPr>
        <w:t>Apéndi</w:t>
      </w:r>
      <w:bookmarkEnd w:id="50"/>
      <w:r w:rsidRPr="008532F2">
        <w:rPr>
          <w:rFonts w:ascii="Arial" w:hAnsi="Arial" w:cs="Arial"/>
          <w:lang w:val="es-MX"/>
        </w:rPr>
        <w:t xml:space="preserve">ce </w:t>
      </w:r>
      <w:bookmarkEnd w:id="51"/>
      <w:bookmarkEnd w:id="52"/>
      <w:r w:rsidR="008D2088">
        <w:rPr>
          <w:rFonts w:ascii="Arial" w:hAnsi="Arial" w:cs="Arial"/>
          <w:lang w:val="es-MX"/>
        </w:rPr>
        <w:t>B</w:t>
      </w:r>
      <w:bookmarkEnd w:id="54"/>
    </w:p>
    <w:p w14:paraId="37CA2331" w14:textId="6516FDFB" w:rsidR="00530CB8" w:rsidRPr="008532F2" w:rsidRDefault="00530CB8" w:rsidP="00530CB8">
      <w:pPr>
        <w:pStyle w:val="Heading2"/>
        <w:ind w:left="1440" w:hanging="720"/>
        <w:rPr>
          <w:rFonts w:ascii="Arial" w:hAnsi="Arial" w:cs="Arial"/>
          <w:sz w:val="20"/>
          <w:lang w:val="es-MX"/>
        </w:rPr>
      </w:pPr>
      <w:bookmarkStart w:id="55" w:name="_Toc198540711"/>
      <w:r w:rsidRPr="008532F2">
        <w:rPr>
          <w:rFonts w:ascii="Arial" w:hAnsi="Arial" w:cs="Arial"/>
          <w:sz w:val="20"/>
          <w:lang w:val="es-MX"/>
        </w:rPr>
        <w:t>Cambios en la Metodología</w:t>
      </w:r>
      <w:bookmarkEnd w:id="55"/>
    </w:p>
    <w:tbl>
      <w:tblPr>
        <w:tblW w:w="918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1348"/>
        <w:gridCol w:w="2662"/>
        <w:gridCol w:w="2662"/>
      </w:tblGrid>
      <w:tr w:rsidR="00530CB8" w:rsidRPr="00D7675C" w14:paraId="2D6E818D" w14:textId="77777777" w:rsidTr="008D2088">
        <w:trPr>
          <w:tblHeader/>
        </w:trPr>
        <w:tc>
          <w:tcPr>
            <w:tcW w:w="2515"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B4EC9C" w14:textId="77777777" w:rsidR="00530CB8" w:rsidRPr="008532F2" w:rsidRDefault="00530CB8" w:rsidP="00575024">
            <w:pPr>
              <w:pStyle w:val="MethodologyText"/>
              <w:ind w:left="0" w:right="0"/>
              <w:jc w:val="center"/>
              <w:rPr>
                <w:rFonts w:ascii="Arial" w:hAnsi="Arial" w:cs="Arial"/>
                <w:b/>
                <w:color w:val="FFFFFF"/>
                <w:sz w:val="18"/>
                <w:szCs w:val="18"/>
                <w:lang w:val="es-MX" w:eastAsia="ja-JP"/>
              </w:rPr>
            </w:pPr>
          </w:p>
        </w:tc>
        <w:tc>
          <w:tcPr>
            <w:tcW w:w="1348"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17E60666" w14:textId="11214ED9" w:rsidR="00530CB8" w:rsidRPr="00D7675C" w:rsidRDefault="00530CB8" w:rsidP="00575024">
            <w:pPr>
              <w:pStyle w:val="MethodologyText"/>
              <w:ind w:left="0" w:right="0"/>
              <w:jc w:val="center"/>
              <w:rPr>
                <w:rFonts w:ascii="Arial" w:hAnsi="Arial" w:cs="Arial"/>
                <w:b/>
                <w:color w:val="FFFFFF"/>
                <w:sz w:val="18"/>
                <w:szCs w:val="18"/>
                <w:lang w:eastAsia="ja-JP"/>
              </w:rPr>
            </w:pPr>
            <w:r>
              <w:rPr>
                <w:rFonts w:ascii="Arial" w:hAnsi="Arial" w:cs="Arial"/>
                <w:b/>
                <w:color w:val="FFFFFF"/>
                <w:sz w:val="18"/>
                <w:szCs w:val="18"/>
                <w:lang w:eastAsia="ja-JP"/>
              </w:rPr>
              <w:t>Fecha Efectiva</w:t>
            </w:r>
          </w:p>
        </w:tc>
        <w:tc>
          <w:tcPr>
            <w:tcW w:w="5324" w:type="dxa"/>
            <w:gridSpan w:val="2"/>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6E9035D8" w14:textId="2540160B" w:rsidR="00530CB8" w:rsidRPr="00D7675C" w:rsidRDefault="00530CB8" w:rsidP="00575024">
            <w:pPr>
              <w:pStyle w:val="MethodologyText"/>
              <w:ind w:left="0" w:right="0"/>
              <w:jc w:val="center"/>
              <w:rPr>
                <w:rFonts w:ascii="Arial" w:hAnsi="Arial" w:cs="Arial"/>
                <w:b/>
                <w:color w:val="FFFFFF"/>
                <w:sz w:val="18"/>
                <w:szCs w:val="18"/>
                <w:lang w:eastAsia="ja-JP"/>
              </w:rPr>
            </w:pPr>
            <w:r w:rsidRPr="00D7675C">
              <w:rPr>
                <w:rFonts w:ascii="Arial" w:hAnsi="Arial" w:cs="Arial"/>
                <w:b/>
                <w:color w:val="FFFFFF"/>
                <w:sz w:val="18"/>
                <w:szCs w:val="18"/>
                <w:lang w:eastAsia="ja-JP"/>
              </w:rPr>
              <w:t>Metodolog</w:t>
            </w:r>
            <w:r>
              <w:rPr>
                <w:rFonts w:ascii="Arial" w:hAnsi="Arial" w:cs="Arial"/>
                <w:b/>
                <w:color w:val="FFFFFF"/>
                <w:sz w:val="18"/>
                <w:szCs w:val="18"/>
                <w:lang w:eastAsia="ja-JP"/>
              </w:rPr>
              <w:t>ía</w:t>
            </w:r>
          </w:p>
        </w:tc>
      </w:tr>
      <w:tr w:rsidR="00530CB8" w:rsidRPr="00D7675C" w14:paraId="32FBEC96" w14:textId="77777777" w:rsidTr="008D2088">
        <w:trPr>
          <w:trHeight w:val="179"/>
          <w:tblHeader/>
        </w:trPr>
        <w:tc>
          <w:tcPr>
            <w:tcW w:w="2515"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036CCF39" w14:textId="7FDB039B" w:rsidR="00530CB8" w:rsidRPr="00D7675C" w:rsidRDefault="00530CB8" w:rsidP="00575024">
            <w:pPr>
              <w:pStyle w:val="MethodologyText"/>
              <w:ind w:left="0" w:right="0"/>
              <w:jc w:val="center"/>
              <w:rPr>
                <w:rFonts w:ascii="Arial" w:hAnsi="Arial" w:cs="Arial"/>
                <w:b/>
                <w:color w:val="FFFFFF"/>
                <w:sz w:val="18"/>
                <w:szCs w:val="18"/>
                <w:lang w:eastAsia="ja-JP"/>
              </w:rPr>
            </w:pPr>
            <w:r w:rsidRPr="00D7675C">
              <w:rPr>
                <w:rFonts w:ascii="Arial" w:hAnsi="Arial" w:cs="Arial"/>
                <w:b/>
                <w:color w:val="FFFFFF"/>
                <w:sz w:val="18"/>
                <w:szCs w:val="18"/>
                <w:lang w:eastAsia="ja-JP"/>
              </w:rPr>
              <w:t>C</w:t>
            </w:r>
            <w:r>
              <w:rPr>
                <w:rFonts w:ascii="Arial" w:hAnsi="Arial" w:cs="Arial"/>
                <w:b/>
                <w:color w:val="FFFFFF"/>
                <w:sz w:val="18"/>
                <w:szCs w:val="18"/>
                <w:lang w:eastAsia="ja-JP"/>
              </w:rPr>
              <w:t>ambio</w:t>
            </w:r>
          </w:p>
        </w:tc>
        <w:tc>
          <w:tcPr>
            <w:tcW w:w="1348"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00567EC0" w14:textId="7A50A6E7" w:rsidR="00530CB8" w:rsidRPr="00D7675C" w:rsidRDefault="00530CB8" w:rsidP="00575024">
            <w:pPr>
              <w:pStyle w:val="MethodologyText"/>
              <w:ind w:left="0" w:right="0"/>
              <w:jc w:val="center"/>
              <w:rPr>
                <w:rFonts w:ascii="Arial" w:hAnsi="Arial" w:cs="Arial"/>
                <w:b/>
                <w:color w:val="FFFFFF"/>
                <w:sz w:val="18"/>
                <w:szCs w:val="18"/>
                <w:lang w:eastAsia="ja-JP"/>
              </w:rPr>
            </w:pPr>
            <w:r w:rsidRPr="00D7675C">
              <w:rPr>
                <w:rFonts w:ascii="Arial" w:hAnsi="Arial" w:cs="Arial"/>
                <w:b/>
                <w:color w:val="FFFFFF"/>
                <w:sz w:val="18"/>
                <w:szCs w:val="18"/>
                <w:lang w:eastAsia="ja-JP"/>
              </w:rPr>
              <w:t>(</w:t>
            </w:r>
            <w:r>
              <w:rPr>
                <w:rFonts w:ascii="Arial" w:hAnsi="Arial" w:cs="Arial"/>
                <w:b/>
                <w:color w:val="FFFFFF"/>
                <w:sz w:val="18"/>
                <w:szCs w:val="18"/>
                <w:lang w:eastAsia="ja-JP"/>
              </w:rPr>
              <w:t>Después del Cierre</w:t>
            </w:r>
            <w:r w:rsidRPr="00D7675C">
              <w:rPr>
                <w:rFonts w:ascii="Arial" w:hAnsi="Arial" w:cs="Arial"/>
                <w:b/>
                <w:color w:val="FFFFFF"/>
                <w:sz w:val="18"/>
                <w:szCs w:val="18"/>
                <w:lang w:eastAsia="ja-JP"/>
              </w:rPr>
              <w:t>)</w:t>
            </w:r>
          </w:p>
        </w:tc>
        <w:tc>
          <w:tcPr>
            <w:tcW w:w="266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11493257" w14:textId="28F8C7D6" w:rsidR="00530CB8" w:rsidRPr="00D7675C" w:rsidRDefault="00530CB8" w:rsidP="00575024">
            <w:pPr>
              <w:pStyle w:val="MethodologyText"/>
              <w:ind w:left="0" w:right="0"/>
              <w:jc w:val="center"/>
              <w:rPr>
                <w:rFonts w:ascii="Arial" w:hAnsi="Arial" w:cs="Arial"/>
                <w:b/>
                <w:color w:val="FFFFFF"/>
                <w:sz w:val="18"/>
                <w:szCs w:val="18"/>
                <w:lang w:eastAsia="ja-JP"/>
              </w:rPr>
            </w:pPr>
            <w:r>
              <w:rPr>
                <w:rFonts w:ascii="Arial" w:hAnsi="Arial" w:cs="Arial"/>
                <w:b/>
                <w:color w:val="FFFFFF"/>
                <w:sz w:val="18"/>
                <w:szCs w:val="18"/>
                <w:lang w:eastAsia="ja-JP"/>
              </w:rPr>
              <w:t>Anterior</w:t>
            </w:r>
          </w:p>
        </w:tc>
        <w:tc>
          <w:tcPr>
            <w:tcW w:w="266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401CFBFD" w14:textId="34EDEBD6" w:rsidR="00530CB8" w:rsidRPr="00D7675C" w:rsidRDefault="00530CB8" w:rsidP="00575024">
            <w:pPr>
              <w:pStyle w:val="MethodologyText"/>
              <w:ind w:left="0" w:right="0"/>
              <w:jc w:val="center"/>
              <w:rPr>
                <w:rFonts w:ascii="Arial" w:hAnsi="Arial" w:cs="Arial"/>
                <w:b/>
                <w:color w:val="FFFFFF"/>
                <w:sz w:val="18"/>
                <w:szCs w:val="18"/>
                <w:lang w:eastAsia="ja-JP"/>
              </w:rPr>
            </w:pPr>
            <w:r>
              <w:rPr>
                <w:rFonts w:ascii="Arial" w:hAnsi="Arial" w:cs="Arial"/>
                <w:b/>
                <w:color w:val="FFFFFF"/>
                <w:sz w:val="18"/>
                <w:szCs w:val="18"/>
                <w:lang w:eastAsia="ja-JP"/>
              </w:rPr>
              <w:t>Actualización</w:t>
            </w:r>
          </w:p>
        </w:tc>
      </w:tr>
      <w:tr w:rsidR="008D2088" w:rsidRPr="00B12CD9" w14:paraId="0DEDB372" w14:textId="77777777" w:rsidTr="008D2088">
        <w:trPr>
          <w:trHeight w:val="224"/>
        </w:trPr>
        <w:tc>
          <w:tcPr>
            <w:tcW w:w="2515" w:type="dxa"/>
            <w:tcBorders>
              <w:top w:val="single" w:sz="4" w:space="0" w:color="auto"/>
              <w:left w:val="single" w:sz="4" w:space="0" w:color="auto"/>
              <w:bottom w:val="single" w:sz="4" w:space="0" w:color="auto"/>
              <w:right w:val="single" w:sz="4" w:space="0" w:color="auto"/>
            </w:tcBorders>
          </w:tcPr>
          <w:p w14:paraId="0F06B20A" w14:textId="76452CE1" w:rsidR="008D2088" w:rsidRPr="008D2088" w:rsidRDefault="008D2088" w:rsidP="008D2088">
            <w:pPr>
              <w:rPr>
                <w:rFonts w:ascii="Arial" w:hAnsi="Arial" w:cs="Arial"/>
                <w:sz w:val="18"/>
                <w:szCs w:val="18"/>
                <w:lang w:val="es-MX"/>
              </w:rPr>
            </w:pPr>
            <w:r>
              <w:rPr>
                <w:rFonts w:ascii="Arial" w:hAnsi="Arial" w:cs="Arial"/>
                <w:sz w:val="18"/>
                <w:szCs w:val="18"/>
                <w:lang w:val="es-MX"/>
              </w:rPr>
              <w:t>Fecha de referencia para la ponderación de los componentes:</w:t>
            </w:r>
          </w:p>
          <w:p w14:paraId="0EE8D9F7" w14:textId="77777777" w:rsidR="008D2088" w:rsidRPr="008D2088" w:rsidRDefault="008D2088" w:rsidP="008D2088">
            <w:pPr>
              <w:rPr>
                <w:rFonts w:ascii="Arial" w:hAnsi="Arial" w:cs="Arial"/>
                <w:sz w:val="18"/>
                <w:szCs w:val="18"/>
                <w:lang w:val="es-MX"/>
              </w:rPr>
            </w:pPr>
          </w:p>
          <w:p w14:paraId="709156FF" w14:textId="15FE9247" w:rsidR="008D2088" w:rsidRPr="00B12CD9" w:rsidRDefault="008D2088" w:rsidP="008D2088">
            <w:pPr>
              <w:rPr>
                <w:rFonts w:ascii="Arial" w:hAnsi="Arial" w:cs="Arial"/>
                <w:sz w:val="18"/>
                <w:szCs w:val="18"/>
              </w:rPr>
            </w:pPr>
            <w:r w:rsidRPr="00B12CD9">
              <w:rPr>
                <w:rFonts w:ascii="Arial" w:hAnsi="Arial" w:cs="Arial"/>
                <w:sz w:val="18"/>
                <w:szCs w:val="18"/>
              </w:rPr>
              <w:t>Dow Jones Industrial Average Yield Weighted</w:t>
            </w:r>
          </w:p>
        </w:tc>
        <w:tc>
          <w:tcPr>
            <w:tcW w:w="1348" w:type="dxa"/>
            <w:tcBorders>
              <w:top w:val="single" w:sz="4" w:space="0" w:color="auto"/>
              <w:left w:val="single" w:sz="4" w:space="0" w:color="auto"/>
              <w:bottom w:val="single" w:sz="4" w:space="0" w:color="auto"/>
              <w:right w:val="single" w:sz="4" w:space="0" w:color="auto"/>
            </w:tcBorders>
            <w:vAlign w:val="center"/>
          </w:tcPr>
          <w:p w14:paraId="1B7519EC" w14:textId="77777777" w:rsidR="008D2088" w:rsidRDefault="008D2088" w:rsidP="00575024">
            <w:pPr>
              <w:pStyle w:val="MethodologyText"/>
              <w:ind w:left="0" w:right="0"/>
              <w:jc w:val="center"/>
              <w:rPr>
                <w:rFonts w:ascii="Arial" w:hAnsi="Arial" w:cs="Arial"/>
                <w:sz w:val="18"/>
                <w:szCs w:val="18"/>
              </w:rPr>
            </w:pPr>
          </w:p>
          <w:p w14:paraId="4A147928" w14:textId="77777777" w:rsidR="008D2088" w:rsidRDefault="008D2088" w:rsidP="00575024">
            <w:pPr>
              <w:pStyle w:val="MethodologyText"/>
              <w:ind w:left="0" w:right="0"/>
              <w:jc w:val="center"/>
              <w:rPr>
                <w:rFonts w:ascii="Arial" w:hAnsi="Arial" w:cs="Arial"/>
                <w:sz w:val="18"/>
                <w:szCs w:val="18"/>
              </w:rPr>
            </w:pPr>
          </w:p>
          <w:p w14:paraId="3FA0F6E6" w14:textId="0E78CBE0" w:rsidR="008D2088" w:rsidRDefault="008D2088" w:rsidP="008D2088">
            <w:pPr>
              <w:pStyle w:val="MethodologyText"/>
              <w:ind w:left="0" w:right="0"/>
              <w:jc w:val="center"/>
              <w:rPr>
                <w:rFonts w:ascii="Arial" w:hAnsi="Arial" w:cs="Arial"/>
                <w:sz w:val="18"/>
                <w:szCs w:val="18"/>
              </w:rPr>
            </w:pPr>
            <w:r>
              <w:rPr>
                <w:rFonts w:ascii="Arial" w:hAnsi="Arial" w:cs="Arial"/>
                <w:sz w:val="18"/>
                <w:szCs w:val="18"/>
              </w:rPr>
              <w:t>21/12/2024</w:t>
            </w:r>
          </w:p>
          <w:p w14:paraId="56688654" w14:textId="77777777" w:rsidR="008D2088" w:rsidRDefault="008D2088" w:rsidP="00575024">
            <w:pPr>
              <w:pStyle w:val="MethodologyText"/>
              <w:ind w:left="0" w:right="0"/>
              <w:jc w:val="center"/>
              <w:rPr>
                <w:rFonts w:ascii="Arial" w:hAnsi="Arial" w:cs="Arial"/>
                <w:sz w:val="18"/>
                <w:szCs w:val="18"/>
              </w:rPr>
            </w:pPr>
          </w:p>
          <w:p w14:paraId="12C36E19" w14:textId="29E36E68" w:rsidR="008D2088" w:rsidRDefault="008D2088" w:rsidP="00575024">
            <w:pPr>
              <w:pStyle w:val="MethodologyText"/>
              <w:ind w:left="0" w:right="0"/>
              <w:jc w:val="center"/>
              <w:rPr>
                <w:rFonts w:ascii="Arial" w:hAnsi="Arial" w:cs="Arial"/>
                <w:sz w:val="18"/>
                <w:szCs w:val="18"/>
              </w:rPr>
            </w:pPr>
          </w:p>
        </w:tc>
        <w:tc>
          <w:tcPr>
            <w:tcW w:w="2662" w:type="dxa"/>
            <w:tcBorders>
              <w:top w:val="single" w:sz="4" w:space="0" w:color="auto"/>
              <w:left w:val="single" w:sz="4" w:space="0" w:color="auto"/>
              <w:bottom w:val="single" w:sz="4" w:space="0" w:color="auto"/>
              <w:right w:val="single" w:sz="4" w:space="0" w:color="auto"/>
            </w:tcBorders>
          </w:tcPr>
          <w:p w14:paraId="6E63797D" w14:textId="6D88AAB1" w:rsidR="008D2088" w:rsidRPr="00C67A5E" w:rsidRDefault="008D2088" w:rsidP="00575024">
            <w:pPr>
              <w:pStyle w:val="MethodologyText"/>
              <w:ind w:left="0" w:right="0"/>
              <w:rPr>
                <w:rFonts w:ascii="Arial" w:hAnsi="Arial" w:cs="Arial"/>
                <w:sz w:val="18"/>
                <w:szCs w:val="18"/>
                <w:lang w:val="es-MX"/>
              </w:rPr>
            </w:pPr>
            <w:r w:rsidRPr="008D2088">
              <w:rPr>
                <w:rFonts w:ascii="Arial" w:hAnsi="Arial" w:cs="Arial"/>
                <w:sz w:val="18"/>
                <w:szCs w:val="18"/>
                <w:lang w:val="es-MX"/>
              </w:rPr>
              <w:t>El número de acciones o cuenta de acciones se designa con base en los precios al cierre del segundo viernes de los meses de marzo y septiembre.</w:t>
            </w:r>
          </w:p>
        </w:tc>
        <w:tc>
          <w:tcPr>
            <w:tcW w:w="2662" w:type="dxa"/>
            <w:tcBorders>
              <w:top w:val="single" w:sz="4" w:space="0" w:color="auto"/>
              <w:left w:val="single" w:sz="4" w:space="0" w:color="auto"/>
              <w:bottom w:val="single" w:sz="4" w:space="0" w:color="auto"/>
              <w:right w:val="single" w:sz="4" w:space="0" w:color="auto"/>
            </w:tcBorders>
          </w:tcPr>
          <w:p w14:paraId="7938AA64" w14:textId="1463A8A1" w:rsidR="008D2088" w:rsidRPr="00C67A5E" w:rsidRDefault="008D2088" w:rsidP="00575024">
            <w:pPr>
              <w:pStyle w:val="MethodologyText"/>
              <w:ind w:left="0" w:right="0"/>
              <w:rPr>
                <w:rFonts w:ascii="Arial" w:hAnsi="Arial" w:cs="Arial"/>
                <w:sz w:val="18"/>
                <w:szCs w:val="18"/>
                <w:lang w:val="es-MX"/>
              </w:rPr>
            </w:pPr>
            <w:r w:rsidRPr="008D2088">
              <w:rPr>
                <w:rFonts w:ascii="Arial" w:hAnsi="Arial" w:cs="Arial"/>
                <w:sz w:val="18"/>
                <w:szCs w:val="18"/>
                <w:lang w:val="es-MX"/>
              </w:rPr>
              <w:t>El número de acciones o cuenta de acciones se designa con base en los precios al cierre del miércoles previo al segundo viernes de los meses de marzo y septiembre.</w:t>
            </w:r>
          </w:p>
        </w:tc>
      </w:tr>
      <w:tr w:rsidR="008D2088" w:rsidRPr="00B12CD9" w14:paraId="5267E0F9" w14:textId="77777777" w:rsidTr="008D2088">
        <w:trPr>
          <w:trHeight w:val="224"/>
        </w:trPr>
        <w:tc>
          <w:tcPr>
            <w:tcW w:w="2515" w:type="dxa"/>
            <w:tcBorders>
              <w:top w:val="single" w:sz="4" w:space="0" w:color="auto"/>
              <w:left w:val="single" w:sz="4" w:space="0" w:color="auto"/>
              <w:bottom w:val="single" w:sz="4" w:space="0" w:color="auto"/>
              <w:right w:val="single" w:sz="4" w:space="0" w:color="auto"/>
            </w:tcBorders>
          </w:tcPr>
          <w:p w14:paraId="2C331578" w14:textId="77777777" w:rsidR="008D2088" w:rsidRDefault="008D2088" w:rsidP="008D2088">
            <w:pPr>
              <w:rPr>
                <w:rFonts w:ascii="Arial" w:hAnsi="Arial" w:cs="Arial"/>
                <w:sz w:val="18"/>
                <w:szCs w:val="18"/>
                <w:lang w:val="es-MX"/>
              </w:rPr>
            </w:pPr>
            <w:r>
              <w:rPr>
                <w:rFonts w:ascii="Arial" w:hAnsi="Arial" w:cs="Arial"/>
                <w:sz w:val="18"/>
                <w:szCs w:val="18"/>
                <w:lang w:val="es-MX"/>
              </w:rPr>
              <w:t>Fecha de referencia para la ponderación de los componentes:</w:t>
            </w:r>
          </w:p>
          <w:p w14:paraId="1372B171" w14:textId="77777777" w:rsidR="008D2088" w:rsidRDefault="008D2088" w:rsidP="008D2088">
            <w:pPr>
              <w:rPr>
                <w:rFonts w:ascii="Arial" w:hAnsi="Arial" w:cs="Arial"/>
                <w:sz w:val="18"/>
                <w:szCs w:val="18"/>
                <w:lang w:val="es-MX"/>
              </w:rPr>
            </w:pPr>
          </w:p>
          <w:p w14:paraId="5FAA31AC" w14:textId="1F4089F3" w:rsidR="008D2088" w:rsidRPr="00B12CD9" w:rsidRDefault="008D2088" w:rsidP="008D2088">
            <w:pPr>
              <w:rPr>
                <w:rFonts w:ascii="Arial" w:hAnsi="Arial" w:cs="Arial"/>
                <w:sz w:val="18"/>
                <w:szCs w:val="18"/>
              </w:rPr>
            </w:pPr>
            <w:r w:rsidRPr="003B74CB">
              <w:rPr>
                <w:rFonts w:ascii="Arial" w:hAnsi="Arial" w:cs="Arial"/>
                <w:sz w:val="18"/>
                <w:szCs w:val="18"/>
              </w:rPr>
              <w:t>Dow Jones Industrial Average Equal Weight Index</w:t>
            </w:r>
          </w:p>
          <w:p w14:paraId="4255E107" w14:textId="77777777" w:rsidR="008D2088" w:rsidRPr="00B12CD9" w:rsidRDefault="008D2088" w:rsidP="00575024">
            <w:pPr>
              <w:rPr>
                <w:rFonts w:ascii="Arial" w:hAnsi="Arial" w:cs="Arial"/>
                <w:sz w:val="18"/>
                <w:szCs w:val="18"/>
              </w:rPr>
            </w:pPr>
          </w:p>
        </w:tc>
        <w:tc>
          <w:tcPr>
            <w:tcW w:w="1348" w:type="dxa"/>
            <w:tcBorders>
              <w:top w:val="single" w:sz="4" w:space="0" w:color="auto"/>
              <w:left w:val="single" w:sz="4" w:space="0" w:color="auto"/>
              <w:bottom w:val="single" w:sz="4" w:space="0" w:color="auto"/>
              <w:right w:val="single" w:sz="4" w:space="0" w:color="auto"/>
            </w:tcBorders>
            <w:vAlign w:val="center"/>
          </w:tcPr>
          <w:p w14:paraId="3887DE1C" w14:textId="77777777" w:rsidR="008D2088" w:rsidRDefault="008D2088" w:rsidP="008D2088">
            <w:pPr>
              <w:pStyle w:val="MethodologyText"/>
              <w:ind w:left="0" w:right="0"/>
              <w:jc w:val="center"/>
              <w:rPr>
                <w:rFonts w:ascii="Arial" w:hAnsi="Arial" w:cs="Arial"/>
                <w:sz w:val="18"/>
                <w:szCs w:val="18"/>
              </w:rPr>
            </w:pPr>
            <w:r>
              <w:rPr>
                <w:rFonts w:ascii="Arial" w:hAnsi="Arial" w:cs="Arial"/>
                <w:sz w:val="18"/>
                <w:szCs w:val="18"/>
              </w:rPr>
              <w:t>21/12/2024</w:t>
            </w:r>
          </w:p>
          <w:p w14:paraId="73A6A507" w14:textId="77777777" w:rsidR="008D2088" w:rsidRDefault="008D2088" w:rsidP="008D2088">
            <w:pPr>
              <w:pStyle w:val="MethodologyText"/>
              <w:ind w:left="0" w:right="0"/>
              <w:rPr>
                <w:rFonts w:ascii="Arial" w:hAnsi="Arial" w:cs="Arial"/>
                <w:sz w:val="18"/>
                <w:szCs w:val="18"/>
              </w:rPr>
            </w:pPr>
          </w:p>
        </w:tc>
        <w:tc>
          <w:tcPr>
            <w:tcW w:w="2662" w:type="dxa"/>
            <w:tcBorders>
              <w:top w:val="single" w:sz="4" w:space="0" w:color="auto"/>
              <w:left w:val="single" w:sz="4" w:space="0" w:color="auto"/>
              <w:bottom w:val="single" w:sz="4" w:space="0" w:color="auto"/>
              <w:right w:val="single" w:sz="4" w:space="0" w:color="auto"/>
            </w:tcBorders>
          </w:tcPr>
          <w:p w14:paraId="5B15F56D" w14:textId="5EA6C1AD" w:rsidR="008D2088" w:rsidRPr="00C67A5E" w:rsidRDefault="008D2088" w:rsidP="00575024">
            <w:pPr>
              <w:pStyle w:val="MethodologyText"/>
              <w:ind w:left="0" w:right="0"/>
              <w:rPr>
                <w:rFonts w:ascii="Arial" w:hAnsi="Arial" w:cs="Arial"/>
                <w:sz w:val="18"/>
                <w:szCs w:val="18"/>
                <w:lang w:val="es-MX"/>
              </w:rPr>
            </w:pPr>
            <w:r w:rsidRPr="008D2088">
              <w:rPr>
                <w:rFonts w:ascii="Arial" w:hAnsi="Arial" w:cs="Arial"/>
                <w:sz w:val="18"/>
                <w:szCs w:val="18"/>
                <w:lang w:val="es-MX"/>
              </w:rPr>
              <w:t>En cada rebalanceo trimestral, los pesos de los componentes del índice se determinan bajo el esquema de ponderación equitativa, usando para tales efectos como precios de referencia los precios al cierre del segundo viernes del último mes del trimestre en cuestión.</w:t>
            </w:r>
          </w:p>
        </w:tc>
        <w:tc>
          <w:tcPr>
            <w:tcW w:w="2662" w:type="dxa"/>
            <w:tcBorders>
              <w:top w:val="single" w:sz="4" w:space="0" w:color="auto"/>
              <w:left w:val="single" w:sz="4" w:space="0" w:color="auto"/>
              <w:bottom w:val="single" w:sz="4" w:space="0" w:color="auto"/>
              <w:right w:val="single" w:sz="4" w:space="0" w:color="auto"/>
            </w:tcBorders>
          </w:tcPr>
          <w:p w14:paraId="74754869" w14:textId="0140261E" w:rsidR="008D2088" w:rsidRPr="00C67A5E" w:rsidRDefault="008D2088" w:rsidP="00575024">
            <w:pPr>
              <w:pStyle w:val="MethodologyText"/>
              <w:ind w:left="0" w:right="0"/>
              <w:rPr>
                <w:rFonts w:ascii="Arial" w:hAnsi="Arial" w:cs="Arial"/>
                <w:sz w:val="18"/>
                <w:szCs w:val="18"/>
                <w:lang w:val="es-MX"/>
              </w:rPr>
            </w:pPr>
            <w:r w:rsidRPr="008D2088">
              <w:rPr>
                <w:rFonts w:ascii="Arial" w:hAnsi="Arial" w:cs="Arial"/>
                <w:sz w:val="18"/>
                <w:szCs w:val="18"/>
                <w:lang w:val="es-MX"/>
              </w:rPr>
              <w:t>En cada rebalanceo trimestral, los pesos de los componentes del índice se determinan bajo el esquema de ponderación equitativa, usando para tales efectos como precios de referencia los precios al cierre del miércoles previo al segundo viernes del último mes del trimestre en cuestión.</w:t>
            </w:r>
          </w:p>
        </w:tc>
      </w:tr>
      <w:tr w:rsidR="00530CB8" w:rsidRPr="00B12CD9" w14:paraId="09803846" w14:textId="77777777" w:rsidTr="008D2088">
        <w:trPr>
          <w:trHeight w:val="224"/>
        </w:trPr>
        <w:tc>
          <w:tcPr>
            <w:tcW w:w="2515" w:type="dxa"/>
            <w:tcBorders>
              <w:top w:val="single" w:sz="4" w:space="0" w:color="auto"/>
              <w:left w:val="single" w:sz="4" w:space="0" w:color="auto"/>
              <w:bottom w:val="single" w:sz="4" w:space="0" w:color="auto"/>
              <w:right w:val="single" w:sz="4" w:space="0" w:color="auto"/>
            </w:tcBorders>
          </w:tcPr>
          <w:p w14:paraId="4EFF1815" w14:textId="7A4E3A11" w:rsidR="00530CB8" w:rsidRDefault="00530CB8" w:rsidP="00575024">
            <w:pPr>
              <w:rPr>
                <w:rFonts w:ascii="Arial" w:hAnsi="Arial" w:cs="Arial"/>
                <w:sz w:val="18"/>
                <w:szCs w:val="18"/>
                <w:lang w:val="es-MX"/>
              </w:rPr>
            </w:pPr>
            <w:r w:rsidRPr="00530CB8">
              <w:rPr>
                <w:rFonts w:ascii="Arial" w:hAnsi="Arial" w:cs="Arial"/>
                <w:sz w:val="18"/>
                <w:szCs w:val="18"/>
                <w:lang w:val="es-MX"/>
              </w:rPr>
              <w:t xml:space="preserve">Tasa de interés de </w:t>
            </w:r>
            <w:r>
              <w:rPr>
                <w:rFonts w:ascii="Arial" w:hAnsi="Arial" w:cs="Arial"/>
                <w:sz w:val="18"/>
                <w:szCs w:val="18"/>
                <w:lang w:val="es-MX"/>
              </w:rPr>
              <w:t>tipo deudor:</w:t>
            </w:r>
          </w:p>
          <w:p w14:paraId="26168ECB" w14:textId="77777777" w:rsidR="00530CB8" w:rsidRPr="00530CB8" w:rsidRDefault="00530CB8" w:rsidP="00575024">
            <w:pPr>
              <w:rPr>
                <w:rFonts w:ascii="Arial" w:hAnsi="Arial" w:cs="Arial"/>
                <w:sz w:val="18"/>
                <w:szCs w:val="18"/>
                <w:lang w:val="es-MX"/>
              </w:rPr>
            </w:pPr>
          </w:p>
          <w:p w14:paraId="2B4BCF26" w14:textId="77777777" w:rsidR="00530CB8" w:rsidRPr="00D7675C" w:rsidRDefault="00530CB8" w:rsidP="00575024">
            <w:pPr>
              <w:rPr>
                <w:rFonts w:ascii="Arial" w:hAnsi="Arial" w:cs="Arial"/>
                <w:sz w:val="18"/>
                <w:szCs w:val="18"/>
              </w:rPr>
            </w:pPr>
            <w:r w:rsidRPr="00D7675C">
              <w:rPr>
                <w:rFonts w:ascii="Arial" w:hAnsi="Arial" w:cs="Arial"/>
                <w:sz w:val="18"/>
                <w:szCs w:val="18"/>
              </w:rPr>
              <w:t>Dow Jones Industrial Average™ Hedged JPY Leverage 2X Index</w:t>
            </w:r>
          </w:p>
        </w:tc>
        <w:tc>
          <w:tcPr>
            <w:tcW w:w="1348" w:type="dxa"/>
            <w:tcBorders>
              <w:top w:val="single" w:sz="4" w:space="0" w:color="auto"/>
              <w:left w:val="single" w:sz="4" w:space="0" w:color="auto"/>
              <w:bottom w:val="single" w:sz="4" w:space="0" w:color="auto"/>
              <w:right w:val="single" w:sz="4" w:space="0" w:color="auto"/>
            </w:tcBorders>
            <w:vAlign w:val="center"/>
          </w:tcPr>
          <w:p w14:paraId="16569F67" w14:textId="20CACA41" w:rsidR="00530CB8" w:rsidRPr="00D7675C" w:rsidRDefault="00530CB8" w:rsidP="00575024">
            <w:pPr>
              <w:pStyle w:val="MethodologyText"/>
              <w:ind w:left="0" w:right="0"/>
              <w:jc w:val="center"/>
              <w:rPr>
                <w:rFonts w:ascii="Arial" w:hAnsi="Arial" w:cs="Arial"/>
                <w:sz w:val="18"/>
                <w:szCs w:val="18"/>
              </w:rPr>
            </w:pPr>
            <w:r>
              <w:rPr>
                <w:rFonts w:ascii="Arial" w:hAnsi="Arial" w:cs="Arial"/>
                <w:sz w:val="18"/>
                <w:szCs w:val="18"/>
              </w:rPr>
              <w:t>19/</w:t>
            </w:r>
            <w:r w:rsidRPr="00D7675C">
              <w:rPr>
                <w:rFonts w:ascii="Arial" w:hAnsi="Arial" w:cs="Arial"/>
                <w:sz w:val="18"/>
                <w:szCs w:val="18"/>
              </w:rPr>
              <w:t>11//2021</w:t>
            </w:r>
          </w:p>
        </w:tc>
        <w:tc>
          <w:tcPr>
            <w:tcW w:w="2662" w:type="dxa"/>
            <w:tcBorders>
              <w:top w:val="single" w:sz="4" w:space="0" w:color="auto"/>
              <w:left w:val="single" w:sz="4" w:space="0" w:color="auto"/>
              <w:bottom w:val="single" w:sz="4" w:space="0" w:color="auto"/>
              <w:right w:val="single" w:sz="4" w:space="0" w:color="auto"/>
            </w:tcBorders>
          </w:tcPr>
          <w:p w14:paraId="142DE78C" w14:textId="168B2691" w:rsidR="00530CB8" w:rsidRPr="00C67A5E" w:rsidRDefault="00C67A5E" w:rsidP="00575024">
            <w:pPr>
              <w:pStyle w:val="MethodologyText"/>
              <w:ind w:left="0" w:right="0"/>
              <w:rPr>
                <w:rFonts w:ascii="Arial" w:hAnsi="Arial" w:cs="Arial"/>
                <w:sz w:val="18"/>
                <w:szCs w:val="18"/>
                <w:lang w:val="es-MX"/>
              </w:rPr>
            </w:pPr>
            <w:r w:rsidRPr="00C67A5E">
              <w:rPr>
                <w:rFonts w:ascii="Arial" w:hAnsi="Arial" w:cs="Arial"/>
                <w:sz w:val="18"/>
                <w:szCs w:val="18"/>
                <w:lang w:val="es-MX"/>
              </w:rPr>
              <w:t>El índice toma la</w:t>
            </w:r>
            <w:r>
              <w:rPr>
                <w:rFonts w:ascii="Arial" w:hAnsi="Arial" w:cs="Arial"/>
                <w:sz w:val="18"/>
                <w:szCs w:val="18"/>
                <w:lang w:val="es-MX"/>
              </w:rPr>
              <w:t xml:space="preserve"> </w:t>
            </w:r>
            <w:r w:rsidR="00530CB8" w:rsidRPr="00C67A5E">
              <w:rPr>
                <w:rFonts w:ascii="Arial" w:hAnsi="Arial" w:cs="Arial"/>
                <w:sz w:val="18"/>
                <w:szCs w:val="18"/>
                <w:lang w:val="es-MX"/>
              </w:rPr>
              <w:t>LIBOR</w:t>
            </w:r>
            <w:r w:rsidRPr="00C67A5E">
              <w:rPr>
                <w:rFonts w:ascii="Arial" w:hAnsi="Arial" w:cs="Arial"/>
                <w:sz w:val="18"/>
                <w:szCs w:val="18"/>
                <w:lang w:val="es-MX"/>
              </w:rPr>
              <w:t xml:space="preserve"> de tres meses como tasa de interés.</w:t>
            </w:r>
          </w:p>
        </w:tc>
        <w:tc>
          <w:tcPr>
            <w:tcW w:w="2662" w:type="dxa"/>
            <w:tcBorders>
              <w:top w:val="single" w:sz="4" w:space="0" w:color="auto"/>
              <w:left w:val="single" w:sz="4" w:space="0" w:color="auto"/>
              <w:bottom w:val="single" w:sz="4" w:space="0" w:color="auto"/>
              <w:right w:val="single" w:sz="4" w:space="0" w:color="auto"/>
            </w:tcBorders>
          </w:tcPr>
          <w:p w14:paraId="40189105" w14:textId="490614ED" w:rsidR="00530CB8" w:rsidRPr="00C67A5E" w:rsidRDefault="00C67A5E" w:rsidP="00575024">
            <w:pPr>
              <w:pStyle w:val="MethodologyText"/>
              <w:ind w:left="0" w:right="0"/>
              <w:rPr>
                <w:rFonts w:ascii="Arial" w:hAnsi="Arial" w:cs="Arial"/>
                <w:sz w:val="18"/>
                <w:szCs w:val="18"/>
                <w:lang w:val="es-MX"/>
              </w:rPr>
            </w:pPr>
            <w:r w:rsidRPr="00C67A5E">
              <w:rPr>
                <w:rFonts w:ascii="Arial" w:hAnsi="Arial" w:cs="Arial"/>
                <w:sz w:val="18"/>
                <w:szCs w:val="18"/>
                <w:lang w:val="es-MX"/>
              </w:rPr>
              <w:t>El índice toma la</w:t>
            </w:r>
            <w:r>
              <w:rPr>
                <w:rFonts w:ascii="Arial" w:hAnsi="Arial" w:cs="Arial"/>
                <w:sz w:val="18"/>
                <w:szCs w:val="18"/>
                <w:lang w:val="es-MX"/>
              </w:rPr>
              <w:t xml:space="preserve"> JPY TIBOR</w:t>
            </w:r>
            <w:r w:rsidRPr="00C67A5E">
              <w:rPr>
                <w:rFonts w:ascii="Arial" w:hAnsi="Arial" w:cs="Arial"/>
                <w:sz w:val="18"/>
                <w:szCs w:val="18"/>
                <w:lang w:val="es-MX"/>
              </w:rPr>
              <w:t xml:space="preserve"> de tres meses como tasa de interés.</w:t>
            </w:r>
          </w:p>
        </w:tc>
      </w:tr>
      <w:tr w:rsidR="00530CB8" w:rsidRPr="00B12CD9" w14:paraId="2787DFB2" w14:textId="77777777" w:rsidTr="008D2088">
        <w:trPr>
          <w:trHeight w:val="224"/>
        </w:trPr>
        <w:tc>
          <w:tcPr>
            <w:tcW w:w="2515" w:type="dxa"/>
            <w:tcBorders>
              <w:top w:val="single" w:sz="4" w:space="0" w:color="auto"/>
              <w:left w:val="single" w:sz="4" w:space="0" w:color="auto"/>
              <w:bottom w:val="single" w:sz="4" w:space="0" w:color="auto"/>
              <w:right w:val="single" w:sz="4" w:space="0" w:color="auto"/>
            </w:tcBorders>
          </w:tcPr>
          <w:p w14:paraId="16FB8589" w14:textId="70C48C3D" w:rsidR="00530CB8" w:rsidRPr="00530CB8" w:rsidRDefault="00530CB8" w:rsidP="00575024">
            <w:pPr>
              <w:rPr>
                <w:rFonts w:ascii="Arial" w:hAnsi="Arial" w:cs="Arial"/>
                <w:sz w:val="18"/>
                <w:szCs w:val="18"/>
                <w:lang w:val="es-MX"/>
              </w:rPr>
            </w:pPr>
            <w:r w:rsidRPr="00530CB8">
              <w:rPr>
                <w:rFonts w:ascii="Arial" w:hAnsi="Arial" w:cs="Arial"/>
                <w:sz w:val="18"/>
                <w:szCs w:val="18"/>
                <w:lang w:val="es-MX"/>
              </w:rPr>
              <w:t xml:space="preserve">Tasa de interés de tipo aceedor: </w:t>
            </w:r>
          </w:p>
          <w:p w14:paraId="4A3EA3C6" w14:textId="77777777" w:rsidR="00530CB8" w:rsidRPr="00530CB8" w:rsidRDefault="00530CB8" w:rsidP="00575024">
            <w:pPr>
              <w:rPr>
                <w:rFonts w:ascii="Arial" w:hAnsi="Arial" w:cs="Arial"/>
                <w:sz w:val="18"/>
                <w:szCs w:val="18"/>
                <w:lang w:val="es-MX"/>
              </w:rPr>
            </w:pPr>
          </w:p>
          <w:p w14:paraId="601DB5F3" w14:textId="77777777" w:rsidR="00530CB8" w:rsidRPr="00D7675C" w:rsidRDefault="00530CB8" w:rsidP="00575024">
            <w:pPr>
              <w:rPr>
                <w:rFonts w:ascii="Arial" w:hAnsi="Arial" w:cs="Arial"/>
                <w:sz w:val="18"/>
                <w:szCs w:val="18"/>
              </w:rPr>
            </w:pPr>
            <w:r w:rsidRPr="00D7675C">
              <w:rPr>
                <w:rFonts w:ascii="Arial" w:hAnsi="Arial" w:cs="Arial"/>
                <w:sz w:val="18"/>
                <w:szCs w:val="18"/>
              </w:rPr>
              <w:t>Dow Jones Industrial Average™ Hedged JPY Inverse Index</w:t>
            </w:r>
          </w:p>
        </w:tc>
        <w:tc>
          <w:tcPr>
            <w:tcW w:w="1348" w:type="dxa"/>
            <w:tcBorders>
              <w:top w:val="single" w:sz="4" w:space="0" w:color="auto"/>
              <w:left w:val="single" w:sz="4" w:space="0" w:color="auto"/>
              <w:bottom w:val="single" w:sz="4" w:space="0" w:color="auto"/>
              <w:right w:val="single" w:sz="4" w:space="0" w:color="auto"/>
            </w:tcBorders>
            <w:vAlign w:val="center"/>
          </w:tcPr>
          <w:p w14:paraId="6EDA0F01" w14:textId="37DBF528" w:rsidR="00530CB8" w:rsidRPr="00D7675C" w:rsidRDefault="00C67A5E" w:rsidP="00575024">
            <w:pPr>
              <w:pStyle w:val="MethodologyText"/>
              <w:ind w:left="0" w:right="0"/>
              <w:jc w:val="center"/>
              <w:rPr>
                <w:rFonts w:ascii="Arial" w:hAnsi="Arial" w:cs="Arial"/>
                <w:sz w:val="18"/>
                <w:szCs w:val="18"/>
              </w:rPr>
            </w:pPr>
            <w:r>
              <w:rPr>
                <w:rFonts w:ascii="Arial" w:hAnsi="Arial" w:cs="Arial"/>
                <w:sz w:val="18"/>
                <w:szCs w:val="18"/>
              </w:rPr>
              <w:t>19/</w:t>
            </w:r>
            <w:r w:rsidRPr="00D7675C">
              <w:rPr>
                <w:rFonts w:ascii="Arial" w:hAnsi="Arial" w:cs="Arial"/>
                <w:sz w:val="18"/>
                <w:szCs w:val="18"/>
              </w:rPr>
              <w:t>11//2021</w:t>
            </w:r>
          </w:p>
        </w:tc>
        <w:tc>
          <w:tcPr>
            <w:tcW w:w="2662" w:type="dxa"/>
            <w:tcBorders>
              <w:top w:val="single" w:sz="4" w:space="0" w:color="auto"/>
              <w:left w:val="single" w:sz="4" w:space="0" w:color="auto"/>
              <w:bottom w:val="single" w:sz="4" w:space="0" w:color="auto"/>
              <w:right w:val="single" w:sz="4" w:space="0" w:color="auto"/>
            </w:tcBorders>
          </w:tcPr>
          <w:p w14:paraId="3E7E9080" w14:textId="6BC4C496" w:rsidR="00530CB8" w:rsidRPr="00C67A5E" w:rsidRDefault="00C67A5E" w:rsidP="00575024">
            <w:pPr>
              <w:pStyle w:val="MethodologyText"/>
              <w:ind w:left="0" w:right="0"/>
              <w:rPr>
                <w:rFonts w:ascii="Arial" w:hAnsi="Arial" w:cs="Arial"/>
                <w:sz w:val="18"/>
                <w:szCs w:val="18"/>
                <w:lang w:val="es-MX"/>
              </w:rPr>
            </w:pPr>
            <w:r w:rsidRPr="00C67A5E">
              <w:rPr>
                <w:rFonts w:ascii="Arial" w:hAnsi="Arial" w:cs="Arial"/>
                <w:sz w:val="18"/>
                <w:szCs w:val="18"/>
                <w:lang w:val="es-MX"/>
              </w:rPr>
              <w:t>El índice toma la</w:t>
            </w:r>
            <w:r>
              <w:rPr>
                <w:rFonts w:ascii="Arial" w:hAnsi="Arial" w:cs="Arial"/>
                <w:sz w:val="18"/>
                <w:szCs w:val="18"/>
                <w:lang w:val="es-MX"/>
              </w:rPr>
              <w:t xml:space="preserve"> </w:t>
            </w:r>
            <w:r w:rsidRPr="00C67A5E">
              <w:rPr>
                <w:rFonts w:ascii="Arial" w:hAnsi="Arial" w:cs="Arial"/>
                <w:sz w:val="18"/>
                <w:szCs w:val="18"/>
                <w:lang w:val="es-MX"/>
              </w:rPr>
              <w:t>LIBOR de tres meses como tasa de interés.</w:t>
            </w:r>
          </w:p>
        </w:tc>
        <w:tc>
          <w:tcPr>
            <w:tcW w:w="2662" w:type="dxa"/>
            <w:tcBorders>
              <w:top w:val="single" w:sz="4" w:space="0" w:color="auto"/>
              <w:left w:val="single" w:sz="4" w:space="0" w:color="auto"/>
              <w:bottom w:val="single" w:sz="4" w:space="0" w:color="auto"/>
              <w:right w:val="single" w:sz="4" w:space="0" w:color="auto"/>
            </w:tcBorders>
          </w:tcPr>
          <w:p w14:paraId="187A5126" w14:textId="4B6BF5DA" w:rsidR="00530CB8" w:rsidRPr="00C67A5E" w:rsidRDefault="00C67A5E" w:rsidP="00575024">
            <w:pPr>
              <w:pStyle w:val="MethodologyText"/>
              <w:ind w:left="0" w:right="0"/>
              <w:rPr>
                <w:rFonts w:ascii="Arial" w:hAnsi="Arial" w:cs="Arial"/>
                <w:sz w:val="18"/>
                <w:szCs w:val="18"/>
                <w:lang w:val="es-MX"/>
              </w:rPr>
            </w:pPr>
            <w:r w:rsidRPr="00C67A5E">
              <w:rPr>
                <w:rFonts w:ascii="Arial" w:hAnsi="Arial" w:cs="Arial"/>
                <w:sz w:val="18"/>
                <w:szCs w:val="18"/>
                <w:lang w:val="es-MX"/>
              </w:rPr>
              <w:t>El índice toma la</w:t>
            </w:r>
            <w:r>
              <w:rPr>
                <w:rFonts w:ascii="Arial" w:hAnsi="Arial" w:cs="Arial"/>
                <w:sz w:val="18"/>
                <w:szCs w:val="18"/>
                <w:lang w:val="es-MX"/>
              </w:rPr>
              <w:t xml:space="preserve"> JPY TIBOR</w:t>
            </w:r>
            <w:r w:rsidRPr="00C67A5E">
              <w:rPr>
                <w:rFonts w:ascii="Arial" w:hAnsi="Arial" w:cs="Arial"/>
                <w:sz w:val="18"/>
                <w:szCs w:val="18"/>
                <w:lang w:val="es-MX"/>
              </w:rPr>
              <w:t xml:space="preserve"> de tres meses como tasa de interés</w:t>
            </w:r>
            <w:r w:rsidR="00866AC3">
              <w:rPr>
                <w:rFonts w:ascii="Arial" w:hAnsi="Arial" w:cs="Arial"/>
                <w:sz w:val="18"/>
                <w:szCs w:val="18"/>
                <w:lang w:val="es-MX"/>
              </w:rPr>
              <w:t>.</w:t>
            </w:r>
            <w:r w:rsidRPr="00C67A5E">
              <w:rPr>
                <w:rFonts w:ascii="Arial" w:hAnsi="Arial" w:cs="Arial"/>
                <w:sz w:val="18"/>
                <w:szCs w:val="18"/>
                <w:lang w:val="es-MX"/>
              </w:rPr>
              <w:t>.</w:t>
            </w:r>
            <w:r w:rsidR="00530CB8" w:rsidRPr="00C67A5E">
              <w:rPr>
                <w:rFonts w:ascii="Arial" w:hAnsi="Arial" w:cs="Arial"/>
                <w:sz w:val="18"/>
                <w:szCs w:val="18"/>
                <w:lang w:val="es-MX"/>
              </w:rPr>
              <w:t>.</w:t>
            </w:r>
          </w:p>
        </w:tc>
      </w:tr>
    </w:tbl>
    <w:p w14:paraId="300A3B82" w14:textId="229D6EAE" w:rsidR="00530CB8" w:rsidRPr="00C67A5E" w:rsidRDefault="00530CB8">
      <w:pPr>
        <w:rPr>
          <w:lang w:val="es-MX"/>
        </w:rPr>
      </w:pPr>
      <w:r w:rsidRPr="00C67A5E">
        <w:rPr>
          <w:lang w:val="es-MX"/>
        </w:rPr>
        <w:br w:type="page"/>
      </w:r>
    </w:p>
    <w:p w14:paraId="68A2988E" w14:textId="77777777" w:rsidR="00652504" w:rsidRPr="00C67A5E" w:rsidRDefault="00652504" w:rsidP="00B65752">
      <w:pPr>
        <w:rPr>
          <w:sz w:val="22"/>
          <w:lang w:val="es-MX"/>
        </w:rPr>
      </w:pPr>
    </w:p>
    <w:p w14:paraId="23FA8369" w14:textId="77777777" w:rsidR="002F7815" w:rsidRPr="00421C2A" w:rsidRDefault="00F90B57" w:rsidP="002F7815">
      <w:pPr>
        <w:pStyle w:val="Heading1"/>
        <w:ind w:left="720"/>
        <w:rPr>
          <w:rFonts w:ascii="Arial" w:hAnsi="Arial" w:cs="Arial"/>
          <w:lang w:val="es-MX"/>
        </w:rPr>
      </w:pPr>
      <w:bookmarkStart w:id="56" w:name="_Toc198540712"/>
      <w:r w:rsidRPr="00421C2A">
        <w:rPr>
          <w:rFonts w:ascii="Arial" w:hAnsi="Arial" w:cs="Arial"/>
          <w:lang w:val="es-MX"/>
        </w:rPr>
        <w:t>Exención de Responsabilidades de S&amp;P Dow Jones Indices</w:t>
      </w:r>
      <w:bookmarkEnd w:id="56"/>
    </w:p>
    <w:p w14:paraId="72133F83" w14:textId="77777777" w:rsidR="00695258" w:rsidRDefault="00695258" w:rsidP="000A7F68">
      <w:pPr>
        <w:tabs>
          <w:tab w:val="left" w:pos="10080"/>
        </w:tabs>
        <w:ind w:left="720" w:right="720"/>
        <w:rPr>
          <w:rFonts w:ascii="Arial" w:hAnsi="Arial" w:cs="Arial"/>
          <w:sz w:val="20"/>
          <w:szCs w:val="20"/>
          <w:lang w:val="es-AR"/>
        </w:rPr>
      </w:pPr>
    </w:p>
    <w:p w14:paraId="2CF2A6B5" w14:textId="77777777" w:rsidR="00472729" w:rsidRPr="005F5AEE" w:rsidRDefault="00472729" w:rsidP="00472729">
      <w:pPr>
        <w:pStyle w:val="Heading2"/>
        <w:ind w:left="720"/>
        <w:rPr>
          <w:rFonts w:ascii="Arial" w:hAnsi="Arial" w:cs="Arial"/>
          <w:sz w:val="20"/>
          <w:szCs w:val="20"/>
          <w:lang w:val="es-MX"/>
        </w:rPr>
      </w:pPr>
      <w:bookmarkStart w:id="57" w:name="_Toc159420011"/>
      <w:bookmarkStart w:id="58" w:name="_Toc159420278"/>
      <w:bookmarkStart w:id="59" w:name="_Toc166579100"/>
      <w:bookmarkStart w:id="60" w:name="_Toc198540713"/>
      <w:bookmarkStart w:id="61" w:name="_Toc71642357"/>
      <w:bookmarkStart w:id="62" w:name="_Toc106896160"/>
      <w:r w:rsidRPr="005F5AEE">
        <w:rPr>
          <w:rFonts w:ascii="Arial" w:hAnsi="Arial" w:cs="Arial"/>
          <w:sz w:val="20"/>
          <w:szCs w:val="20"/>
          <w:lang w:val="es-MX"/>
        </w:rPr>
        <w:t>Divulgación de Rendimiento / Testeo empleando Datos Retrospectivos</w:t>
      </w:r>
      <w:bookmarkEnd w:id="57"/>
      <w:bookmarkEnd w:id="58"/>
      <w:bookmarkEnd w:id="59"/>
      <w:bookmarkEnd w:id="60"/>
    </w:p>
    <w:p w14:paraId="73F23801" w14:textId="77777777" w:rsidR="00472729" w:rsidRPr="005F5AEE" w:rsidRDefault="00472729" w:rsidP="00472729">
      <w:pPr>
        <w:pStyle w:val="default0"/>
        <w:spacing w:before="200"/>
        <w:ind w:left="720" w:right="720"/>
        <w:rPr>
          <w:rFonts w:eastAsia="Calibri"/>
          <w:color w:val="auto"/>
          <w:sz w:val="20"/>
          <w:szCs w:val="20"/>
          <w:lang w:val="es-MX"/>
        </w:rPr>
      </w:pPr>
      <w:r w:rsidRPr="005F5AEE">
        <w:rPr>
          <w:rFonts w:eastAsia="Calibri"/>
          <w:color w:val="auto"/>
          <w:sz w:val="20"/>
          <w:szCs w:val="20"/>
          <w:lang w:val="es-MX"/>
        </w:rPr>
        <w:t>S&amp;P Dow Jones Indices y sus afiliadas (S&amp;P DJI”) define varias fechas para ayudar a nuestros clientes a ofrecer transparencia. La Fecha del primer valor es el primer día en que existe un valor calculado (en vivo o un valor histórico) para un índice determinado. La Fecha base es la fecha en que el Índice se establece a un valor fijo para efectos de cálculo. La Fecha de lanzamiento designa la fecha en la que los valores de un índice se consideran por primera vez en vivo: los valores del índice proporcionados para cualquier fecha o período de tiempo antes de la Fecha de lanzamiento del índice se consideran valores históricos. S&amp;P Dow Jones Indices define la Fecha de lanzamiento como la fecha en la que se sabe que los valores de un índice se han hecho públicos, por ejemplo, a través del sitio web público de la compañía o su sistema de alimentación de datos a partes externas. Para los índices con la marca Dow Jones presentados antes del 31 de mayo de 2013, la Fecha de lanzamiento (la cual antes del 31 de mayo de 2013 se denominaba “Fecha de introducción”) se fija en una fecha en la que no se permitió realizar más cambios a la metodología del índice, pero que puede haber sido anterior a la fecha de publicación del Índice al público.</w:t>
      </w:r>
    </w:p>
    <w:p w14:paraId="2E5B7ECB" w14:textId="77777777" w:rsidR="00472729" w:rsidRPr="005F5AEE" w:rsidRDefault="00472729" w:rsidP="00472729">
      <w:pPr>
        <w:spacing w:before="240"/>
        <w:ind w:left="720" w:right="720"/>
        <w:jc w:val="both"/>
        <w:rPr>
          <w:rFonts w:ascii="Arial" w:hAnsi="Arial" w:cs="Arial"/>
          <w:sz w:val="20"/>
          <w:szCs w:val="20"/>
          <w:lang w:val="es-MX" w:eastAsia="ja-JP"/>
        </w:rPr>
      </w:pPr>
      <w:r w:rsidRPr="005F5AEE">
        <w:rPr>
          <w:rFonts w:ascii="Arial" w:hAnsi="Arial" w:cs="Arial"/>
          <w:sz w:val="20"/>
          <w:szCs w:val="20"/>
          <w:lang w:val="es-MX" w:eastAsia="ja-JP"/>
        </w:rPr>
        <w:t xml:space="preserve">Por favor consulte el documento que contiene la metodología del Índice, disponible en </w:t>
      </w:r>
      <w:hyperlink r:id="rId31" w:history="1">
        <w:r w:rsidRPr="005F5AEE">
          <w:rPr>
            <w:rFonts w:ascii="Arial" w:hAnsi="Arial" w:cs="Arial"/>
            <w:sz w:val="20"/>
            <w:szCs w:val="20"/>
            <w:lang w:val="es-MX" w:eastAsia="ja-JP"/>
          </w:rPr>
          <w:t>www.spglobal/spdji.com</w:t>
        </w:r>
      </w:hyperlink>
      <w:r w:rsidRPr="005F5AEE">
        <w:rPr>
          <w:rFonts w:ascii="Arial" w:hAnsi="Arial" w:cs="Arial"/>
          <w:sz w:val="20"/>
          <w:szCs w:val="20"/>
          <w:lang w:val="es-MX" w:eastAsia="ja-JP"/>
        </w:rPr>
        <w:t xml:space="preserve"> para obtener más detalles sobre el índice, incluida la forma y el momento en el que se vuelve a realizar el balance, los criterios para las incorporaciones o eliminaciones, así como todos los cálculos de los índices.</w:t>
      </w:r>
      <w:r w:rsidRPr="005F5AEE">
        <w:rPr>
          <w:rFonts w:ascii="Arial" w:hAnsi="Arial" w:cs="Arial"/>
          <w:sz w:val="20"/>
          <w:szCs w:val="20"/>
          <w:lang w:val="es-MX"/>
        </w:rPr>
        <w:t>.</w:t>
      </w:r>
    </w:p>
    <w:p w14:paraId="071BF21D" w14:textId="77777777" w:rsidR="00472729" w:rsidRPr="005F5AEE" w:rsidRDefault="00472729" w:rsidP="00472729">
      <w:pPr>
        <w:pStyle w:val="default0"/>
        <w:spacing w:before="200"/>
        <w:ind w:left="720" w:right="720"/>
        <w:rPr>
          <w:rFonts w:eastAsia="Calibri"/>
          <w:color w:val="auto"/>
          <w:sz w:val="20"/>
          <w:szCs w:val="20"/>
          <w:lang w:val="es-MX"/>
        </w:rPr>
      </w:pPr>
      <w:r w:rsidRPr="005F5AEE">
        <w:rPr>
          <w:rFonts w:eastAsia="Calibri"/>
          <w:color w:val="auto"/>
          <w:sz w:val="20"/>
          <w:szCs w:val="20"/>
          <w:lang w:val="es-MX"/>
        </w:rPr>
        <w:t xml:space="preserve">La información presentada antes de la fecha de lanzamiento de un índice es un desempeño hipotético comprobado, no un desempeño real, y se basa en la metodología del índice vigente en la fecha de lanzamiento. Sin embargo, al crear un historial retrospectivo para períodos de anomalías del mercado u otros períodos que no reflejan el entorno general actual del mercado, las reglas de la metodología del índice pueden flexibilizarse para capturar un universo de valores lo suficientemente grande como para simular el mercado objetivo para el cual está diseñado el índice. medida o estrategia que el índice está diseñado para capturar. Por ejemplo, se pueden reducir los umbrales de capitalización de mercado y liquidez. Además, las bifurcaciones no se han tenido en cuenta en los datos de las pruebas retrospectivas con respecto a los índices de criptomonedas de S&amp;P. Para los </w:t>
      </w:r>
      <w:r w:rsidRPr="005F5AEE">
        <w:rPr>
          <w:sz w:val="20"/>
          <w:szCs w:val="20"/>
          <w:lang w:val="es-MX"/>
        </w:rPr>
        <w:t>S&amp;P Cryptocurrency Top 5 &amp; 10 Equal Weight Indices</w:t>
      </w:r>
      <w:r w:rsidRPr="005F5AEE">
        <w:rPr>
          <w:rFonts w:eastAsia="Calibri"/>
          <w:color w:val="auto"/>
          <w:sz w:val="20"/>
          <w:szCs w:val="20"/>
          <w:lang w:val="es-MX"/>
        </w:rPr>
        <w:t>, no se consideró el elemento de custodia de la metodología; el historial de pruebas retrospectivas se basa en los componentes del índice que cumplen con el elemento de custodia a partir de la Fecha de Lanzamiento. Además, el tratamiento de las eventos corporativ</w:t>
      </w:r>
      <w:r>
        <w:rPr>
          <w:rFonts w:eastAsia="Calibri"/>
          <w:color w:val="auto"/>
          <w:sz w:val="20"/>
          <w:szCs w:val="20"/>
          <w:lang w:val="es-MX"/>
        </w:rPr>
        <w:t>o</w:t>
      </w:r>
      <w:r w:rsidRPr="005F5AEE">
        <w:rPr>
          <w:rFonts w:eastAsia="Calibri"/>
          <w:color w:val="auto"/>
          <w:sz w:val="20"/>
          <w:szCs w:val="20"/>
          <w:lang w:val="es-MX"/>
        </w:rPr>
        <w:t>s en el desempeño histórico puede diferir del tratamiento de los índices debido a las limitaciones para replicar las decisiones de gestión de índices. El desempeño retrospectivo refleja la aplicación de una metodología de índice y la selección de los componentes del índice con el beneficio de la retrospectiva y el conocimiento de los factores que pueden haber afectado positivamente su desempeño, no puede tomar en cuenta todos los riesgos financieros que pueden afectar los resultados y puede considerarse que refleja sobreviviente/ Sesgo de mirar hacia adelante. Los rendimientos reales pueden diferir significativamente de los rendimientos comprobados y ser inferiores a ellos. El rendimiento pasado no es una indicación ni garantía de resultados futuros.</w:t>
      </w:r>
    </w:p>
    <w:p w14:paraId="5623F722" w14:textId="77777777" w:rsidR="00472729" w:rsidRPr="005F5AEE" w:rsidRDefault="00472729" w:rsidP="00472729">
      <w:pPr>
        <w:pStyle w:val="default0"/>
        <w:spacing w:before="200"/>
        <w:ind w:left="720" w:right="720"/>
        <w:rPr>
          <w:rFonts w:eastAsia="Calibri"/>
          <w:color w:val="auto"/>
          <w:sz w:val="20"/>
          <w:szCs w:val="20"/>
          <w:lang w:val="es-MX"/>
        </w:rPr>
      </w:pPr>
      <w:r w:rsidRPr="005F5AEE">
        <w:rPr>
          <w:rFonts w:eastAsia="Calibri"/>
          <w:color w:val="auto"/>
          <w:sz w:val="20"/>
          <w:szCs w:val="20"/>
          <w:lang w:val="es-MX"/>
        </w:rPr>
        <w:t>​</w:t>
      </w:r>
    </w:p>
    <w:p w14:paraId="3CCCC0D3" w14:textId="77777777" w:rsidR="00472729" w:rsidRPr="005F5AEE" w:rsidRDefault="00472729" w:rsidP="00472729">
      <w:pPr>
        <w:pStyle w:val="default0"/>
        <w:spacing w:before="200"/>
        <w:ind w:left="720" w:right="720"/>
        <w:rPr>
          <w:rFonts w:eastAsia="Calibri"/>
          <w:color w:val="auto"/>
          <w:sz w:val="20"/>
          <w:szCs w:val="20"/>
          <w:lang w:val="es-MX"/>
        </w:rPr>
      </w:pPr>
    </w:p>
    <w:p w14:paraId="160E2098" w14:textId="77777777" w:rsidR="00472729" w:rsidRPr="005F5AEE" w:rsidRDefault="00472729" w:rsidP="00472729">
      <w:pPr>
        <w:pStyle w:val="default0"/>
        <w:spacing w:before="200"/>
        <w:ind w:left="720" w:right="720"/>
        <w:rPr>
          <w:rFonts w:eastAsia="Calibri"/>
          <w:color w:val="auto"/>
          <w:sz w:val="20"/>
          <w:szCs w:val="20"/>
          <w:lang w:val="es-MX"/>
        </w:rPr>
      </w:pPr>
    </w:p>
    <w:p w14:paraId="370514B3" w14:textId="77777777" w:rsidR="00472729" w:rsidRPr="005F5AEE" w:rsidRDefault="00472729" w:rsidP="00472729">
      <w:pPr>
        <w:pStyle w:val="default0"/>
        <w:spacing w:before="200"/>
        <w:ind w:left="720" w:right="720"/>
        <w:rPr>
          <w:rFonts w:eastAsia="Calibri"/>
          <w:color w:val="auto"/>
          <w:sz w:val="20"/>
          <w:szCs w:val="20"/>
          <w:highlight w:val="green"/>
          <w:lang w:val="es-MX"/>
        </w:rPr>
      </w:pPr>
      <w:r w:rsidRPr="005F5AEE">
        <w:rPr>
          <w:rFonts w:eastAsia="Calibri"/>
          <w:color w:val="auto"/>
          <w:sz w:val="20"/>
          <w:szCs w:val="20"/>
          <w:lang w:val="es-MX"/>
        </w:rPr>
        <w:t xml:space="preserve">Por lo general, cuando el S&amp;P DJI crea datos de índices mediante back-testing, utiliza en sus cálculos datos históricos reales a nivel de los componentes (por ejemplo, precio histórico, capitalización del mercado y datos de eventos corporativos). Dado que la inversión en ESG se encuentra todavía en las primeras etapas de desarrollo, es posible que ciertos puntos de datos utilizados para calcular los índices ESG de S&amp;P DJI no estén disponibles para todo el período deseado del historial generado mediante back-testing. El mismo problema de disponibilidad de datos podría ser cierto también para otros índices. En los casos en que no se disponga de datos reales para todos los períodos históricos pertinentes, S&amp;P DJI puede emplear un proceso de "Suposición de Datos Retrospectivos" (o de retroceso) de los datos ESG para el cálculo del rendimiento histórico mediante back-testing. La "Suposición de Datos Retrospectivos" es un proceso que aplica el punto de datos reales más temprano disponible para una empresa que compone el índice a todas las instancias históricas anteriores en el desempeño del índice. Por ejemplo, la Suposición de Datos Anteriores asume inherentemente que las empresas que actualmente no están involucradas en una actividad comercial específica (también conocida como "participación en productos") nunca estuvieron involucradas en ella históricamente y, de manera similar, también asume que las empresas que actualmente están involucradas en una actividad comercial específica también participaron de ella históricamente. La Suposición de Datos Retrospectivos permite que el back-testing hipotético se extienda a lo largo de más años históricos de lo que sería factible utilizando únicamente datos reales. Para más información sobre la "Suposición de Datos Retrospectivos", consulte las </w:t>
      </w:r>
      <w:hyperlink r:id="rId32" w:history="1">
        <w:r w:rsidRPr="005F5AEE">
          <w:rPr>
            <w:rStyle w:val="Hyperlink"/>
            <w:rFonts w:eastAsia="Calibri"/>
            <w:sz w:val="20"/>
            <w:szCs w:val="20"/>
            <w:lang w:val="es-MX"/>
          </w:rPr>
          <w:t>Preguntas frecuentes</w:t>
        </w:r>
      </w:hyperlink>
      <w:r w:rsidRPr="005F5AEE">
        <w:rPr>
          <w:rFonts w:eastAsia="Calibri"/>
          <w:color w:val="auto"/>
          <w:sz w:val="20"/>
          <w:szCs w:val="20"/>
          <w:lang w:val="es-MX"/>
        </w:rPr>
        <w:t>. La metodología y factsheets de cualquier índice que emplee la suposición retrospectiva en el historial de back-testing lo indicarán explícitamente. La metodología incluirá un apéndice con un cuadro en el que se expondrán los puntos de datos específicos y el período de tiempo pertinente para el que se utilizaron los datos retroproyectados.</w:t>
      </w:r>
    </w:p>
    <w:p w14:paraId="58F7FAAE" w14:textId="77777777" w:rsidR="00472729" w:rsidRPr="005F5AEE" w:rsidRDefault="00472729" w:rsidP="00472729">
      <w:pPr>
        <w:pStyle w:val="default0"/>
        <w:spacing w:before="200"/>
        <w:ind w:left="720" w:right="720"/>
        <w:rPr>
          <w:rFonts w:eastAsia="Calibri"/>
          <w:color w:val="auto"/>
          <w:sz w:val="20"/>
          <w:szCs w:val="20"/>
          <w:lang w:val="es-MX"/>
        </w:rPr>
      </w:pPr>
      <w:r w:rsidRPr="005F5AEE">
        <w:rPr>
          <w:rFonts w:eastAsia="Calibri"/>
          <w:color w:val="auto"/>
          <w:sz w:val="20"/>
          <w:szCs w:val="20"/>
          <w:lang w:val="es-MX"/>
        </w:rPr>
        <w:t>Los retornos del Índice que se muestran no representan los resultados de las operaciones reales de activos/valores invertibles.</w:t>
      </w:r>
      <w:r w:rsidRPr="005F5AEE">
        <w:rPr>
          <w:rFonts w:eastAsia="Times New Roman"/>
          <w:sz w:val="20"/>
          <w:szCs w:val="20"/>
          <w:bdr w:val="nil"/>
          <w:lang w:val="es-ES_tradnl"/>
        </w:rPr>
        <w:t xml:space="preserve"> </w:t>
      </w:r>
      <w:r w:rsidRPr="005F5AEE">
        <w:rPr>
          <w:rFonts w:eastAsia="Calibri"/>
          <w:color w:val="auto"/>
          <w:sz w:val="20"/>
          <w:szCs w:val="20"/>
          <w:lang w:val="es-MX"/>
        </w:rPr>
        <w:t>S&amp;P Dow Jones Indices LLC mantiene el Índice y calcula los niveles y el rendimiento del Índice, mostrados o tratados, pero no gestiona activos reales. Los retornos del Índice no reflejan el pago de ningún cargo o tarifa de ventas que un inversionista puede pagar para comprar los valores subyacentes del Índice o los fondos de inversión que pretenden seguir el rendimiento del Índice. La imposición de estas tarifas y cargos ocasionaría que el rendimiento real y de valor histórico de los valores/fondos sea más bajos que el rendimiento que se muestra del Índice. A modo de ejemplo sencillo, si un índice tuvo un retorno del 10 % sobre una inversión de $100 000 dólares estadounidenses durante un período de 12 meses (o $10 000 dólares estadounidenses) y se impuso un cargo real basado en activos de 1,5 % al final del período sobre la inversión, más el interés acumulado (o $1650 dólares estadounidenses), el retorno neto sería de 8,35 % (o $8350 dólares estadounidenses) para el año. Durante un período de tres años, un cargo anual del 1,5 % tomado al final del año asumiendo un retorno del 10 % por año daría como resultado un retorno bruto acumulado de 33,10 %, un cargo total de $5375 dólares estadounidenses, y un retorno neto acumulado del 27,2 % (o $27 200 dólares estadounidenses).</w:t>
      </w:r>
    </w:p>
    <w:p w14:paraId="3C58D561" w14:textId="77777777" w:rsidR="00472729" w:rsidRPr="005F5AEE" w:rsidRDefault="00472729" w:rsidP="00472729">
      <w:pPr>
        <w:pStyle w:val="Heading2"/>
        <w:ind w:left="720"/>
        <w:rPr>
          <w:rFonts w:ascii="Arial" w:hAnsi="Arial" w:cs="Arial"/>
          <w:sz w:val="20"/>
          <w:szCs w:val="20"/>
          <w:lang w:val="es-MX"/>
        </w:rPr>
      </w:pPr>
      <w:bookmarkStart w:id="63" w:name="_Toc159420012"/>
      <w:bookmarkStart w:id="64" w:name="_Toc159420279"/>
      <w:bookmarkStart w:id="65" w:name="_Toc166579101"/>
      <w:bookmarkStart w:id="66" w:name="_Toc198540714"/>
      <w:r w:rsidRPr="005F5AEE">
        <w:rPr>
          <w:rFonts w:ascii="Arial" w:hAnsi="Arial" w:cs="Arial"/>
          <w:sz w:val="20"/>
          <w:szCs w:val="20"/>
          <w:lang w:val="es-MX"/>
        </w:rPr>
        <w:t>Aviso Legal sobre la Propiedad Intelectual</w:t>
      </w:r>
      <w:bookmarkEnd w:id="63"/>
      <w:bookmarkEnd w:id="64"/>
      <w:bookmarkEnd w:id="65"/>
      <w:bookmarkEnd w:id="66"/>
    </w:p>
    <w:p w14:paraId="36FEC0DB" w14:textId="70D4EC05" w:rsidR="00472729" w:rsidRPr="005F5AEE" w:rsidRDefault="00472729" w:rsidP="00472729">
      <w:pPr>
        <w:pStyle w:val="default0"/>
        <w:spacing w:before="200"/>
        <w:ind w:left="720" w:right="720"/>
        <w:rPr>
          <w:sz w:val="20"/>
          <w:szCs w:val="20"/>
          <w:lang w:val="es-MX"/>
        </w:rPr>
      </w:pPr>
      <w:r w:rsidRPr="005F5AEE">
        <w:rPr>
          <w:sz w:val="20"/>
          <w:szCs w:val="20"/>
        </w:rPr>
        <w:t>© 202</w:t>
      </w:r>
      <w:r w:rsidR="00C27286">
        <w:rPr>
          <w:sz w:val="20"/>
          <w:szCs w:val="20"/>
        </w:rPr>
        <w:t>5</w:t>
      </w:r>
      <w:r w:rsidRPr="005F5AEE">
        <w:rPr>
          <w:sz w:val="20"/>
          <w:szCs w:val="20"/>
        </w:rPr>
        <w:t xml:space="preserve"> S&amp;P Dow Jones Indices. All rights reserved. S&amp;P, S&amp;P 500, SPX, SPY, The 500, US500 , US 30, S&amp;P 100, S&amp;P COMPOSITE 1500, S&amp;P 400, S&amp;P MIDCAP 400, S&amp;P 600, S&amp;P SMALLCAP 600, S&amp;P GIVI, GLOBAL TITANS, DIVIDEND ARISTOCRATS, Select Sector, S&amp;P MAESTRO, S&amp;P PRISM, S&amp;P STRIDE, GICS, SPIVA, SPDR, INDEXOLOGY, iTraxx, iBoxx, ABX, ADBI, CDX, CMBX, MBX, MCDX, PRIMEX, HHPI, and SOVX son marcas comerciales registradas de S&amp;P Global, Inc. (“S&amp;P Global”) o sus afiliadas. DOW JONES, DJIA, THE DOW y DOW JONES INDUSTRIAL AVERAGE son marcas comerciales registradas de Dow Jones Trademark Holdings LLC (“Dow Jones”). </w:t>
      </w:r>
      <w:r w:rsidRPr="005F5AEE">
        <w:rPr>
          <w:sz w:val="20"/>
          <w:szCs w:val="20"/>
          <w:lang w:val="es-MX"/>
        </w:rPr>
        <w:t>Estas marcas comerciales junto con otras se otorgaron en licencia a S&amp;P Dow Jones Indices LLC. Este documento no constituye una oferta de servicios en jurisdicciones donde S&amp;P DJI no cuentan con las licencias necesarias. A excepción de determinados servicios de cálculo de índices habituales, toda la información proporcionada por S&amp;P DJI es impersonal y no está adaptada a las necesidades de ninguna persona, entidad ni grupo de personas. S&amp;P DJI recibe compensación en relación con el otorgamiento de licencias de sus índices a terceros y la prestación de servicios de cálculos habituales. El rendimiento pasado de un índice no es indicador o garantía de los resultados en el futuro.</w:t>
      </w:r>
    </w:p>
    <w:p w14:paraId="66396A7F" w14:textId="77777777" w:rsidR="00472729" w:rsidRPr="005F5AEE" w:rsidRDefault="00472729" w:rsidP="00472729">
      <w:pPr>
        <w:pStyle w:val="default0"/>
        <w:ind w:left="720" w:right="720"/>
        <w:rPr>
          <w:sz w:val="20"/>
          <w:szCs w:val="20"/>
          <w:lang w:val="es-AR"/>
        </w:rPr>
      </w:pPr>
    </w:p>
    <w:p w14:paraId="43B77B47" w14:textId="77777777" w:rsidR="00472729" w:rsidRPr="005F5AEE" w:rsidRDefault="00472729" w:rsidP="00472729">
      <w:pPr>
        <w:ind w:left="720" w:right="720"/>
        <w:rPr>
          <w:rFonts w:ascii="Arial" w:hAnsi="Arial" w:cs="Arial"/>
          <w:sz w:val="20"/>
          <w:szCs w:val="20"/>
          <w:highlight w:val="yellow"/>
          <w:lang w:val="es-AR"/>
        </w:rPr>
      </w:pPr>
      <w:r w:rsidRPr="005F5AEE">
        <w:rPr>
          <w:rFonts w:ascii="Arial" w:hAnsi="Arial" w:cs="Arial"/>
          <w:sz w:val="20"/>
          <w:szCs w:val="20"/>
          <w:lang w:val="es-AR"/>
        </w:rPr>
        <w:t>No es posible invertir directamente en un índice. La exposición a una clase de activos representada por un índice podrá estar disponible a través de instrumentos pasibles de inversión en función de dicho índice. S&amp;P DJI no patrocina, avala, vende, promueve o administra ningún fondo de inversión ni otros vehículos de inversión que ofrezcan terceras partes y que busquen proporcionar un rendimiento sobre la inversión basado en el comportamiento de cualquier índice. S&amp;P DJI no asegura que los productos de inversiones basados en un índice harán un seguimiento exacto del rendimiento u ofrecerán retornos de inversiones positivos. S&amp;P DJI no es una compañía asesora de inversiones, trading de commodities, asesoría, fiducuacia, “promoción” como se define en la Ley de Sociedades de Inversión de 1940, modificada) o "experto" como se enumera en 15 U.S.C. § 77k(a), y S&amp;P DJI no realiza ninguna declaración respecto a la conveniencia de invertir en ninguno de dichos fondos de inversión u otros vehículos de inversión. Las decisiones para invertir en alguno de dichos fondos de inversión u otro vehículo de inversión no deberían tomarse en función de ninguna de las declaraciones incluidas en el presente documento. S&amp;P DJI no es un asesor de impuestos. La inclusión de un título, commodity, crypto moneda o cualquier otra clase de activo en un índice no es una recomendación de S&amp;P DJI de comprar, vender o conservar dicho título, commodity, crypto moneda o activo; y tampoco debe considerarse como recomendación de inversión. Los precios de cierre de los índices de referencia estadounidenses de S&amp;P DJI se calculan a través de los índices S &amp; P Dow Jones basados ​​en el precio de cierre de los componentes individuales del índice según lo establecido por su intercambio primario. S&amp;P DJI recibe los precios de cierre de un proveedor tercerizado y la verifica mediante la comparación de esos precios con los precios de un proveedor alternativo. Los proveedores reciben los precios de cierre de las principales bolsas. Los precios intradía en tiempo real se calculan de manera similar sin una segunda verificación.</w:t>
      </w:r>
    </w:p>
    <w:p w14:paraId="71013745" w14:textId="77777777" w:rsidR="00472729" w:rsidRPr="005F5AEE" w:rsidRDefault="00472729" w:rsidP="00472729">
      <w:pPr>
        <w:pStyle w:val="default0"/>
        <w:ind w:left="720" w:right="720"/>
        <w:rPr>
          <w:color w:val="auto"/>
          <w:sz w:val="20"/>
          <w:szCs w:val="20"/>
          <w:lang w:val="es-AR"/>
        </w:rPr>
      </w:pPr>
    </w:p>
    <w:p w14:paraId="56B24228" w14:textId="77777777" w:rsidR="00472729" w:rsidRPr="005F5AEE" w:rsidRDefault="00472729" w:rsidP="00472729">
      <w:pPr>
        <w:pStyle w:val="default0"/>
        <w:ind w:left="720" w:right="720"/>
        <w:rPr>
          <w:color w:val="auto"/>
          <w:sz w:val="20"/>
          <w:szCs w:val="20"/>
          <w:lang w:val="es-AR"/>
        </w:rPr>
      </w:pPr>
      <w:r w:rsidRPr="005F5AEE">
        <w:rPr>
          <w:color w:val="auto"/>
          <w:sz w:val="20"/>
          <w:szCs w:val="20"/>
          <w:lang w:val="es-AR"/>
        </w:rPr>
        <w:t>Estos materiales se elaboraron solo con fines informativos en función de la información disponible para el público en general y de fuentes que se consideran confiables. Ningún contenido de estos materiales (incluyendo los datos de los índices, calificaciones, análisis y datos relacionados con los créditos, investigaciones, valoraciones, modelos, software u otra aplicación o producto de los mismos) o cualquier parte de los mismos (“Contenido”) podrá modificarse, utilizarse para aplicar ingeniería inversa, reproducirse ni distribuirse en ninguna forma ni medio, ni almacenarse en una base de datos o sistema de recuperación, sin la previa autorización por escrito de S&amp;P Dow Jones Indices. El Contenido no deberá utilizarse para ningún fin ilícito o no autorizado. S&amp;P Dow Jones Indices y sus proveedores externos de datos y licenciantes (en conjunto “Partes de S&amp;P Dow Jones Indices”) no garantizan la precisión, integridad, oportunidad o disponibilidad del Contenido. Las Partes de S&amp;P Dow Jones Indices no serán responsables de ningún error u omisión, independientemente de su causa, con respecto a los resultados obtenidos a partir del uso del Contenido. EL CONTENIDO SE PROPORCIONA “TAL CUAL ESTÁ”. LAS PARTES DE S&amp;P DOW JONES INDICES SE EXIMEN DE TODAS Y CADA UNA DE LAS GARANTÍAS EXPLÍCITAS O IMPLÍCITAS, QUE INCLUYEN, A TÍTULO ENUNCIATIVO, PERO NO LIMITATIVO, LAS GARANTÍAS DE COMERCIABILIDAD O IDONEIDAD PARA UN FIN O USO ESPECÍFICOS, O LAS GARANTÍAS REFERENTES A QUE EL CONTENIDO NO CONTIENE FALLAS, ERRORES O DEFECTOS DE SOFTWARE, QUE EL FUNCIONAMIENTO DEL CONTENIDO SERÁ ININTERRUMPIDO O QUE EL CONTENIDO FUNCIONARÁ CON CUALQUIER CONFIGURACIÓN DE SOFTWARE O HARDWARE. En ningún caso las Partes de S&amp;P Dow Jones Indices serán responsables respecto a ninguna parte por los daños y perjuicios directos, indirectos, incidentales, ejemplares, compensatorios, punitivos, especiales, o emergentes, costos, gastos, honorarios legales o pérdidas (incluidos a título enunciativo, pero no limitativo, las pérdidas de ingresos o utilidades y costos de oportunidad) en relación con cualquier uso del Contenido, incluso si se hubiere advertido de la posibilidad de dichos daños y perjuicios.</w:t>
      </w:r>
    </w:p>
    <w:p w14:paraId="0FA0EE8C" w14:textId="77777777" w:rsidR="00472729" w:rsidRPr="005F5AEE" w:rsidRDefault="00472729" w:rsidP="00472729">
      <w:pPr>
        <w:ind w:left="720" w:right="720"/>
        <w:rPr>
          <w:rFonts w:ascii="Arial" w:hAnsi="Arial" w:cs="Arial"/>
          <w:sz w:val="20"/>
          <w:szCs w:val="20"/>
          <w:lang w:val="es-AR"/>
        </w:rPr>
      </w:pPr>
    </w:p>
    <w:p w14:paraId="2BEC278F" w14:textId="77777777" w:rsidR="00472729" w:rsidRPr="005F5AEE" w:rsidRDefault="00472729" w:rsidP="00472729">
      <w:pPr>
        <w:ind w:left="720" w:right="720"/>
        <w:rPr>
          <w:rFonts w:ascii="Arial" w:hAnsi="Arial" w:cs="Arial"/>
          <w:sz w:val="20"/>
          <w:szCs w:val="20"/>
          <w:lang w:val="es-AR"/>
        </w:rPr>
      </w:pPr>
      <w:r w:rsidRPr="005F5AEE">
        <w:rPr>
          <w:rFonts w:ascii="Arial" w:hAnsi="Arial" w:cs="Arial"/>
          <w:sz w:val="20"/>
          <w:szCs w:val="20"/>
          <w:lang w:val="es-AR"/>
        </w:rPr>
        <w:t>La información crediticia y otros análisis, lo que incluye calificaciones, investigación y valoraciones, los proporcionan en general los licenciantes y/o las afiliadas de S&amp;P Dow Jones Indices, incluidas, entre otras, las otras divisiones de S&amp;P Global, tales como S&amp;P Global Market Intelligence.] Cualquier información crediticia y otros análisis y declaraciones relacionados del Contenido son opiniones a la fecha en que se expresaron y no son declaraciones de hechos. Cualquier opinión, análisis y decisiones de reconocimiento de calificaciones no son recomendaciones para comprar, conservar o vender ningún título valor ni para tomar ninguna decisión de inversión, y no abordan la conveniencia de ningún título valor. S&amp;P Dow Jones Indices no asume obligación alguna de actualizar el Contenido luego de su publicación en cualquier forma o formato. El Contenido no debe utilizarse como base ni sustituto de la habilidad, criterio y experiencia del usuario, sus directivos, empleados, asesores y/o clientes al tomar decisiones de inversión y otras decisiones comerciales. S&amp;P Dow Jones Indices LLC no actúa como fiduciario ni asesor de inversiones. Si bien S&amp;P Dow Jones Indices ha obtenido información de fuentes que considera confiables, S&amp;P Dow Jones Indices no realiza una auditoría ni asume ningún deber de diligencia debida o verificación independiente de ninguna información que recibe.</w:t>
      </w:r>
    </w:p>
    <w:p w14:paraId="1DB6635B" w14:textId="77777777" w:rsidR="00472729" w:rsidRPr="005F5AEE" w:rsidRDefault="00472729" w:rsidP="00472729">
      <w:pPr>
        <w:ind w:left="720" w:right="720"/>
        <w:rPr>
          <w:rFonts w:ascii="Arial" w:hAnsi="Arial" w:cs="Arial"/>
          <w:sz w:val="20"/>
          <w:szCs w:val="20"/>
          <w:lang w:val="es-AR"/>
        </w:rPr>
      </w:pPr>
    </w:p>
    <w:p w14:paraId="790E5BB1" w14:textId="77777777" w:rsidR="00472729" w:rsidRPr="005F5AEE" w:rsidRDefault="00472729" w:rsidP="00472729">
      <w:pPr>
        <w:ind w:left="720" w:right="720"/>
        <w:rPr>
          <w:rStyle w:val="Hyperlink"/>
          <w:rFonts w:ascii="Arial" w:hAnsi="Arial" w:cs="Arial"/>
          <w:sz w:val="20"/>
          <w:szCs w:val="20"/>
          <w:lang w:val="es-MX"/>
        </w:rPr>
      </w:pPr>
      <w:r w:rsidRPr="005F5AEE">
        <w:rPr>
          <w:rFonts w:ascii="Arial" w:hAnsi="Arial" w:cs="Arial"/>
          <w:sz w:val="20"/>
          <w:szCs w:val="20"/>
          <w:lang w:val="es-AR"/>
        </w:rPr>
        <w:t xml:space="preserve">En la medida en que las autoridades reguladoras permitan a una agencia calificadora reconocer en una jurisdicción una calificación emitida en otra jurisdicción para determinados fines regulatorios, S&amp;P Global Ratings se reserva el derecho de ceder, retirar o suspender dicho reconocimiento en cualquier momento y a su entera discreción. S&amp;P Dow Jones Indices, incluyendo a S&amp;P Global Ratings, rechaza cualquier deber que surja de la cesión, retiro o suspensión de un reconocimiento, además de cualquier responsabilidad por cualquier daño supuesto que se haya sufrido a causa de los mismos.] Las afiliadas de S&amp;P Dow Jones Indices LLC, que incluyen a S&amp;P Global Ratings, podrán recibir una compensación por sus calificaciones y determinados análisis crediticios, normalmente proveniente de los emisores o suscriptores de los títulos valores o deudores. Dichas afiliadas de S&amp;P Dow Jones Indices LLC, que incluyen a S&amp;P Global Ratings, se reservan el derecho de difundir sus opiniones y análisis. Las calificaciones y los análisis de carácter público que realiza S&amp;P Global Ratings se ponen a disposición en sus sitios web, </w:t>
      </w:r>
      <w:hyperlink r:id="rId33" w:history="1">
        <w:r w:rsidRPr="005F5AEE">
          <w:rPr>
            <w:rStyle w:val="Hyperlink"/>
            <w:rFonts w:ascii="Arial" w:hAnsi="Arial" w:cs="Arial"/>
            <w:sz w:val="20"/>
            <w:szCs w:val="20"/>
            <w:lang w:val="es-MX"/>
          </w:rPr>
          <w:t>www.standardandpoors.com</w:t>
        </w:r>
      </w:hyperlink>
      <w:r w:rsidRPr="005F5AEE">
        <w:rPr>
          <w:rStyle w:val="Hyperlink"/>
          <w:rFonts w:ascii="Arial" w:hAnsi="Arial" w:cs="Arial"/>
          <w:sz w:val="20"/>
          <w:szCs w:val="20"/>
          <w:lang w:val="es-MX"/>
        </w:rPr>
        <w:t xml:space="preserve"> </w:t>
      </w:r>
      <w:r w:rsidRPr="005F5AEE">
        <w:rPr>
          <w:rFonts w:ascii="Arial" w:hAnsi="Arial" w:cs="Arial"/>
          <w:sz w:val="20"/>
          <w:szCs w:val="20"/>
          <w:lang w:val="es-AR"/>
        </w:rPr>
        <w:t xml:space="preserve">(sin cargo), y </w:t>
      </w:r>
      <w:hyperlink r:id="rId34" w:tooltip="blocked::http://www.ratingsdirect.com/" w:history="1">
        <w:r w:rsidRPr="005F5AEE">
          <w:rPr>
            <w:rStyle w:val="Hyperlink"/>
            <w:rFonts w:ascii="Arial" w:hAnsi="Arial" w:cs="Arial"/>
            <w:sz w:val="20"/>
            <w:szCs w:val="20"/>
            <w:lang w:val="es-MX"/>
          </w:rPr>
          <w:t>www.ratingsdirect.com</w:t>
        </w:r>
      </w:hyperlink>
      <w:r w:rsidRPr="005F5AEE">
        <w:rPr>
          <w:rFonts w:ascii="Arial" w:hAnsi="Arial" w:cs="Arial"/>
          <w:sz w:val="20"/>
          <w:szCs w:val="20"/>
          <w:lang w:val="es-AR"/>
        </w:rPr>
        <w:t xml:space="preserve"> y </w:t>
      </w:r>
      <w:hyperlink r:id="rId35" w:tooltip="blocked::http://www.globalcreditportal.com/" w:history="1">
        <w:r w:rsidRPr="005F5AEE">
          <w:rPr>
            <w:rStyle w:val="Hyperlink"/>
            <w:rFonts w:ascii="Arial" w:hAnsi="Arial" w:cs="Arial"/>
            <w:sz w:val="20"/>
            <w:szCs w:val="20"/>
            <w:lang w:val="es-MX"/>
          </w:rPr>
          <w:t>www.globalcreditportal.com</w:t>
        </w:r>
      </w:hyperlink>
      <w:r w:rsidRPr="005F5AEE">
        <w:rPr>
          <w:rFonts w:ascii="Arial" w:hAnsi="Arial" w:cs="Arial"/>
          <w:sz w:val="20"/>
          <w:szCs w:val="20"/>
          <w:lang w:val="es-AR"/>
        </w:rPr>
        <w:t xml:space="preserve"> (por suscripción), y podrán distribuirse a través de otros medios, lo que incluye a través de publicaciones de S&amp;P Global Ratings y terceros redistribuidores. Se dispone de información adicional sobre los costos de nuestras calificaciones en </w:t>
      </w:r>
      <w:hyperlink r:id="rId36" w:tooltip="blocked::http://www.standardandpoors.com/usratingsfees http://www.standardandpoors.com/usratingsfees" w:history="1">
        <w:r w:rsidRPr="005F5AEE">
          <w:rPr>
            <w:rStyle w:val="Hyperlink"/>
            <w:rFonts w:ascii="Arial" w:hAnsi="Arial" w:cs="Arial"/>
            <w:sz w:val="20"/>
            <w:szCs w:val="20"/>
            <w:lang w:val="es-MX"/>
          </w:rPr>
          <w:t>www.standardandpoors.com/usratingsfees</w:t>
        </w:r>
      </w:hyperlink>
    </w:p>
    <w:p w14:paraId="36E09A00" w14:textId="77777777" w:rsidR="00472729" w:rsidRPr="005F5AEE" w:rsidRDefault="00472729" w:rsidP="00472729">
      <w:pPr>
        <w:ind w:right="720"/>
        <w:rPr>
          <w:rFonts w:ascii="Arial" w:hAnsi="Arial" w:cs="Arial"/>
          <w:sz w:val="20"/>
          <w:szCs w:val="20"/>
          <w:lang w:val="es-AR"/>
        </w:rPr>
      </w:pPr>
      <w:r w:rsidRPr="005F5AEE">
        <w:rPr>
          <w:rFonts w:ascii="Arial" w:hAnsi="Arial" w:cs="Arial"/>
          <w:sz w:val="20"/>
          <w:szCs w:val="20"/>
          <w:lang w:val="es-AR"/>
        </w:rPr>
        <w:t xml:space="preserve"> </w:t>
      </w:r>
    </w:p>
    <w:p w14:paraId="6180BFD9" w14:textId="77777777" w:rsidR="00472729" w:rsidRPr="005F5AEE" w:rsidRDefault="00472729" w:rsidP="00472729">
      <w:pPr>
        <w:ind w:left="720" w:right="720"/>
        <w:rPr>
          <w:rFonts w:ascii="Arial" w:hAnsi="Arial" w:cs="Arial"/>
          <w:sz w:val="20"/>
          <w:szCs w:val="20"/>
          <w:lang w:val="es-AR"/>
        </w:rPr>
      </w:pPr>
      <w:r w:rsidRPr="005F5AEE">
        <w:rPr>
          <w:rFonts w:ascii="Arial" w:hAnsi="Arial" w:cs="Arial"/>
          <w:sz w:val="20"/>
          <w:szCs w:val="20"/>
          <w:lang w:val="es-AR"/>
        </w:rPr>
        <w:t>S&amp;P Global mantiene determinadas actividades de sus diferentes divisiones y unidades de negocios separadas unas de otras con el fin de preservar la independencia y objetividad de sus actividades respectivas. En consecuencia, determinadas divisiones y unidades de negocio de S&amp;P Global pueden contar con información que no está disponible para otras unidades de negocio. S&amp;P Global estableció políticas y procedimientos para mantener la confidencialidad de determinada información no pública que se recibe en relación con cada proceso analítico.</w:t>
      </w:r>
    </w:p>
    <w:p w14:paraId="234CDD79" w14:textId="77777777" w:rsidR="00472729" w:rsidRPr="005F5AEE" w:rsidRDefault="00472729" w:rsidP="00472729">
      <w:pPr>
        <w:pStyle w:val="default0"/>
        <w:ind w:left="720" w:right="720"/>
        <w:rPr>
          <w:color w:val="auto"/>
          <w:sz w:val="20"/>
          <w:szCs w:val="20"/>
          <w:lang w:val="es-AR"/>
        </w:rPr>
      </w:pPr>
    </w:p>
    <w:p w14:paraId="56D9252D" w14:textId="77777777" w:rsidR="00472729" w:rsidRPr="005F5AEE" w:rsidRDefault="00472729" w:rsidP="00472729">
      <w:pPr>
        <w:pStyle w:val="default0"/>
        <w:ind w:left="720" w:right="720"/>
        <w:rPr>
          <w:color w:val="auto"/>
          <w:sz w:val="20"/>
          <w:szCs w:val="20"/>
          <w:lang w:val="es-AR"/>
        </w:rPr>
      </w:pPr>
      <w:r w:rsidRPr="005F5AEE">
        <w:rPr>
          <w:color w:val="auto"/>
          <w:sz w:val="20"/>
          <w:szCs w:val="20"/>
          <w:lang w:val="es-AR"/>
        </w:rPr>
        <w:t>Además, S&amp;P Dow Jones Indices ofrece una amplia gama de servicios a, o en relación con, muchas organizaciones, entre ellas emisores de valores, asesores de inversión, corredores e intermediarios, bancos de inversión, otras instituciones financieras e intermediarios financieros y, en consecuencia, puede recibir honorarios u otras prestaciones económicas de dichas organizaciones, que incluyen las organizaciones cuyos valores o servicios pueda recomendar, calificar, incluir en carteras modelo, evaluar o abordar de algún otro modo.</w:t>
      </w:r>
    </w:p>
    <w:p w14:paraId="63740E5B" w14:textId="77777777" w:rsidR="00472729" w:rsidRPr="005F5AEE" w:rsidRDefault="00472729" w:rsidP="00472729">
      <w:pPr>
        <w:pStyle w:val="default0"/>
        <w:ind w:left="720" w:right="720"/>
        <w:rPr>
          <w:color w:val="auto"/>
          <w:sz w:val="20"/>
          <w:szCs w:val="20"/>
          <w:lang w:val="es-AR"/>
        </w:rPr>
      </w:pPr>
    </w:p>
    <w:p w14:paraId="76579F2F" w14:textId="77777777" w:rsidR="00472729" w:rsidRPr="005F5AEE" w:rsidRDefault="00472729" w:rsidP="00472729">
      <w:pPr>
        <w:pStyle w:val="default0"/>
        <w:ind w:left="720" w:right="720"/>
        <w:rPr>
          <w:color w:val="auto"/>
          <w:sz w:val="20"/>
          <w:szCs w:val="20"/>
          <w:lang w:val="es-AR"/>
        </w:rPr>
      </w:pPr>
      <w:r w:rsidRPr="005F5AEE">
        <w:rPr>
          <w:color w:val="auto"/>
          <w:sz w:val="20"/>
          <w:szCs w:val="20"/>
          <w:lang w:val="es-AR"/>
        </w:rPr>
        <w:t xml:space="preserve">El Estándar Internacional de Clasificación de la Industria (GICS® por sus siglas en inglés) es un producto, marca y propiedad exclusiva de S&amp;P y MSCI. Ni MSCI, S&amp;P o cualquier otra parte involucrada en la realización o compilación de clasificaciones del GICS entregan alguna garantía o declaración, explícita o implícita, por con respecto a dicho estándar o clasificación (o a los resultados obtenidos mediante el uso del mismo). Ninguna de las partes garantiza la originalidad, exactitud, integridad, comerciabilidad o idoneidad de dichas clasificaciones para un fin específico. Sin perjuicio de lo anterior y en toda circunstancia, MSCI, S&amp;P, cualquiera de sus subsidiarias o cualquier tercero involucrado en la realización o compilación de clasificaciones del GICS, estarán exentos de cualquier responsabilidad por daños directos, indirectos, especiales, punitivos, derivados u otros perjuicios (incluidas pérdidas de utilidades), incluso si se hubiese advertido de la posibilidad de tales daños. </w:t>
      </w:r>
    </w:p>
    <w:p w14:paraId="1A82BE05" w14:textId="77777777" w:rsidR="00472729" w:rsidRPr="005F5AEE" w:rsidRDefault="00472729" w:rsidP="00472729">
      <w:pPr>
        <w:pStyle w:val="default0"/>
        <w:ind w:left="720" w:right="720"/>
        <w:rPr>
          <w:color w:val="auto"/>
          <w:sz w:val="20"/>
          <w:szCs w:val="20"/>
          <w:lang w:val="es-AR"/>
        </w:rPr>
      </w:pPr>
    </w:p>
    <w:p w14:paraId="24C087AE" w14:textId="77777777" w:rsidR="00472729" w:rsidRPr="005F5AEE" w:rsidRDefault="00472729" w:rsidP="00472729">
      <w:pPr>
        <w:pStyle w:val="default0"/>
        <w:ind w:left="720" w:right="720"/>
        <w:rPr>
          <w:color w:val="auto"/>
          <w:sz w:val="20"/>
          <w:szCs w:val="20"/>
          <w:lang w:val="es-AR"/>
        </w:rPr>
      </w:pPr>
      <w:r w:rsidRPr="005F5AEE">
        <w:rPr>
          <w:color w:val="auto"/>
          <w:sz w:val="20"/>
          <w:szCs w:val="20"/>
          <w:lang w:val="es-AR"/>
        </w:rPr>
        <w:t>Los productos de S&amp;P Dow Jones Indices se rigen por los términos y condiciones de los acuerdos en virtud de los cuales pueden proporcionarse. Se requiere una licencia de S&amp;P Dow Jones Indices para mostrar, crear obras derivadas y/o distribuir cualquier producto o servicio que use, se base en y/o se refiera a cualquier índice de S&amp;P Dow Jones Indices y/o datos de índices.</w:t>
      </w:r>
    </w:p>
    <w:p w14:paraId="0921EB17" w14:textId="77777777" w:rsidR="00472729" w:rsidRPr="005F5AEE" w:rsidRDefault="00472729" w:rsidP="00472729">
      <w:pPr>
        <w:pStyle w:val="Heading2"/>
        <w:ind w:left="720"/>
        <w:rPr>
          <w:rFonts w:ascii="Arial" w:hAnsi="Arial" w:cs="Arial"/>
          <w:sz w:val="20"/>
          <w:szCs w:val="20"/>
          <w:lang w:val="es-MX"/>
        </w:rPr>
      </w:pPr>
      <w:bookmarkStart w:id="67" w:name="_Toc157088042"/>
      <w:bookmarkStart w:id="68" w:name="_Toc159420013"/>
      <w:bookmarkStart w:id="69" w:name="_Toc159420280"/>
      <w:bookmarkStart w:id="70" w:name="_Toc166579102"/>
      <w:bookmarkStart w:id="71" w:name="_Toc198540715"/>
      <w:r w:rsidRPr="005F5AEE">
        <w:rPr>
          <w:rFonts w:ascii="Arial" w:hAnsi="Arial" w:cs="Arial"/>
          <w:sz w:val="20"/>
          <w:szCs w:val="20"/>
          <w:lang w:val="es-MX"/>
        </w:rPr>
        <w:t>Descargo de responsabilidad sobre índices ESG</w:t>
      </w:r>
      <w:bookmarkEnd w:id="67"/>
      <w:bookmarkEnd w:id="68"/>
      <w:bookmarkEnd w:id="69"/>
      <w:bookmarkEnd w:id="70"/>
      <w:bookmarkEnd w:id="71"/>
    </w:p>
    <w:p w14:paraId="754492C4" w14:textId="77777777" w:rsidR="00472729" w:rsidRDefault="00472729" w:rsidP="00472729">
      <w:pPr>
        <w:ind w:left="720" w:right="720"/>
        <w:rPr>
          <w:rFonts w:ascii="Arial" w:hAnsi="Arial" w:cs="Arial"/>
          <w:sz w:val="20"/>
          <w:szCs w:val="20"/>
          <w:lang w:val="es-419"/>
        </w:rPr>
      </w:pPr>
      <w:r w:rsidRPr="005F5AEE">
        <w:rPr>
          <w:rFonts w:ascii="Arial" w:hAnsi="Arial" w:cs="Arial"/>
          <w:sz w:val="20"/>
          <w:szCs w:val="20"/>
          <w:lang w:val="es-419"/>
        </w:rPr>
        <w:t xml:space="preserve">S&amp;P DJI ofrece índices que buscan seleccionar, excluir y/o ponderar sus componentes basándose, entre otras cosas, en determinados indicadores ambientales, sociales o de gobernanza (ESG), o en una combinación de dichos indicadores, incluidos los siguientes: indicadores ambientales (incluido el uso eficiente de los recursos naturales, la producción de residuos, las emisiones de gases de efecto invernadero o el impacto en la biodiversidad); indicadores sociales (como la desigualdad y la inversión en capital humano); indicadores de gobernanza (como estructuras de administración sólidas, las relaciones con los empleados, la remuneración del personal, el cumplimiento de las obligaciones tributarias, el respeto por los derechos humanos, y las acciones anticorrupción y antisoborno); indicadores de sostenibilidad específicos o indicadores de involucramiento de las empresas relacionados con valores (por ejemplo, producción/distribución de armas controvertidas, productos de tabaco o carbón térmico), o supervisión de controversias (incluida la investigación de medios de comunicación para identificar a las empresas involucradas en incidentes relacionados con factores ESG).  </w:t>
      </w:r>
    </w:p>
    <w:p w14:paraId="62BF58FF" w14:textId="77777777" w:rsidR="00472729" w:rsidRPr="005F5AEE" w:rsidRDefault="00472729" w:rsidP="00472729">
      <w:pPr>
        <w:ind w:left="720" w:right="720"/>
        <w:rPr>
          <w:rFonts w:ascii="Arial" w:hAnsi="Arial" w:cs="Arial"/>
          <w:sz w:val="20"/>
          <w:szCs w:val="20"/>
          <w:lang w:val="es-419"/>
        </w:rPr>
      </w:pPr>
    </w:p>
    <w:p w14:paraId="61C608C6" w14:textId="77777777" w:rsidR="00472729" w:rsidRPr="005F5AEE" w:rsidRDefault="00472729" w:rsidP="00472729">
      <w:pPr>
        <w:ind w:left="720" w:right="720"/>
        <w:rPr>
          <w:rFonts w:ascii="Arial" w:hAnsi="Arial" w:cs="Arial"/>
          <w:sz w:val="20"/>
          <w:szCs w:val="20"/>
          <w:lang w:val="es-419"/>
        </w:rPr>
      </w:pPr>
      <w:r w:rsidRPr="005F5AEE">
        <w:rPr>
          <w:rFonts w:ascii="Arial" w:hAnsi="Arial" w:cs="Arial"/>
          <w:sz w:val="20"/>
          <w:szCs w:val="20"/>
          <w:lang w:val="es-419"/>
        </w:rPr>
        <w:t>Los índices ESG de S&amp;P DJI usan puntuaciones y análisis de datos ESG para seleccionar y/o ponderar sus componentes. Las puntuaciones y calificaciones ESG buscan medir y evaluar el desempeño de una empresa o un activo con relación a tópicos ambientales, sociales y de gobernanza corporativa.</w:t>
      </w:r>
    </w:p>
    <w:p w14:paraId="054B817B" w14:textId="77777777" w:rsidR="00472729" w:rsidRDefault="00472729" w:rsidP="00472729">
      <w:pPr>
        <w:ind w:left="720" w:right="720"/>
        <w:rPr>
          <w:rFonts w:ascii="Arial" w:hAnsi="Arial" w:cs="Arial"/>
          <w:sz w:val="20"/>
          <w:szCs w:val="20"/>
          <w:lang w:val="es-419"/>
        </w:rPr>
      </w:pPr>
    </w:p>
    <w:p w14:paraId="3CB2EE3A" w14:textId="77777777" w:rsidR="00472729" w:rsidRPr="005F5AEE" w:rsidRDefault="00472729" w:rsidP="00472729">
      <w:pPr>
        <w:ind w:left="720" w:right="720"/>
        <w:rPr>
          <w:rFonts w:ascii="Arial" w:hAnsi="Arial" w:cs="Arial"/>
          <w:sz w:val="20"/>
          <w:szCs w:val="20"/>
          <w:lang w:val="es-419"/>
        </w:rPr>
      </w:pPr>
      <w:r w:rsidRPr="005F5AEE">
        <w:rPr>
          <w:rFonts w:ascii="Arial" w:hAnsi="Arial" w:cs="Arial"/>
          <w:sz w:val="20"/>
          <w:szCs w:val="20"/>
          <w:lang w:val="es-419"/>
        </w:rPr>
        <w:t>Las puntuaciones, calificaciones y otros datos ESG usados en los índices ESG de S&amp;P DJI son proporcionados directa o indirectamente por terceros (observe que esas partes pueden ser afiliadas independientes de S&amp;P Global o entidades no afiliadas), por lo que la capacidad de un índice ESG de S&amp;P DJI para reflejar factores ESG depende de la precisión y disponibilidad de los datos de estos terceros.</w:t>
      </w:r>
    </w:p>
    <w:p w14:paraId="3769F6CB" w14:textId="77777777" w:rsidR="00472729" w:rsidRPr="005F5AEE" w:rsidRDefault="00472729" w:rsidP="00472729">
      <w:pPr>
        <w:ind w:left="720" w:right="720"/>
        <w:rPr>
          <w:rFonts w:ascii="Arial" w:hAnsi="Arial" w:cs="Arial"/>
          <w:sz w:val="20"/>
          <w:szCs w:val="20"/>
          <w:lang w:val="es-419"/>
        </w:rPr>
      </w:pPr>
    </w:p>
    <w:p w14:paraId="772DADC6" w14:textId="77777777" w:rsidR="00472729" w:rsidRPr="005F5AEE" w:rsidRDefault="00472729" w:rsidP="00472729">
      <w:pPr>
        <w:ind w:left="720" w:right="720"/>
        <w:rPr>
          <w:rFonts w:ascii="Arial" w:hAnsi="Arial" w:cs="Arial"/>
          <w:sz w:val="20"/>
          <w:szCs w:val="20"/>
          <w:lang w:val="es-419"/>
        </w:rPr>
      </w:pPr>
      <w:r w:rsidRPr="005F5AEE">
        <w:rPr>
          <w:rFonts w:ascii="Arial" w:hAnsi="Arial" w:cs="Arial"/>
          <w:sz w:val="20"/>
          <w:szCs w:val="20"/>
          <w:lang w:val="es-419"/>
        </w:rPr>
        <w:t xml:space="preserve">Las puntuaciones, calificaciones y otros datos ESG pueden ser informados (lo que significa que los datos son proporcionados tal cual como fueron divulgados por las empresas, o un activo, o como fueron hechos disponibles públicamente), modelados (lo que significa que los datos se obtienen usando un proceso de modelado exclusivo que utiliza solamente datos sustitutos para crear los datos), o pueden ser informados y modelados (lo que significa que los datos pueden ser una mezcla de datos informados y modelados, o se obtienen del proveedor usando datos informados/información en un proceso de determinación o puntuación exclusivo). </w:t>
      </w:r>
    </w:p>
    <w:p w14:paraId="2E707194" w14:textId="77777777" w:rsidR="00472729" w:rsidRPr="005F5AEE" w:rsidRDefault="00472729" w:rsidP="00472729">
      <w:pPr>
        <w:ind w:left="720" w:right="720"/>
        <w:rPr>
          <w:rFonts w:ascii="Arial" w:hAnsi="Arial" w:cs="Arial"/>
          <w:sz w:val="20"/>
          <w:szCs w:val="20"/>
          <w:lang w:val="es-419"/>
        </w:rPr>
      </w:pPr>
    </w:p>
    <w:p w14:paraId="2AC1FCEE" w14:textId="77777777" w:rsidR="00472729" w:rsidRPr="005F5AEE" w:rsidRDefault="00472729" w:rsidP="00472729">
      <w:pPr>
        <w:ind w:left="720" w:right="720"/>
        <w:rPr>
          <w:rFonts w:ascii="Arial" w:hAnsi="Arial" w:cs="Arial"/>
          <w:sz w:val="20"/>
          <w:szCs w:val="20"/>
          <w:lang w:val="es-419"/>
        </w:rPr>
      </w:pPr>
      <w:r w:rsidRPr="005F5AEE">
        <w:rPr>
          <w:rFonts w:ascii="Arial" w:hAnsi="Arial" w:cs="Arial"/>
          <w:sz w:val="20"/>
          <w:szCs w:val="20"/>
          <w:lang w:val="es-419"/>
        </w:rPr>
        <w:t xml:space="preserve">Las puntuaciones, calificaciones y otros datos ESG, sean de fuente externa y/o interna, se basan en una evaluación cualitativa y de juicio, especialmente debido a la ausencia de estándares de mercado bien definidos y a la existencia de múltiples enfoques y metodologías para evaluar factores y criterios ESG. Por lo tanto, un elemento de subjetividad y juicio es inherente a cualquier puntuación, calificación u otros datos ESG y las diferentes puntuaciones, calificaciones y/o fuentes de datos ESG pueden utilizar diferentes metodologías de evaluación o estimación ESG. Diferentes personas (incluidos proveedores de calificaciones o puntuaciones de datos ESG, administradores o usuarios de índices) pueden llegar a distintas conclusiones respecto de la sostenibilidad o el impacto de una empresa, un activo o un índice específicos. </w:t>
      </w:r>
    </w:p>
    <w:p w14:paraId="6F10F8D8" w14:textId="77777777" w:rsidR="00472729" w:rsidRPr="005F5AEE" w:rsidRDefault="00472729" w:rsidP="00472729">
      <w:pPr>
        <w:ind w:left="720" w:right="720"/>
        <w:rPr>
          <w:rFonts w:ascii="Arial" w:hAnsi="Arial" w:cs="Arial"/>
          <w:sz w:val="20"/>
          <w:szCs w:val="20"/>
          <w:lang w:val="es-419"/>
        </w:rPr>
      </w:pPr>
    </w:p>
    <w:p w14:paraId="7927741F" w14:textId="77777777" w:rsidR="00472729" w:rsidRPr="005F5AEE" w:rsidRDefault="00472729" w:rsidP="00472729">
      <w:pPr>
        <w:ind w:left="720" w:right="720"/>
        <w:rPr>
          <w:rFonts w:ascii="Arial" w:hAnsi="Arial" w:cs="Arial"/>
          <w:sz w:val="20"/>
          <w:szCs w:val="20"/>
          <w:lang w:val="es-419"/>
        </w:rPr>
      </w:pPr>
      <w:r w:rsidRPr="005F5AEE">
        <w:rPr>
          <w:rFonts w:ascii="Arial" w:hAnsi="Arial" w:cs="Arial"/>
          <w:sz w:val="20"/>
          <w:szCs w:val="20"/>
          <w:lang w:val="es-419"/>
        </w:rPr>
        <w:t>Cuando un índice utiliza puntuaciones, calificaciones u otros datos ESG suministrados directa o indirectamente por terceros, S&amp;P DJI no asume responsabilidad alguna por la precisión o integridad de dichas puntuaciones, calificaciones o datos ESG. No existe una única prueba o marco (legal, regulatorio o de otro tipo) claro y definitivo para determinar qué es “ESG”, “sostenible”, “buena gobernanza”, “sin impactos ambientales, sociales y/o negativos de otro tipo”, u otros objetivos denominados de forma equivalente. En la ausencia de estándares de mercado bien definidos y debido a la existencia de múltiples enfoques, es necesario ejercer el juicio. En consecuencia, diferentes personas pueden clasificar la misma inversión, producto y/o estrategia de manera diferente respecto de la categorías “ESG”, “sostenible”, “buena gobernanza”, “sin impactos ambientales, sociales y/o negativos de otro tipo”, u otros objetivos denominados de forma equivalente. Además, la posición jurídica y/o de mercado sobre lo que constituye un objetivo “ESG”, “sostenible”, “de buena gobernanza”, “sin impactos ambientales, sociales y/o negativos de otro tipo”, u otros objetivos denominados de forma equivalente, puede cambiar con el tiempo, especialmente a medida que se emitan nuevas normas y orientaciones regulatorias o de la industria y que el marco financiero sostenible de los criterios ESG se vuelva más sofisticado.</w:t>
      </w:r>
    </w:p>
    <w:p w14:paraId="799EBAA0" w14:textId="77777777" w:rsidR="00472729" w:rsidRDefault="00472729" w:rsidP="00472729">
      <w:pPr>
        <w:ind w:left="720" w:right="720"/>
        <w:rPr>
          <w:rFonts w:ascii="Arial" w:hAnsi="Arial" w:cs="Arial"/>
          <w:sz w:val="20"/>
          <w:szCs w:val="20"/>
          <w:lang w:val="es-419"/>
        </w:rPr>
      </w:pPr>
    </w:p>
    <w:p w14:paraId="72AE8A0A" w14:textId="66393C44" w:rsidR="00472729" w:rsidRPr="00472729" w:rsidRDefault="00472729" w:rsidP="00472729">
      <w:pPr>
        <w:ind w:left="720" w:right="720"/>
        <w:rPr>
          <w:rFonts w:ascii="Arial" w:hAnsi="Arial" w:cs="Arial"/>
          <w:sz w:val="20"/>
          <w:szCs w:val="20"/>
          <w:lang w:val="es-419"/>
        </w:rPr>
      </w:pPr>
      <w:r w:rsidRPr="005F5AEE">
        <w:rPr>
          <w:rFonts w:ascii="Arial" w:hAnsi="Arial" w:cs="Arial"/>
          <w:sz w:val="20"/>
          <w:szCs w:val="20"/>
          <w:lang w:val="es-419"/>
        </w:rPr>
        <w:t>Se recomienda que los posibles usuarios de índices ESG de S&amp;P DJI lean detenidamente la metodología del índice pertinente y las divulgaciones relacionadas para determinar si el índice es adecuado para su uso hipotético u objetivo de inversión.</w:t>
      </w:r>
      <w:bookmarkEnd w:id="61"/>
      <w:bookmarkEnd w:id="62"/>
    </w:p>
    <w:sectPr w:rsidR="00472729" w:rsidRPr="00472729" w:rsidSect="009B5CA0">
      <w:pgSz w:w="12240" w:h="15840"/>
      <w:pgMar w:top="144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B22D5D" w14:textId="77777777" w:rsidR="00657649" w:rsidRDefault="00657649">
      <w:r>
        <w:separator/>
      </w:r>
    </w:p>
  </w:endnote>
  <w:endnote w:type="continuationSeparator" w:id="0">
    <w:p w14:paraId="0EAB9097" w14:textId="77777777" w:rsidR="00657649" w:rsidRDefault="00657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Estrangelo Edessa">
    <w:panose1 w:val="00000000000000000000"/>
    <w:charset w:val="01"/>
    <w:family w:val="roman"/>
    <w:pitch w:val="variable"/>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grotesque Rg">
    <w:altName w:val="Times New Roman"/>
    <w:panose1 w:val="00000000000000000000"/>
    <w:charset w:val="00"/>
    <w:family w:val="modern"/>
    <w:notTrueType/>
    <w:pitch w:val="variable"/>
    <w:sig w:usb0="00000001" w:usb1="4000204A" w:usb2="00000000" w:usb3="00000000" w:csb0="00000193" w:csb1="00000000"/>
  </w:font>
  <w:font w:name="Geogrotesque SmBd">
    <w:altName w:val="Geogrotesque SmBd"/>
    <w:panose1 w:val="00000000000000000000"/>
    <w:charset w:val="00"/>
    <w:family w:val="swiss"/>
    <w:notTrueType/>
    <w:pitch w:val="default"/>
    <w:sig w:usb0="00000003" w:usb1="00000000" w:usb2="00000000" w:usb3="00000000" w:csb0="00000001" w:csb1="00000000"/>
  </w:font>
  <w:font w:name="Avenir 35 Light">
    <w:altName w:val="Avenir 35 Light"/>
    <w:panose1 w:val="00000000000000000000"/>
    <w:charset w:val="00"/>
    <w:family w:val="swiss"/>
    <w:notTrueType/>
    <w:pitch w:val="default"/>
    <w:sig w:usb0="00000003" w:usb1="00000000" w:usb2="00000000" w:usb3="00000000" w:csb0="00000001" w:csb1="00000000"/>
  </w:font>
  <w:font w:name="Helvetica 45 Light">
    <w:altName w:val="Helvetica 45 Ligh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2AC2B" w14:textId="77777777" w:rsidR="0001593D" w:rsidRDefault="000159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0EA5E" w14:textId="77777777" w:rsidR="000E27B2" w:rsidRDefault="000E27B2" w:rsidP="009B5CA0">
    <w:pPr>
      <w:ind w:left="720" w:right="720"/>
    </w:pPr>
  </w:p>
  <w:p w14:paraId="006BD1EC" w14:textId="77777777" w:rsidR="000E27B2" w:rsidRPr="005407FA" w:rsidRDefault="000E27B2">
    <w:pPr>
      <w:pStyle w:val="Footer"/>
      <w:tabs>
        <w:tab w:val="clear" w:pos="8640"/>
        <w:tab w:val="right" w:pos="10080"/>
      </w:tabs>
      <w:ind w:left="720"/>
      <w:rPr>
        <w:rFonts w:ascii="Arial" w:hAnsi="Arial" w:cs="Arial"/>
        <w:sz w:val="18"/>
        <w:lang w:val="es-CL"/>
      </w:rPr>
    </w:pPr>
    <w:r w:rsidRPr="005407FA">
      <w:rPr>
        <w:rFonts w:ascii="Arial" w:hAnsi="Arial" w:cs="Arial"/>
        <w:sz w:val="18"/>
        <w:lang w:val="es-CL"/>
      </w:rPr>
      <w:t xml:space="preserve">S&amp;P Dow Jones Indices: Metodología de la familia de </w:t>
    </w:r>
    <w:r>
      <w:rPr>
        <w:rFonts w:ascii="Arial" w:hAnsi="Arial" w:cs="Arial"/>
        <w:sz w:val="18"/>
        <w:lang w:val="es-CL"/>
      </w:rPr>
      <w:t xml:space="preserve">índices </w:t>
    </w:r>
    <w:r w:rsidRPr="005407FA">
      <w:rPr>
        <w:rFonts w:ascii="Arial" w:hAnsi="Arial" w:cs="Arial"/>
        <w:sz w:val="18"/>
        <w:lang w:val="es-CL"/>
      </w:rPr>
      <w:t>Dow Jones Averages</w:t>
    </w:r>
    <w:r w:rsidRPr="005407FA">
      <w:rPr>
        <w:rFonts w:ascii="Arial" w:hAnsi="Arial" w:cs="Arial"/>
        <w:sz w:val="18"/>
        <w:lang w:val="es-CL"/>
      </w:rPr>
      <w:tab/>
    </w:r>
    <w:r w:rsidRPr="009B5CA0">
      <w:rPr>
        <w:rStyle w:val="PageNumber"/>
        <w:rFonts w:ascii="Arial" w:hAnsi="Arial" w:cs="Arial"/>
        <w:sz w:val="18"/>
      </w:rPr>
      <w:fldChar w:fldCharType="begin"/>
    </w:r>
    <w:r w:rsidRPr="005407FA">
      <w:rPr>
        <w:rStyle w:val="PageNumber"/>
        <w:rFonts w:ascii="Arial" w:hAnsi="Arial" w:cs="Arial"/>
        <w:sz w:val="18"/>
        <w:lang w:val="es-CL"/>
      </w:rPr>
      <w:instrText xml:space="preserve"> PAGE </w:instrText>
    </w:r>
    <w:r w:rsidRPr="009B5CA0">
      <w:rPr>
        <w:rStyle w:val="PageNumber"/>
        <w:rFonts w:ascii="Arial" w:hAnsi="Arial" w:cs="Arial"/>
        <w:sz w:val="18"/>
      </w:rPr>
      <w:fldChar w:fldCharType="separate"/>
    </w:r>
    <w:r>
      <w:rPr>
        <w:rStyle w:val="PageNumber"/>
        <w:rFonts w:ascii="Arial" w:hAnsi="Arial" w:cs="Arial"/>
        <w:noProof/>
        <w:sz w:val="18"/>
        <w:lang w:val="es-CL"/>
      </w:rPr>
      <w:t>16</w:t>
    </w:r>
    <w:r w:rsidRPr="009B5CA0">
      <w:rPr>
        <w:rStyle w:val="PageNumber"/>
        <w:rFonts w:ascii="Arial" w:hAnsi="Arial" w:cs="Arial"/>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7157E" w14:textId="3039AE26" w:rsidR="000E27B2" w:rsidRDefault="000E27B2" w:rsidP="00A65915">
    <w:pPr>
      <w:pStyle w:val="MethodologyTOC"/>
      <w:spacing w:before="0"/>
      <w:ind w:left="0"/>
      <w:jc w:val="center"/>
      <w:rPr>
        <w:rFonts w:ascii="Arial" w:hAnsi="Arial" w:cs="Arial"/>
        <w:sz w:val="32"/>
        <w:szCs w:val="32"/>
        <w:lang w:val="es-CL"/>
      </w:rPr>
    </w:pPr>
  </w:p>
  <w:p w14:paraId="763BBFA4" w14:textId="6993934F" w:rsidR="00B12CD9" w:rsidRDefault="00B12CD9" w:rsidP="00A65915">
    <w:pPr>
      <w:pStyle w:val="MethodologyTOC"/>
      <w:spacing w:before="0"/>
      <w:ind w:left="0"/>
      <w:jc w:val="center"/>
      <w:rPr>
        <w:rFonts w:ascii="Arial" w:hAnsi="Arial" w:cs="Arial"/>
        <w:sz w:val="32"/>
        <w:szCs w:val="32"/>
        <w:lang w:val="es-CL"/>
      </w:rPr>
    </w:pPr>
    <w:r>
      <w:rPr>
        <w:rFonts w:ascii="Arial" w:hAnsi="Arial" w:cs="Arial"/>
        <w:sz w:val="32"/>
        <w:szCs w:val="32"/>
        <w:lang w:val="es-CL"/>
      </w:rPr>
      <w:t>Abril 2025</w:t>
    </w:r>
    <w:r w:rsidR="0001593D">
      <w:rPr>
        <w:rFonts w:ascii="Arial" w:hAnsi="Arial" w:cs="Arial"/>
        <w:sz w:val="32"/>
        <w:szCs w:val="32"/>
        <w:lang w:val="es-CL"/>
      </w:rPr>
      <w:t xml:space="preserve"> </w:t>
    </w:r>
  </w:p>
  <w:p w14:paraId="5FA030A1" w14:textId="77777777" w:rsidR="000E27B2" w:rsidRDefault="000E27B2" w:rsidP="00701647">
    <w:pPr>
      <w:ind w:left="720" w:right="720"/>
      <w:rPr>
        <w:rFonts w:ascii="Arial" w:hAnsi="Arial" w:cs="Arial"/>
        <w:sz w:val="20"/>
        <w:szCs w:val="20"/>
        <w:lang w:val="es-CL"/>
      </w:rPr>
    </w:pPr>
  </w:p>
  <w:p w14:paraId="1F7670A0" w14:textId="1881ECF3" w:rsidR="000E27B2" w:rsidRPr="00701647" w:rsidRDefault="000E27B2" w:rsidP="00701647">
    <w:pPr>
      <w:ind w:left="720" w:right="720"/>
      <w:rPr>
        <w:lang w:val="es-CL"/>
      </w:rPr>
    </w:pPr>
    <w:r w:rsidRPr="004F79C3">
      <w:rPr>
        <w:rFonts w:ascii="Arial" w:hAnsi="Arial" w:cs="Arial"/>
        <w:sz w:val="20"/>
        <w:szCs w:val="20"/>
        <w:lang w:val="es-CL"/>
      </w:rPr>
      <w:t xml:space="preserve">Este documento ha sido traducido al español únicamente por propósitos de conveniencia. Si existieran diferencias entre las versiones en inglés y español, la versión en inglés prevalecerá. El documento en inglés está publicado en </w:t>
    </w:r>
    <w:hyperlink r:id="rId1" w:history="1">
      <w:r w:rsidR="00866AC3">
        <w:rPr>
          <w:rStyle w:val="Hyperlink"/>
          <w:rFonts w:ascii="Arial" w:hAnsi="Arial" w:cs="Arial"/>
          <w:i/>
          <w:sz w:val="20"/>
          <w:szCs w:val="20"/>
          <w:lang w:val="es-PE" w:eastAsia="ja-JP"/>
        </w:rPr>
        <w:t>www.spglobal/spdji.com</w:t>
      </w:r>
    </w:hyperlink>
    <w:r w:rsidRPr="004F79C3">
      <w:rPr>
        <w:rStyle w:val="Hyperlink"/>
        <w:rFonts w:ascii="Arial" w:hAnsi="Arial" w:cs="Arial"/>
        <w:i/>
        <w:iCs/>
        <w:sz w:val="20"/>
        <w:szCs w:val="20"/>
        <w:lang w:val="es-CL"/>
      </w:rPr>
      <w:t>.</w:t>
    </w:r>
    <w:r w:rsidRPr="004F79C3">
      <w:rPr>
        <w:rFonts w:ascii="Arial" w:hAnsi="Arial" w:cs="Arial"/>
        <w:sz w:val="20"/>
        <w:szCs w:val="20"/>
        <w:lang w:val="es-ES"/>
      </w:rPr>
      <w:t xml:space="preserve"> </w:t>
    </w:r>
  </w:p>
  <w:p w14:paraId="1DCB5F54" w14:textId="77777777" w:rsidR="000E27B2" w:rsidRPr="005D17EB" w:rsidRDefault="000E27B2" w:rsidP="009C6A6C">
    <w:pPr>
      <w:ind w:left="720" w:right="720"/>
      <w:rPr>
        <w:rFonts w:ascii="Arial" w:hAnsi="Arial" w:cs="Arial"/>
        <w:lang w:val="es-CL"/>
      </w:rPr>
    </w:pPr>
  </w:p>
  <w:p w14:paraId="1E14CBA5" w14:textId="77777777" w:rsidR="000E27B2" w:rsidRDefault="000E27B2" w:rsidP="00A65915">
    <w:pPr>
      <w:pStyle w:val="Footer"/>
      <w:tabs>
        <w:tab w:val="clear" w:pos="8640"/>
        <w:tab w:val="right" w:pos="10080"/>
      </w:tabs>
      <w:ind w:left="720"/>
      <w:rPr>
        <w:rFonts w:ascii="Arial" w:hAnsi="Arial" w:cs="Arial"/>
        <w:sz w:val="20"/>
        <w:szCs w:val="22"/>
        <w:lang w:val="es-CL"/>
      </w:rPr>
    </w:pPr>
    <w:r w:rsidRPr="005D17EB">
      <w:rPr>
        <w:rFonts w:ascii="Arial" w:hAnsi="Arial" w:cs="Arial"/>
        <w:sz w:val="20"/>
        <w:szCs w:val="22"/>
        <w:lang w:val="es-CL"/>
      </w:rPr>
      <w:t xml:space="preserve">S&amp;P Dow Jones Indices: Metodología de </w:t>
    </w:r>
    <w:r>
      <w:rPr>
        <w:rFonts w:ascii="Arial" w:hAnsi="Arial" w:cs="Arial"/>
        <w:sz w:val="20"/>
        <w:szCs w:val="22"/>
        <w:lang w:val="es-CL"/>
      </w:rPr>
      <w:t xml:space="preserve">los </w:t>
    </w:r>
    <w:r w:rsidRPr="005D17EB">
      <w:rPr>
        <w:rFonts w:ascii="Arial" w:hAnsi="Arial" w:cs="Arial"/>
        <w:sz w:val="20"/>
        <w:szCs w:val="22"/>
        <w:lang w:val="es-CL"/>
      </w:rPr>
      <w:t>índices</w:t>
    </w:r>
  </w:p>
  <w:p w14:paraId="1ED54047" w14:textId="77777777" w:rsidR="000E27B2" w:rsidRDefault="000E27B2" w:rsidP="00A65915">
    <w:pPr>
      <w:pStyle w:val="Footer"/>
      <w:tabs>
        <w:tab w:val="clear" w:pos="8640"/>
        <w:tab w:val="right" w:pos="10080"/>
      </w:tabs>
      <w:ind w:left="720"/>
      <w:rPr>
        <w:rFonts w:ascii="Arial" w:hAnsi="Arial" w:cs="Arial"/>
        <w:sz w:val="20"/>
        <w:szCs w:val="22"/>
        <w:lang w:val="es-C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9A2B62" w14:textId="77777777" w:rsidR="00657649" w:rsidRDefault="00657649" w:rsidP="00CE40A8">
      <w:pPr>
        <w:ind w:firstLine="720"/>
      </w:pPr>
      <w:r>
        <w:separator/>
      </w:r>
    </w:p>
  </w:footnote>
  <w:footnote w:type="continuationSeparator" w:id="0">
    <w:p w14:paraId="53735D6A" w14:textId="77777777" w:rsidR="00657649" w:rsidRDefault="006576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47EF9" w14:textId="77777777" w:rsidR="0001593D" w:rsidRDefault="000159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1FB95" w14:textId="77777777" w:rsidR="0001593D" w:rsidRDefault="000159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74C50" w14:textId="77777777" w:rsidR="000E27B2" w:rsidRDefault="000E27B2" w:rsidP="009C6A6C">
    <w:pPr>
      <w:pStyle w:val="Header"/>
    </w:pPr>
    <w:r>
      <w:rPr>
        <w:noProof/>
        <w:lang w:val="es-MX" w:eastAsia="es-MX"/>
      </w:rPr>
      <w:drawing>
        <wp:anchor distT="0" distB="0" distL="114300" distR="114300" simplePos="0" relativeHeight="251658240" behindDoc="0" locked="1" layoutInCell="1" allowOverlap="1" wp14:anchorId="053AB794" wp14:editId="38A14F94">
          <wp:simplePos x="0" y="0"/>
          <wp:positionH relativeFrom="column">
            <wp:posOffset>202565</wp:posOffset>
          </wp:positionH>
          <wp:positionV relativeFrom="page">
            <wp:posOffset>446405</wp:posOffset>
          </wp:positionV>
          <wp:extent cx="1856105" cy="923290"/>
          <wp:effectExtent l="0" t="0" r="0" b="0"/>
          <wp:wrapNone/>
          <wp:docPr id="756055760" name="Picture 756055760" descr="spg_dji_red_pos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g_dji_red_pos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6105" cy="9232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479238" w14:textId="77777777" w:rsidR="000E27B2" w:rsidRDefault="000E27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1B2B"/>
    <w:multiLevelType w:val="hybridMultilevel"/>
    <w:tmpl w:val="6BFC0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270D7"/>
    <w:multiLevelType w:val="hybridMultilevel"/>
    <w:tmpl w:val="E9284376"/>
    <w:lvl w:ilvl="0" w:tplc="04090001">
      <w:start w:val="1"/>
      <w:numFmt w:val="bullet"/>
      <w:lvlText w:val=""/>
      <w:lvlJc w:val="left"/>
      <w:pPr>
        <w:ind w:left="720" w:hanging="360"/>
      </w:pPr>
      <w:rPr>
        <w:rFonts w:ascii="Symbol" w:hAnsi="Symbol" w:hint="default"/>
      </w:rPr>
    </w:lvl>
    <w:lvl w:ilvl="1" w:tplc="F3A83FDA">
      <w:start w:val="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E0023"/>
    <w:multiLevelType w:val="hybridMultilevel"/>
    <w:tmpl w:val="FF8C4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84364"/>
    <w:multiLevelType w:val="hybridMultilevel"/>
    <w:tmpl w:val="46E05C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51284"/>
    <w:multiLevelType w:val="hybridMultilevel"/>
    <w:tmpl w:val="0318056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9381EB1"/>
    <w:multiLevelType w:val="hybridMultilevel"/>
    <w:tmpl w:val="6A526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C80ED1"/>
    <w:multiLevelType w:val="hybridMultilevel"/>
    <w:tmpl w:val="73B6976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280A000F">
      <w:start w:val="1"/>
      <w:numFmt w:val="decimal"/>
      <w:lvlText w:val="%3."/>
      <w:lvlJc w:val="left"/>
      <w:pPr>
        <w:ind w:left="4320" w:hanging="360"/>
      </w:pPr>
      <w:rPr>
        <w:rFont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EDD2969"/>
    <w:multiLevelType w:val="hybridMultilevel"/>
    <w:tmpl w:val="BEAE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FB1691"/>
    <w:multiLevelType w:val="hybridMultilevel"/>
    <w:tmpl w:val="DEF87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EF543E"/>
    <w:multiLevelType w:val="hybridMultilevel"/>
    <w:tmpl w:val="3482F08A"/>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start w:val="1"/>
      <w:numFmt w:val="lowerRoman"/>
      <w:lvlText w:val="%9."/>
      <w:lvlJc w:val="right"/>
      <w:pPr>
        <w:ind w:left="8640" w:hanging="180"/>
      </w:pPr>
    </w:lvl>
  </w:abstractNum>
  <w:abstractNum w:abstractNumId="10" w15:restartNumberingAfterBreak="0">
    <w:nsid w:val="311E0108"/>
    <w:multiLevelType w:val="hybridMultilevel"/>
    <w:tmpl w:val="2D8E0F9C"/>
    <w:lvl w:ilvl="0" w:tplc="18C81A6A">
      <w:start w:val="1"/>
      <w:numFmt w:val="decimal"/>
      <w:lvlText w:val="%1."/>
      <w:lvlJc w:val="left"/>
      <w:pPr>
        <w:ind w:left="72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8E1EC7"/>
    <w:multiLevelType w:val="hybridMultilevel"/>
    <w:tmpl w:val="FCFAAF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44D0332"/>
    <w:multiLevelType w:val="hybridMultilevel"/>
    <w:tmpl w:val="728C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5C015A"/>
    <w:multiLevelType w:val="hybridMultilevel"/>
    <w:tmpl w:val="1DBAD18C"/>
    <w:lvl w:ilvl="0" w:tplc="04090001">
      <w:start w:val="1"/>
      <w:numFmt w:val="bullet"/>
      <w:lvlText w:val=""/>
      <w:lvlJc w:val="left"/>
      <w:pPr>
        <w:tabs>
          <w:tab w:val="num" w:pos="3600"/>
        </w:tabs>
        <w:ind w:left="3600" w:hanging="360"/>
      </w:pPr>
      <w:rPr>
        <w:rFonts w:ascii="Symbol" w:hAnsi="Symbol"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start w:val="1"/>
      <w:numFmt w:val="bullet"/>
      <w:lvlText w:val=""/>
      <w:lvlJc w:val="left"/>
      <w:pPr>
        <w:tabs>
          <w:tab w:val="num" w:pos="4320"/>
        </w:tabs>
        <w:ind w:left="4320" w:hanging="360"/>
      </w:pPr>
      <w:rPr>
        <w:rFonts w:ascii="Wingdings" w:hAnsi="Wingdings" w:hint="default"/>
      </w:rPr>
    </w:lvl>
    <w:lvl w:ilvl="3" w:tplc="04090001">
      <w:start w:val="1"/>
      <w:numFmt w:val="bullet"/>
      <w:lvlText w:val=""/>
      <w:lvlJc w:val="left"/>
      <w:pPr>
        <w:tabs>
          <w:tab w:val="num" w:pos="5040"/>
        </w:tabs>
        <w:ind w:left="5040" w:hanging="360"/>
      </w:pPr>
      <w:rPr>
        <w:rFonts w:ascii="Symbol" w:hAnsi="Symbol" w:hint="default"/>
      </w:rPr>
    </w:lvl>
    <w:lvl w:ilvl="4" w:tplc="04090003">
      <w:start w:val="1"/>
      <w:numFmt w:val="bullet"/>
      <w:lvlText w:val="o"/>
      <w:lvlJc w:val="left"/>
      <w:pPr>
        <w:tabs>
          <w:tab w:val="num" w:pos="5760"/>
        </w:tabs>
        <w:ind w:left="5760" w:hanging="360"/>
      </w:pPr>
      <w:rPr>
        <w:rFonts w:ascii="Courier New" w:hAnsi="Courier New" w:cs="Courier New" w:hint="default"/>
      </w:rPr>
    </w:lvl>
    <w:lvl w:ilvl="5" w:tplc="04090005">
      <w:start w:val="1"/>
      <w:numFmt w:val="bullet"/>
      <w:lvlText w:val=""/>
      <w:lvlJc w:val="left"/>
      <w:pPr>
        <w:tabs>
          <w:tab w:val="num" w:pos="6480"/>
        </w:tabs>
        <w:ind w:left="6480" w:hanging="360"/>
      </w:pPr>
      <w:rPr>
        <w:rFonts w:ascii="Wingdings" w:hAnsi="Wingdings" w:hint="default"/>
      </w:rPr>
    </w:lvl>
    <w:lvl w:ilvl="6" w:tplc="04090001">
      <w:start w:val="1"/>
      <w:numFmt w:val="bullet"/>
      <w:lvlText w:val=""/>
      <w:lvlJc w:val="left"/>
      <w:pPr>
        <w:tabs>
          <w:tab w:val="num" w:pos="7200"/>
        </w:tabs>
        <w:ind w:left="7200" w:hanging="360"/>
      </w:pPr>
      <w:rPr>
        <w:rFonts w:ascii="Symbol" w:hAnsi="Symbol" w:hint="default"/>
      </w:rPr>
    </w:lvl>
    <w:lvl w:ilvl="7" w:tplc="04090003">
      <w:start w:val="1"/>
      <w:numFmt w:val="bullet"/>
      <w:lvlText w:val="o"/>
      <w:lvlJc w:val="left"/>
      <w:pPr>
        <w:tabs>
          <w:tab w:val="num" w:pos="7920"/>
        </w:tabs>
        <w:ind w:left="7920" w:hanging="360"/>
      </w:pPr>
      <w:rPr>
        <w:rFonts w:ascii="Courier New" w:hAnsi="Courier New" w:cs="Courier New" w:hint="default"/>
      </w:rPr>
    </w:lvl>
    <w:lvl w:ilvl="8" w:tplc="04090005">
      <w:start w:val="1"/>
      <w:numFmt w:val="bullet"/>
      <w:lvlText w:val=""/>
      <w:lvlJc w:val="left"/>
      <w:pPr>
        <w:tabs>
          <w:tab w:val="num" w:pos="8640"/>
        </w:tabs>
        <w:ind w:left="8640" w:hanging="360"/>
      </w:pPr>
      <w:rPr>
        <w:rFonts w:ascii="Wingdings" w:hAnsi="Wingdings" w:hint="default"/>
      </w:rPr>
    </w:lvl>
  </w:abstractNum>
  <w:abstractNum w:abstractNumId="14" w15:restartNumberingAfterBreak="0">
    <w:nsid w:val="51B12A6E"/>
    <w:multiLevelType w:val="hybridMultilevel"/>
    <w:tmpl w:val="F0D6C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1F212F"/>
    <w:multiLevelType w:val="hybridMultilevel"/>
    <w:tmpl w:val="ABBCF5AE"/>
    <w:lvl w:ilvl="0" w:tplc="04090001">
      <w:start w:val="1"/>
      <w:numFmt w:val="bullet"/>
      <w:lvlText w:val=""/>
      <w:lvlJc w:val="left"/>
      <w:pPr>
        <w:tabs>
          <w:tab w:val="num" w:pos="3600"/>
        </w:tabs>
        <w:ind w:left="3600" w:hanging="360"/>
      </w:pPr>
      <w:rPr>
        <w:rFonts w:ascii="Symbol" w:hAnsi="Symbol" w:hint="default"/>
      </w:rPr>
    </w:lvl>
    <w:lvl w:ilvl="1" w:tplc="04090003">
      <w:start w:val="1"/>
      <w:numFmt w:val="bullet"/>
      <w:lvlText w:val="o"/>
      <w:lvlJc w:val="left"/>
      <w:pPr>
        <w:tabs>
          <w:tab w:val="num" w:pos="4320"/>
        </w:tabs>
        <w:ind w:left="4320" w:hanging="360"/>
      </w:pPr>
      <w:rPr>
        <w:rFonts w:ascii="Courier New" w:hAnsi="Courier New" w:cs="Times New Roman" w:hint="default"/>
      </w:rPr>
    </w:lvl>
    <w:lvl w:ilvl="2" w:tplc="04090005">
      <w:start w:val="1"/>
      <w:numFmt w:val="bullet"/>
      <w:lvlText w:val=""/>
      <w:lvlJc w:val="left"/>
      <w:pPr>
        <w:tabs>
          <w:tab w:val="num" w:pos="5040"/>
        </w:tabs>
        <w:ind w:left="5040" w:hanging="360"/>
      </w:pPr>
      <w:rPr>
        <w:rFonts w:ascii="Wingdings" w:hAnsi="Wingdings" w:hint="default"/>
      </w:rPr>
    </w:lvl>
    <w:lvl w:ilvl="3" w:tplc="04090001">
      <w:start w:val="1"/>
      <w:numFmt w:val="bullet"/>
      <w:lvlText w:val=""/>
      <w:lvlJc w:val="left"/>
      <w:pPr>
        <w:tabs>
          <w:tab w:val="num" w:pos="5760"/>
        </w:tabs>
        <w:ind w:left="5760" w:hanging="360"/>
      </w:pPr>
      <w:rPr>
        <w:rFonts w:ascii="Symbol" w:hAnsi="Symbol" w:hint="default"/>
      </w:rPr>
    </w:lvl>
    <w:lvl w:ilvl="4" w:tplc="04090003">
      <w:start w:val="1"/>
      <w:numFmt w:val="bullet"/>
      <w:lvlText w:val="o"/>
      <w:lvlJc w:val="left"/>
      <w:pPr>
        <w:tabs>
          <w:tab w:val="num" w:pos="6480"/>
        </w:tabs>
        <w:ind w:left="6480" w:hanging="360"/>
      </w:pPr>
      <w:rPr>
        <w:rFonts w:ascii="Courier New" w:hAnsi="Courier New" w:cs="Times New Roman" w:hint="default"/>
      </w:rPr>
    </w:lvl>
    <w:lvl w:ilvl="5" w:tplc="04090005">
      <w:start w:val="1"/>
      <w:numFmt w:val="bullet"/>
      <w:lvlText w:val=""/>
      <w:lvlJc w:val="left"/>
      <w:pPr>
        <w:tabs>
          <w:tab w:val="num" w:pos="7200"/>
        </w:tabs>
        <w:ind w:left="7200" w:hanging="360"/>
      </w:pPr>
      <w:rPr>
        <w:rFonts w:ascii="Wingdings" w:hAnsi="Wingdings" w:hint="default"/>
      </w:rPr>
    </w:lvl>
    <w:lvl w:ilvl="6" w:tplc="04090001">
      <w:start w:val="1"/>
      <w:numFmt w:val="bullet"/>
      <w:lvlText w:val=""/>
      <w:lvlJc w:val="left"/>
      <w:pPr>
        <w:tabs>
          <w:tab w:val="num" w:pos="7920"/>
        </w:tabs>
        <w:ind w:left="7920" w:hanging="360"/>
      </w:pPr>
      <w:rPr>
        <w:rFonts w:ascii="Symbol" w:hAnsi="Symbol" w:hint="default"/>
      </w:rPr>
    </w:lvl>
    <w:lvl w:ilvl="7" w:tplc="04090003">
      <w:start w:val="1"/>
      <w:numFmt w:val="bullet"/>
      <w:lvlText w:val="o"/>
      <w:lvlJc w:val="left"/>
      <w:pPr>
        <w:tabs>
          <w:tab w:val="num" w:pos="8640"/>
        </w:tabs>
        <w:ind w:left="8640" w:hanging="360"/>
      </w:pPr>
      <w:rPr>
        <w:rFonts w:ascii="Courier New" w:hAnsi="Courier New" w:cs="Times New Roman" w:hint="default"/>
      </w:rPr>
    </w:lvl>
    <w:lvl w:ilvl="8" w:tplc="04090005">
      <w:start w:val="1"/>
      <w:numFmt w:val="bullet"/>
      <w:lvlText w:val=""/>
      <w:lvlJc w:val="left"/>
      <w:pPr>
        <w:tabs>
          <w:tab w:val="num" w:pos="9360"/>
        </w:tabs>
        <w:ind w:left="9360" w:hanging="360"/>
      </w:pPr>
      <w:rPr>
        <w:rFonts w:ascii="Wingdings" w:hAnsi="Wingdings" w:hint="default"/>
      </w:rPr>
    </w:lvl>
  </w:abstractNum>
  <w:abstractNum w:abstractNumId="16" w15:restartNumberingAfterBreak="0">
    <w:nsid w:val="53ED64A3"/>
    <w:multiLevelType w:val="hybridMultilevel"/>
    <w:tmpl w:val="27AA12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56EB2CA8"/>
    <w:multiLevelType w:val="hybridMultilevel"/>
    <w:tmpl w:val="20326E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76E6D57"/>
    <w:multiLevelType w:val="hybridMultilevel"/>
    <w:tmpl w:val="F83E0C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E50143E"/>
    <w:multiLevelType w:val="hybridMultilevel"/>
    <w:tmpl w:val="8E7CC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8161BC"/>
    <w:multiLevelType w:val="hybridMultilevel"/>
    <w:tmpl w:val="66F670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EED1D6C"/>
    <w:multiLevelType w:val="hybridMultilevel"/>
    <w:tmpl w:val="D300672C"/>
    <w:lvl w:ilvl="0" w:tplc="0409000F">
      <w:start w:val="1"/>
      <w:numFmt w:val="decimal"/>
      <w:lvlText w:val="%1."/>
      <w:lvlJc w:val="left"/>
      <w:pPr>
        <w:tabs>
          <w:tab w:val="num" w:pos="2880"/>
        </w:tabs>
        <w:ind w:left="2880" w:hanging="360"/>
      </w:pPr>
    </w:lvl>
    <w:lvl w:ilvl="1" w:tplc="04090019">
      <w:start w:val="1"/>
      <w:numFmt w:val="lowerLetter"/>
      <w:lvlText w:val="%2."/>
      <w:lvlJc w:val="left"/>
      <w:pPr>
        <w:tabs>
          <w:tab w:val="num" w:pos="3600"/>
        </w:tabs>
        <w:ind w:left="3600" w:hanging="360"/>
      </w:pPr>
    </w:lvl>
    <w:lvl w:ilvl="2" w:tplc="0409001B">
      <w:start w:val="1"/>
      <w:numFmt w:val="lowerRoman"/>
      <w:lvlText w:val="%3."/>
      <w:lvlJc w:val="right"/>
      <w:pPr>
        <w:tabs>
          <w:tab w:val="num" w:pos="4320"/>
        </w:tabs>
        <w:ind w:left="4320" w:hanging="180"/>
      </w:pPr>
    </w:lvl>
    <w:lvl w:ilvl="3" w:tplc="0409000F">
      <w:start w:val="1"/>
      <w:numFmt w:val="decimal"/>
      <w:lvlText w:val="%4."/>
      <w:lvlJc w:val="left"/>
      <w:pPr>
        <w:tabs>
          <w:tab w:val="num" w:pos="5040"/>
        </w:tabs>
        <w:ind w:left="5040" w:hanging="360"/>
      </w:pPr>
    </w:lvl>
    <w:lvl w:ilvl="4" w:tplc="04090019">
      <w:start w:val="1"/>
      <w:numFmt w:val="lowerLetter"/>
      <w:lvlText w:val="%5."/>
      <w:lvlJc w:val="left"/>
      <w:pPr>
        <w:tabs>
          <w:tab w:val="num" w:pos="5760"/>
        </w:tabs>
        <w:ind w:left="5760" w:hanging="360"/>
      </w:pPr>
    </w:lvl>
    <w:lvl w:ilvl="5" w:tplc="0409001B">
      <w:start w:val="1"/>
      <w:numFmt w:val="lowerRoman"/>
      <w:lvlText w:val="%6."/>
      <w:lvlJc w:val="right"/>
      <w:pPr>
        <w:tabs>
          <w:tab w:val="num" w:pos="6480"/>
        </w:tabs>
        <w:ind w:left="6480" w:hanging="180"/>
      </w:pPr>
    </w:lvl>
    <w:lvl w:ilvl="6" w:tplc="0409000F">
      <w:start w:val="1"/>
      <w:numFmt w:val="decimal"/>
      <w:lvlText w:val="%7."/>
      <w:lvlJc w:val="left"/>
      <w:pPr>
        <w:tabs>
          <w:tab w:val="num" w:pos="7200"/>
        </w:tabs>
        <w:ind w:left="7200" w:hanging="360"/>
      </w:pPr>
    </w:lvl>
    <w:lvl w:ilvl="7" w:tplc="04090019">
      <w:start w:val="1"/>
      <w:numFmt w:val="lowerLetter"/>
      <w:lvlText w:val="%8."/>
      <w:lvlJc w:val="left"/>
      <w:pPr>
        <w:tabs>
          <w:tab w:val="num" w:pos="7920"/>
        </w:tabs>
        <w:ind w:left="7920" w:hanging="360"/>
      </w:pPr>
    </w:lvl>
    <w:lvl w:ilvl="8" w:tplc="0409001B">
      <w:start w:val="1"/>
      <w:numFmt w:val="lowerRoman"/>
      <w:lvlText w:val="%9."/>
      <w:lvlJc w:val="right"/>
      <w:pPr>
        <w:tabs>
          <w:tab w:val="num" w:pos="8640"/>
        </w:tabs>
        <w:ind w:left="8640" w:hanging="180"/>
      </w:pPr>
    </w:lvl>
  </w:abstractNum>
  <w:num w:numId="1" w16cid:durableId="346685794">
    <w:abstractNumId w:val="16"/>
  </w:num>
  <w:num w:numId="2" w16cid:durableId="709300773">
    <w:abstractNumId w:val="4"/>
  </w:num>
  <w:num w:numId="3" w16cid:durableId="1715882619">
    <w:abstractNumId w:val="1"/>
  </w:num>
  <w:num w:numId="4" w16cid:durableId="343628635">
    <w:abstractNumId w:val="5"/>
  </w:num>
  <w:num w:numId="5" w16cid:durableId="2038457335">
    <w:abstractNumId w:val="7"/>
  </w:num>
  <w:num w:numId="6" w16cid:durableId="834419143">
    <w:abstractNumId w:val="2"/>
  </w:num>
  <w:num w:numId="7" w16cid:durableId="1426919025">
    <w:abstractNumId w:val="10"/>
  </w:num>
  <w:num w:numId="8" w16cid:durableId="1415664624">
    <w:abstractNumId w:val="19"/>
  </w:num>
  <w:num w:numId="9" w16cid:durableId="850610111">
    <w:abstractNumId w:val="0"/>
  </w:num>
  <w:num w:numId="10" w16cid:durableId="228350238">
    <w:abstractNumId w:val="8"/>
  </w:num>
  <w:num w:numId="11" w16cid:durableId="627930834">
    <w:abstractNumId w:val="13"/>
  </w:num>
  <w:num w:numId="12" w16cid:durableId="82617170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32777900">
    <w:abstractNumId w:val="15"/>
  </w:num>
  <w:num w:numId="14" w16cid:durableId="32782600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38993528">
    <w:abstractNumId w:val="9"/>
  </w:num>
  <w:num w:numId="16" w16cid:durableId="1131360615">
    <w:abstractNumId w:val="3"/>
  </w:num>
  <w:num w:numId="17" w16cid:durableId="908616298">
    <w:abstractNumId w:val="14"/>
  </w:num>
  <w:num w:numId="18" w16cid:durableId="667904332">
    <w:abstractNumId w:val="17"/>
  </w:num>
  <w:num w:numId="19" w16cid:durableId="82920725">
    <w:abstractNumId w:val="12"/>
  </w:num>
  <w:num w:numId="20" w16cid:durableId="106898675">
    <w:abstractNumId w:val="11"/>
  </w:num>
  <w:num w:numId="21" w16cid:durableId="1958028828">
    <w:abstractNumId w:val="18"/>
  </w:num>
  <w:num w:numId="22" w16cid:durableId="1589994608">
    <w:abstractNumId w:val="20"/>
  </w:num>
  <w:num w:numId="23" w16cid:durableId="939029490">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hideSpellingErrors/>
  <w:activeWritingStyle w:appName="MSWord" w:lang="pt-BR" w:vendorID="64" w:dllVersion="6" w:nlCheck="1" w:checkStyle="0"/>
  <w:activeWritingStyle w:appName="MSWord" w:lang="en-US" w:vendorID="64" w:dllVersion="6" w:nlCheck="1" w:checkStyle="1"/>
  <w:activeWritingStyle w:appName="MSWord" w:lang="es-CL" w:vendorID="64" w:dllVersion="6" w:nlCheck="1" w:checkStyle="0"/>
  <w:activeWritingStyle w:appName="MSWord" w:lang="es-MX" w:vendorID="64" w:dllVersion="6" w:nlCheck="1" w:checkStyle="0"/>
  <w:activeWritingStyle w:appName="MSWord" w:lang="es-ES" w:vendorID="64" w:dllVersion="6" w:nlCheck="1" w:checkStyle="1"/>
  <w:activeWritingStyle w:appName="MSWord" w:lang="es-ES_tradnl" w:vendorID="64" w:dllVersion="6" w:nlCheck="1" w:checkStyle="0"/>
  <w:activeWritingStyle w:appName="MSWord" w:lang="en-US" w:vendorID="64" w:dllVersion="0" w:nlCheck="1" w:checkStyle="0"/>
  <w:activeWritingStyle w:appName="MSWord" w:lang="es-CL" w:vendorID="64" w:dllVersion="0" w:nlCheck="1" w:checkStyle="0"/>
  <w:activeWritingStyle w:appName="MSWord" w:lang="es-MX" w:vendorID="64" w:dllVersion="0" w:nlCheck="1" w:checkStyle="0"/>
  <w:activeWritingStyle w:appName="MSWord" w:lang="es-ES_tradnl" w:vendorID="64" w:dllVersion="0" w:nlCheck="1" w:checkStyle="0"/>
  <w:activeWritingStyle w:appName="MSWord" w:lang="en-GB" w:vendorID="64" w:dllVersion="0" w:nlCheck="1" w:checkStyle="0"/>
  <w:activeWritingStyle w:appName="MSWord" w:lang="es-AR" w:vendorID="64" w:dllVersion="0" w:nlCheck="1" w:checkStyle="0"/>
  <w:activeWritingStyle w:appName="MSWord" w:lang="es-419"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AyNzY1NrYwMzAwNjBU0lEKTi0uzszPAykwrQUAVHnXySwAAAA="/>
    <w:docVar w:name="APWAFVersion" w:val="5.0"/>
  </w:docVars>
  <w:rsids>
    <w:rsidRoot w:val="00CB703A"/>
    <w:rsid w:val="0000021A"/>
    <w:rsid w:val="0000132C"/>
    <w:rsid w:val="000024BA"/>
    <w:rsid w:val="00002BCB"/>
    <w:rsid w:val="00002F02"/>
    <w:rsid w:val="00003F75"/>
    <w:rsid w:val="0000456D"/>
    <w:rsid w:val="000064ED"/>
    <w:rsid w:val="0000782F"/>
    <w:rsid w:val="00010B2A"/>
    <w:rsid w:val="00010D2D"/>
    <w:rsid w:val="0001150D"/>
    <w:rsid w:val="0001336D"/>
    <w:rsid w:val="000134CD"/>
    <w:rsid w:val="00014105"/>
    <w:rsid w:val="00014D75"/>
    <w:rsid w:val="00015883"/>
    <w:rsid w:val="0001593D"/>
    <w:rsid w:val="00016207"/>
    <w:rsid w:val="000163A8"/>
    <w:rsid w:val="0001649C"/>
    <w:rsid w:val="00017F42"/>
    <w:rsid w:val="000201B6"/>
    <w:rsid w:val="000217D5"/>
    <w:rsid w:val="00021A1A"/>
    <w:rsid w:val="00021A28"/>
    <w:rsid w:val="00022564"/>
    <w:rsid w:val="00022E6C"/>
    <w:rsid w:val="00023621"/>
    <w:rsid w:val="00023FE5"/>
    <w:rsid w:val="000241F1"/>
    <w:rsid w:val="000249B5"/>
    <w:rsid w:val="00025372"/>
    <w:rsid w:val="0002725F"/>
    <w:rsid w:val="00027E43"/>
    <w:rsid w:val="000300CA"/>
    <w:rsid w:val="000310AE"/>
    <w:rsid w:val="0003165A"/>
    <w:rsid w:val="00031CE5"/>
    <w:rsid w:val="00032C1B"/>
    <w:rsid w:val="00032D4E"/>
    <w:rsid w:val="000333D9"/>
    <w:rsid w:val="00033B49"/>
    <w:rsid w:val="00034893"/>
    <w:rsid w:val="0003537E"/>
    <w:rsid w:val="0003626E"/>
    <w:rsid w:val="00036D98"/>
    <w:rsid w:val="0004008C"/>
    <w:rsid w:val="000408D2"/>
    <w:rsid w:val="00040CDF"/>
    <w:rsid w:val="0004126C"/>
    <w:rsid w:val="0004154F"/>
    <w:rsid w:val="00042474"/>
    <w:rsid w:val="00042DCA"/>
    <w:rsid w:val="00042F3B"/>
    <w:rsid w:val="00043368"/>
    <w:rsid w:val="0004487D"/>
    <w:rsid w:val="00045A0A"/>
    <w:rsid w:val="00046D2B"/>
    <w:rsid w:val="0004758A"/>
    <w:rsid w:val="0004783A"/>
    <w:rsid w:val="00050AD9"/>
    <w:rsid w:val="00050DBC"/>
    <w:rsid w:val="00051DEA"/>
    <w:rsid w:val="00053726"/>
    <w:rsid w:val="000546BE"/>
    <w:rsid w:val="0005584C"/>
    <w:rsid w:val="00055FCE"/>
    <w:rsid w:val="0005671A"/>
    <w:rsid w:val="000569BE"/>
    <w:rsid w:val="00056A91"/>
    <w:rsid w:val="00056D05"/>
    <w:rsid w:val="0006150C"/>
    <w:rsid w:val="000617CF"/>
    <w:rsid w:val="000617E1"/>
    <w:rsid w:val="00061A1F"/>
    <w:rsid w:val="00061B79"/>
    <w:rsid w:val="00062BFD"/>
    <w:rsid w:val="00062C7B"/>
    <w:rsid w:val="00064A00"/>
    <w:rsid w:val="00064D4E"/>
    <w:rsid w:val="000677EF"/>
    <w:rsid w:val="00067B98"/>
    <w:rsid w:val="000712AE"/>
    <w:rsid w:val="0007143A"/>
    <w:rsid w:val="0007241A"/>
    <w:rsid w:val="00072EAC"/>
    <w:rsid w:val="00072F3E"/>
    <w:rsid w:val="00073373"/>
    <w:rsid w:val="00073986"/>
    <w:rsid w:val="00073FBF"/>
    <w:rsid w:val="00074531"/>
    <w:rsid w:val="00074B3F"/>
    <w:rsid w:val="000758D3"/>
    <w:rsid w:val="00076F06"/>
    <w:rsid w:val="000772DD"/>
    <w:rsid w:val="00080E2D"/>
    <w:rsid w:val="00080F5F"/>
    <w:rsid w:val="000817EB"/>
    <w:rsid w:val="00082EC1"/>
    <w:rsid w:val="0008337A"/>
    <w:rsid w:val="00083FE2"/>
    <w:rsid w:val="00085DD4"/>
    <w:rsid w:val="000870FC"/>
    <w:rsid w:val="00090034"/>
    <w:rsid w:val="000905BD"/>
    <w:rsid w:val="00090A33"/>
    <w:rsid w:val="000911DC"/>
    <w:rsid w:val="0009205D"/>
    <w:rsid w:val="00092111"/>
    <w:rsid w:val="000937BA"/>
    <w:rsid w:val="00095E2A"/>
    <w:rsid w:val="0009614A"/>
    <w:rsid w:val="00096833"/>
    <w:rsid w:val="00096E87"/>
    <w:rsid w:val="00096FBB"/>
    <w:rsid w:val="000A0A58"/>
    <w:rsid w:val="000A1022"/>
    <w:rsid w:val="000A16DD"/>
    <w:rsid w:val="000A1F62"/>
    <w:rsid w:val="000A2CCB"/>
    <w:rsid w:val="000A2F1C"/>
    <w:rsid w:val="000A2F61"/>
    <w:rsid w:val="000A3D3E"/>
    <w:rsid w:val="000A44FD"/>
    <w:rsid w:val="000A482C"/>
    <w:rsid w:val="000A4D62"/>
    <w:rsid w:val="000A5499"/>
    <w:rsid w:val="000A64F8"/>
    <w:rsid w:val="000A6BF2"/>
    <w:rsid w:val="000A70F6"/>
    <w:rsid w:val="000A7703"/>
    <w:rsid w:val="000A7F68"/>
    <w:rsid w:val="000B0D74"/>
    <w:rsid w:val="000B0E2A"/>
    <w:rsid w:val="000B0FF0"/>
    <w:rsid w:val="000B1D7C"/>
    <w:rsid w:val="000B3C40"/>
    <w:rsid w:val="000B41EB"/>
    <w:rsid w:val="000B5036"/>
    <w:rsid w:val="000B5B83"/>
    <w:rsid w:val="000B6DC7"/>
    <w:rsid w:val="000B7E5B"/>
    <w:rsid w:val="000C098A"/>
    <w:rsid w:val="000C0AAC"/>
    <w:rsid w:val="000C223C"/>
    <w:rsid w:val="000C27F3"/>
    <w:rsid w:val="000C3FB8"/>
    <w:rsid w:val="000C40F4"/>
    <w:rsid w:val="000C48BB"/>
    <w:rsid w:val="000C669A"/>
    <w:rsid w:val="000C72DA"/>
    <w:rsid w:val="000C7988"/>
    <w:rsid w:val="000C7A6C"/>
    <w:rsid w:val="000D0354"/>
    <w:rsid w:val="000D2EF9"/>
    <w:rsid w:val="000D36CF"/>
    <w:rsid w:val="000D5D45"/>
    <w:rsid w:val="000D77A4"/>
    <w:rsid w:val="000D78A0"/>
    <w:rsid w:val="000D7CC5"/>
    <w:rsid w:val="000E00A7"/>
    <w:rsid w:val="000E052F"/>
    <w:rsid w:val="000E0695"/>
    <w:rsid w:val="000E0A63"/>
    <w:rsid w:val="000E1ECF"/>
    <w:rsid w:val="000E22DD"/>
    <w:rsid w:val="000E27B2"/>
    <w:rsid w:val="000E3248"/>
    <w:rsid w:val="000E381B"/>
    <w:rsid w:val="000E3E8A"/>
    <w:rsid w:val="000E3FBA"/>
    <w:rsid w:val="000E6843"/>
    <w:rsid w:val="000E703C"/>
    <w:rsid w:val="000F00C9"/>
    <w:rsid w:val="000F1870"/>
    <w:rsid w:val="000F1BE6"/>
    <w:rsid w:val="000F1E04"/>
    <w:rsid w:val="000F1FC9"/>
    <w:rsid w:val="000F25B4"/>
    <w:rsid w:val="000F274D"/>
    <w:rsid w:val="000F439A"/>
    <w:rsid w:val="000F4FE2"/>
    <w:rsid w:val="000F5068"/>
    <w:rsid w:val="000F5BF9"/>
    <w:rsid w:val="000F60E7"/>
    <w:rsid w:val="000F6386"/>
    <w:rsid w:val="000F647E"/>
    <w:rsid w:val="000F7209"/>
    <w:rsid w:val="000F7388"/>
    <w:rsid w:val="000F7490"/>
    <w:rsid w:val="00100101"/>
    <w:rsid w:val="0010073E"/>
    <w:rsid w:val="001015EB"/>
    <w:rsid w:val="001025C7"/>
    <w:rsid w:val="0010272B"/>
    <w:rsid w:val="00102B99"/>
    <w:rsid w:val="00102E53"/>
    <w:rsid w:val="001034B7"/>
    <w:rsid w:val="0010368F"/>
    <w:rsid w:val="00104B0C"/>
    <w:rsid w:val="00104FB1"/>
    <w:rsid w:val="00106028"/>
    <w:rsid w:val="00106C49"/>
    <w:rsid w:val="00107640"/>
    <w:rsid w:val="00107E4E"/>
    <w:rsid w:val="00111563"/>
    <w:rsid w:val="00112443"/>
    <w:rsid w:val="00112532"/>
    <w:rsid w:val="00112551"/>
    <w:rsid w:val="00112692"/>
    <w:rsid w:val="001129BA"/>
    <w:rsid w:val="00113191"/>
    <w:rsid w:val="00113AF8"/>
    <w:rsid w:val="00113EC2"/>
    <w:rsid w:val="001151DC"/>
    <w:rsid w:val="00115470"/>
    <w:rsid w:val="00115642"/>
    <w:rsid w:val="00115893"/>
    <w:rsid w:val="00115DF8"/>
    <w:rsid w:val="00115FE6"/>
    <w:rsid w:val="001160E2"/>
    <w:rsid w:val="00116970"/>
    <w:rsid w:val="001173C8"/>
    <w:rsid w:val="00117571"/>
    <w:rsid w:val="0012039D"/>
    <w:rsid w:val="00120F5A"/>
    <w:rsid w:val="00121780"/>
    <w:rsid w:val="00121FF2"/>
    <w:rsid w:val="00122554"/>
    <w:rsid w:val="00123B14"/>
    <w:rsid w:val="00126122"/>
    <w:rsid w:val="00126F60"/>
    <w:rsid w:val="00127EB0"/>
    <w:rsid w:val="001306B3"/>
    <w:rsid w:val="00130C3C"/>
    <w:rsid w:val="001314D4"/>
    <w:rsid w:val="00133D3F"/>
    <w:rsid w:val="00134CFF"/>
    <w:rsid w:val="001374A3"/>
    <w:rsid w:val="00137600"/>
    <w:rsid w:val="00137864"/>
    <w:rsid w:val="001410E1"/>
    <w:rsid w:val="00141D1A"/>
    <w:rsid w:val="00141E65"/>
    <w:rsid w:val="001422D2"/>
    <w:rsid w:val="00142EB2"/>
    <w:rsid w:val="00143785"/>
    <w:rsid w:val="00143F79"/>
    <w:rsid w:val="00144104"/>
    <w:rsid w:val="00144265"/>
    <w:rsid w:val="00144446"/>
    <w:rsid w:val="00145689"/>
    <w:rsid w:val="0014577B"/>
    <w:rsid w:val="00145A3C"/>
    <w:rsid w:val="00145ED8"/>
    <w:rsid w:val="00146A0D"/>
    <w:rsid w:val="00152FB0"/>
    <w:rsid w:val="001538D1"/>
    <w:rsid w:val="00153EAF"/>
    <w:rsid w:val="00157518"/>
    <w:rsid w:val="00160657"/>
    <w:rsid w:val="001609BF"/>
    <w:rsid w:val="00160E1D"/>
    <w:rsid w:val="00160FB5"/>
    <w:rsid w:val="00161060"/>
    <w:rsid w:val="001617B6"/>
    <w:rsid w:val="00161CA8"/>
    <w:rsid w:val="0016225A"/>
    <w:rsid w:val="00162443"/>
    <w:rsid w:val="001627F8"/>
    <w:rsid w:val="00162827"/>
    <w:rsid w:val="00162EF0"/>
    <w:rsid w:val="001631EF"/>
    <w:rsid w:val="0016351E"/>
    <w:rsid w:val="001635CA"/>
    <w:rsid w:val="00163F64"/>
    <w:rsid w:val="001667FB"/>
    <w:rsid w:val="0016791A"/>
    <w:rsid w:val="001701B4"/>
    <w:rsid w:val="00170F0A"/>
    <w:rsid w:val="00170F76"/>
    <w:rsid w:val="00171ACB"/>
    <w:rsid w:val="001720A9"/>
    <w:rsid w:val="00174106"/>
    <w:rsid w:val="00174422"/>
    <w:rsid w:val="00175662"/>
    <w:rsid w:val="001758F2"/>
    <w:rsid w:val="001806F0"/>
    <w:rsid w:val="00181468"/>
    <w:rsid w:val="00181E6C"/>
    <w:rsid w:val="00181EE4"/>
    <w:rsid w:val="0018318E"/>
    <w:rsid w:val="001859B1"/>
    <w:rsid w:val="0018619D"/>
    <w:rsid w:val="00187047"/>
    <w:rsid w:val="0019024D"/>
    <w:rsid w:val="001916ED"/>
    <w:rsid w:val="0019452D"/>
    <w:rsid w:val="001945F1"/>
    <w:rsid w:val="001948A1"/>
    <w:rsid w:val="00194BE1"/>
    <w:rsid w:val="00194CEE"/>
    <w:rsid w:val="00196C5C"/>
    <w:rsid w:val="00196EB3"/>
    <w:rsid w:val="001977AD"/>
    <w:rsid w:val="001A120F"/>
    <w:rsid w:val="001A249F"/>
    <w:rsid w:val="001A25FF"/>
    <w:rsid w:val="001A294B"/>
    <w:rsid w:val="001A2AAB"/>
    <w:rsid w:val="001A3F12"/>
    <w:rsid w:val="001A5C20"/>
    <w:rsid w:val="001A5DFB"/>
    <w:rsid w:val="001A6A2C"/>
    <w:rsid w:val="001A7A35"/>
    <w:rsid w:val="001B0C48"/>
    <w:rsid w:val="001B0F43"/>
    <w:rsid w:val="001B1046"/>
    <w:rsid w:val="001B104F"/>
    <w:rsid w:val="001B23DF"/>
    <w:rsid w:val="001B2E6D"/>
    <w:rsid w:val="001B30A4"/>
    <w:rsid w:val="001B3814"/>
    <w:rsid w:val="001B737B"/>
    <w:rsid w:val="001C002A"/>
    <w:rsid w:val="001C202D"/>
    <w:rsid w:val="001C2886"/>
    <w:rsid w:val="001C3E23"/>
    <w:rsid w:val="001C5257"/>
    <w:rsid w:val="001C5505"/>
    <w:rsid w:val="001C58F8"/>
    <w:rsid w:val="001C65C8"/>
    <w:rsid w:val="001C690C"/>
    <w:rsid w:val="001C6C82"/>
    <w:rsid w:val="001C6F47"/>
    <w:rsid w:val="001C733E"/>
    <w:rsid w:val="001D08FC"/>
    <w:rsid w:val="001D1521"/>
    <w:rsid w:val="001D33A2"/>
    <w:rsid w:val="001D5124"/>
    <w:rsid w:val="001D5EBE"/>
    <w:rsid w:val="001D6ADA"/>
    <w:rsid w:val="001D6FFF"/>
    <w:rsid w:val="001D71CF"/>
    <w:rsid w:val="001E223D"/>
    <w:rsid w:val="001E26DD"/>
    <w:rsid w:val="001E26EC"/>
    <w:rsid w:val="001E3866"/>
    <w:rsid w:val="001E4C96"/>
    <w:rsid w:val="001E4EF3"/>
    <w:rsid w:val="001F1480"/>
    <w:rsid w:val="001F1B9F"/>
    <w:rsid w:val="001F3174"/>
    <w:rsid w:val="001F4ED8"/>
    <w:rsid w:val="001F596A"/>
    <w:rsid w:val="001F5B39"/>
    <w:rsid w:val="001F675A"/>
    <w:rsid w:val="00200576"/>
    <w:rsid w:val="0020142C"/>
    <w:rsid w:val="00202F95"/>
    <w:rsid w:val="00203B0A"/>
    <w:rsid w:val="002053AF"/>
    <w:rsid w:val="002058AA"/>
    <w:rsid w:val="002068BE"/>
    <w:rsid w:val="00206AF3"/>
    <w:rsid w:val="0021172F"/>
    <w:rsid w:val="002122D8"/>
    <w:rsid w:val="00212C7A"/>
    <w:rsid w:val="002136BF"/>
    <w:rsid w:val="00213C3F"/>
    <w:rsid w:val="0021508D"/>
    <w:rsid w:val="00216E50"/>
    <w:rsid w:val="00220E69"/>
    <w:rsid w:val="002232D4"/>
    <w:rsid w:val="00223F19"/>
    <w:rsid w:val="00223F30"/>
    <w:rsid w:val="00224A86"/>
    <w:rsid w:val="002252E2"/>
    <w:rsid w:val="00226833"/>
    <w:rsid w:val="002268D0"/>
    <w:rsid w:val="00226FA8"/>
    <w:rsid w:val="00227213"/>
    <w:rsid w:val="00230525"/>
    <w:rsid w:val="002316A2"/>
    <w:rsid w:val="00231B4D"/>
    <w:rsid w:val="0023289C"/>
    <w:rsid w:val="002329B0"/>
    <w:rsid w:val="002344B0"/>
    <w:rsid w:val="00235218"/>
    <w:rsid w:val="0023528B"/>
    <w:rsid w:val="00240681"/>
    <w:rsid w:val="0024080A"/>
    <w:rsid w:val="00240898"/>
    <w:rsid w:val="00245A0F"/>
    <w:rsid w:val="00246C41"/>
    <w:rsid w:val="00250322"/>
    <w:rsid w:val="002518B7"/>
    <w:rsid w:val="002518E3"/>
    <w:rsid w:val="00251C26"/>
    <w:rsid w:val="002526CB"/>
    <w:rsid w:val="00252886"/>
    <w:rsid w:val="00253330"/>
    <w:rsid w:val="00253CCC"/>
    <w:rsid w:val="002546DB"/>
    <w:rsid w:val="00254DAC"/>
    <w:rsid w:val="00255310"/>
    <w:rsid w:val="002561ED"/>
    <w:rsid w:val="00256916"/>
    <w:rsid w:val="00256BD1"/>
    <w:rsid w:val="00256D07"/>
    <w:rsid w:val="00256FB0"/>
    <w:rsid w:val="00260365"/>
    <w:rsid w:val="00261973"/>
    <w:rsid w:val="0026387A"/>
    <w:rsid w:val="00263DF2"/>
    <w:rsid w:val="00264318"/>
    <w:rsid w:val="00266AB4"/>
    <w:rsid w:val="002675A8"/>
    <w:rsid w:val="002701FB"/>
    <w:rsid w:val="00270442"/>
    <w:rsid w:val="00271258"/>
    <w:rsid w:val="00272586"/>
    <w:rsid w:val="00272B7D"/>
    <w:rsid w:val="00272CAB"/>
    <w:rsid w:val="002749E4"/>
    <w:rsid w:val="00275218"/>
    <w:rsid w:val="002770A0"/>
    <w:rsid w:val="00280650"/>
    <w:rsid w:val="00280BDA"/>
    <w:rsid w:val="00280FF9"/>
    <w:rsid w:val="00281F79"/>
    <w:rsid w:val="00282754"/>
    <w:rsid w:val="00283031"/>
    <w:rsid w:val="0028385D"/>
    <w:rsid w:val="00283FC0"/>
    <w:rsid w:val="00284283"/>
    <w:rsid w:val="0028445F"/>
    <w:rsid w:val="002850F8"/>
    <w:rsid w:val="002860DF"/>
    <w:rsid w:val="00287049"/>
    <w:rsid w:val="002873CF"/>
    <w:rsid w:val="00287F26"/>
    <w:rsid w:val="0029054B"/>
    <w:rsid w:val="00290718"/>
    <w:rsid w:val="0029174A"/>
    <w:rsid w:val="00292565"/>
    <w:rsid w:val="002927AF"/>
    <w:rsid w:val="00292866"/>
    <w:rsid w:val="00293AD1"/>
    <w:rsid w:val="00294A44"/>
    <w:rsid w:val="00294D0B"/>
    <w:rsid w:val="00295B61"/>
    <w:rsid w:val="0029759D"/>
    <w:rsid w:val="002A08F5"/>
    <w:rsid w:val="002A133E"/>
    <w:rsid w:val="002A1A24"/>
    <w:rsid w:val="002A2235"/>
    <w:rsid w:val="002A2991"/>
    <w:rsid w:val="002A3107"/>
    <w:rsid w:val="002A3661"/>
    <w:rsid w:val="002A4A71"/>
    <w:rsid w:val="002A4D6E"/>
    <w:rsid w:val="002A4E2E"/>
    <w:rsid w:val="002A50E6"/>
    <w:rsid w:val="002A5A3E"/>
    <w:rsid w:val="002A686E"/>
    <w:rsid w:val="002B0104"/>
    <w:rsid w:val="002B039E"/>
    <w:rsid w:val="002B19E0"/>
    <w:rsid w:val="002B2E51"/>
    <w:rsid w:val="002B3804"/>
    <w:rsid w:val="002B5150"/>
    <w:rsid w:val="002B5BA6"/>
    <w:rsid w:val="002B690B"/>
    <w:rsid w:val="002B69E9"/>
    <w:rsid w:val="002B7856"/>
    <w:rsid w:val="002C1F73"/>
    <w:rsid w:val="002C28A4"/>
    <w:rsid w:val="002C341A"/>
    <w:rsid w:val="002C3497"/>
    <w:rsid w:val="002C40D4"/>
    <w:rsid w:val="002C5547"/>
    <w:rsid w:val="002C6076"/>
    <w:rsid w:val="002C7F09"/>
    <w:rsid w:val="002D03B2"/>
    <w:rsid w:val="002D0435"/>
    <w:rsid w:val="002D15E9"/>
    <w:rsid w:val="002D1A44"/>
    <w:rsid w:val="002D3259"/>
    <w:rsid w:val="002D3667"/>
    <w:rsid w:val="002D44FB"/>
    <w:rsid w:val="002D54AB"/>
    <w:rsid w:val="002D54B7"/>
    <w:rsid w:val="002D664C"/>
    <w:rsid w:val="002E1864"/>
    <w:rsid w:val="002E2A25"/>
    <w:rsid w:val="002E4158"/>
    <w:rsid w:val="002E590C"/>
    <w:rsid w:val="002E5C2D"/>
    <w:rsid w:val="002E6E77"/>
    <w:rsid w:val="002E7404"/>
    <w:rsid w:val="002E77F9"/>
    <w:rsid w:val="002E79AD"/>
    <w:rsid w:val="002E79E6"/>
    <w:rsid w:val="002F0368"/>
    <w:rsid w:val="002F13E8"/>
    <w:rsid w:val="002F21EB"/>
    <w:rsid w:val="002F31F7"/>
    <w:rsid w:val="002F4101"/>
    <w:rsid w:val="002F42B6"/>
    <w:rsid w:val="002F4FC6"/>
    <w:rsid w:val="002F5935"/>
    <w:rsid w:val="002F5C62"/>
    <w:rsid w:val="002F640E"/>
    <w:rsid w:val="002F657A"/>
    <w:rsid w:val="002F70A7"/>
    <w:rsid w:val="002F7609"/>
    <w:rsid w:val="002F7815"/>
    <w:rsid w:val="003002F8"/>
    <w:rsid w:val="00300CB1"/>
    <w:rsid w:val="00301301"/>
    <w:rsid w:val="00301868"/>
    <w:rsid w:val="00302E35"/>
    <w:rsid w:val="00302E99"/>
    <w:rsid w:val="00303E91"/>
    <w:rsid w:val="00304ED0"/>
    <w:rsid w:val="00305B53"/>
    <w:rsid w:val="00305C70"/>
    <w:rsid w:val="00306C0C"/>
    <w:rsid w:val="00310590"/>
    <w:rsid w:val="00310912"/>
    <w:rsid w:val="00310B19"/>
    <w:rsid w:val="00310D26"/>
    <w:rsid w:val="00312A98"/>
    <w:rsid w:val="00312F94"/>
    <w:rsid w:val="003135BF"/>
    <w:rsid w:val="003143F7"/>
    <w:rsid w:val="00317C7E"/>
    <w:rsid w:val="003201D7"/>
    <w:rsid w:val="0032054D"/>
    <w:rsid w:val="003209DF"/>
    <w:rsid w:val="003210BE"/>
    <w:rsid w:val="0032175D"/>
    <w:rsid w:val="00321DFC"/>
    <w:rsid w:val="0032216B"/>
    <w:rsid w:val="00322481"/>
    <w:rsid w:val="00322D1B"/>
    <w:rsid w:val="003234E8"/>
    <w:rsid w:val="00323976"/>
    <w:rsid w:val="00323D84"/>
    <w:rsid w:val="00325FFE"/>
    <w:rsid w:val="00326FCF"/>
    <w:rsid w:val="0032749C"/>
    <w:rsid w:val="00330766"/>
    <w:rsid w:val="0033082F"/>
    <w:rsid w:val="00330D48"/>
    <w:rsid w:val="0033151A"/>
    <w:rsid w:val="00331574"/>
    <w:rsid w:val="0033224F"/>
    <w:rsid w:val="003329F8"/>
    <w:rsid w:val="00332C19"/>
    <w:rsid w:val="0033378C"/>
    <w:rsid w:val="003338E6"/>
    <w:rsid w:val="00334F8A"/>
    <w:rsid w:val="0033590A"/>
    <w:rsid w:val="003359F9"/>
    <w:rsid w:val="00335FC3"/>
    <w:rsid w:val="0034040E"/>
    <w:rsid w:val="0034296A"/>
    <w:rsid w:val="00343CD1"/>
    <w:rsid w:val="00343FDB"/>
    <w:rsid w:val="003471D1"/>
    <w:rsid w:val="003503F2"/>
    <w:rsid w:val="00351A90"/>
    <w:rsid w:val="00351AE5"/>
    <w:rsid w:val="00352D9E"/>
    <w:rsid w:val="00353EFA"/>
    <w:rsid w:val="0035454B"/>
    <w:rsid w:val="00355001"/>
    <w:rsid w:val="00356F4B"/>
    <w:rsid w:val="0035718C"/>
    <w:rsid w:val="00360D44"/>
    <w:rsid w:val="003615D9"/>
    <w:rsid w:val="00361D11"/>
    <w:rsid w:val="0036238C"/>
    <w:rsid w:val="0036374A"/>
    <w:rsid w:val="00363E8A"/>
    <w:rsid w:val="00364D0F"/>
    <w:rsid w:val="00365086"/>
    <w:rsid w:val="00365702"/>
    <w:rsid w:val="00365DD4"/>
    <w:rsid w:val="00366033"/>
    <w:rsid w:val="00366609"/>
    <w:rsid w:val="003668C6"/>
    <w:rsid w:val="0036711E"/>
    <w:rsid w:val="00367646"/>
    <w:rsid w:val="0037065F"/>
    <w:rsid w:val="00375134"/>
    <w:rsid w:val="00375983"/>
    <w:rsid w:val="0037694C"/>
    <w:rsid w:val="00377981"/>
    <w:rsid w:val="00380670"/>
    <w:rsid w:val="00381DBC"/>
    <w:rsid w:val="00382893"/>
    <w:rsid w:val="00382F13"/>
    <w:rsid w:val="00383BC9"/>
    <w:rsid w:val="00383E73"/>
    <w:rsid w:val="00391F53"/>
    <w:rsid w:val="00393FA0"/>
    <w:rsid w:val="00395A5F"/>
    <w:rsid w:val="00395C3C"/>
    <w:rsid w:val="003973BB"/>
    <w:rsid w:val="003A1170"/>
    <w:rsid w:val="003A1B89"/>
    <w:rsid w:val="003A28E8"/>
    <w:rsid w:val="003A484F"/>
    <w:rsid w:val="003A4971"/>
    <w:rsid w:val="003A614C"/>
    <w:rsid w:val="003A6162"/>
    <w:rsid w:val="003A6165"/>
    <w:rsid w:val="003A63AA"/>
    <w:rsid w:val="003A67D0"/>
    <w:rsid w:val="003B03B8"/>
    <w:rsid w:val="003B0DD3"/>
    <w:rsid w:val="003B1094"/>
    <w:rsid w:val="003B11CC"/>
    <w:rsid w:val="003B2995"/>
    <w:rsid w:val="003B3063"/>
    <w:rsid w:val="003B35EF"/>
    <w:rsid w:val="003B3C59"/>
    <w:rsid w:val="003B4161"/>
    <w:rsid w:val="003B4202"/>
    <w:rsid w:val="003B44A5"/>
    <w:rsid w:val="003B4BAD"/>
    <w:rsid w:val="003B5E27"/>
    <w:rsid w:val="003B6873"/>
    <w:rsid w:val="003C1042"/>
    <w:rsid w:val="003C2391"/>
    <w:rsid w:val="003C2B06"/>
    <w:rsid w:val="003C47D3"/>
    <w:rsid w:val="003C47D5"/>
    <w:rsid w:val="003C4D76"/>
    <w:rsid w:val="003C626E"/>
    <w:rsid w:val="003C7AAB"/>
    <w:rsid w:val="003C7FD9"/>
    <w:rsid w:val="003D0109"/>
    <w:rsid w:val="003D0401"/>
    <w:rsid w:val="003D0978"/>
    <w:rsid w:val="003D0A53"/>
    <w:rsid w:val="003D0D1C"/>
    <w:rsid w:val="003D1DCC"/>
    <w:rsid w:val="003D1EB1"/>
    <w:rsid w:val="003D1FC0"/>
    <w:rsid w:val="003D498C"/>
    <w:rsid w:val="003D61F1"/>
    <w:rsid w:val="003D6DF6"/>
    <w:rsid w:val="003D7844"/>
    <w:rsid w:val="003D7B70"/>
    <w:rsid w:val="003E08F1"/>
    <w:rsid w:val="003E0DDB"/>
    <w:rsid w:val="003E0E0F"/>
    <w:rsid w:val="003E32D5"/>
    <w:rsid w:val="003E3862"/>
    <w:rsid w:val="003E56B5"/>
    <w:rsid w:val="003E6ADD"/>
    <w:rsid w:val="003F0DCC"/>
    <w:rsid w:val="003F1427"/>
    <w:rsid w:val="003F1E7C"/>
    <w:rsid w:val="003F2824"/>
    <w:rsid w:val="003F2886"/>
    <w:rsid w:val="003F3990"/>
    <w:rsid w:val="003F4C38"/>
    <w:rsid w:val="003F7278"/>
    <w:rsid w:val="003F7C24"/>
    <w:rsid w:val="00400473"/>
    <w:rsid w:val="00400773"/>
    <w:rsid w:val="00400EF1"/>
    <w:rsid w:val="004034C2"/>
    <w:rsid w:val="004037FB"/>
    <w:rsid w:val="00403A0B"/>
    <w:rsid w:val="00405285"/>
    <w:rsid w:val="00405535"/>
    <w:rsid w:val="00406E70"/>
    <w:rsid w:val="004074B4"/>
    <w:rsid w:val="00407A30"/>
    <w:rsid w:val="004110F1"/>
    <w:rsid w:val="00411311"/>
    <w:rsid w:val="00412C22"/>
    <w:rsid w:val="00413B37"/>
    <w:rsid w:val="00413F70"/>
    <w:rsid w:val="0041577C"/>
    <w:rsid w:val="00415F7D"/>
    <w:rsid w:val="004160DE"/>
    <w:rsid w:val="00417035"/>
    <w:rsid w:val="00417410"/>
    <w:rsid w:val="00420FE0"/>
    <w:rsid w:val="004218C9"/>
    <w:rsid w:val="00421C2A"/>
    <w:rsid w:val="004226D1"/>
    <w:rsid w:val="00423E1B"/>
    <w:rsid w:val="00423FBE"/>
    <w:rsid w:val="00424A68"/>
    <w:rsid w:val="0042691D"/>
    <w:rsid w:val="00426F6F"/>
    <w:rsid w:val="004306D8"/>
    <w:rsid w:val="00433F62"/>
    <w:rsid w:val="004343D8"/>
    <w:rsid w:val="00435C1A"/>
    <w:rsid w:val="00435E1C"/>
    <w:rsid w:val="00435E60"/>
    <w:rsid w:val="00437110"/>
    <w:rsid w:val="0043714D"/>
    <w:rsid w:val="00437492"/>
    <w:rsid w:val="00440125"/>
    <w:rsid w:val="00441EA5"/>
    <w:rsid w:val="00441F15"/>
    <w:rsid w:val="0044392D"/>
    <w:rsid w:val="00444643"/>
    <w:rsid w:val="00444E53"/>
    <w:rsid w:val="00445492"/>
    <w:rsid w:val="0044629E"/>
    <w:rsid w:val="00446422"/>
    <w:rsid w:val="004469D7"/>
    <w:rsid w:val="00446DF0"/>
    <w:rsid w:val="00447EC2"/>
    <w:rsid w:val="00451581"/>
    <w:rsid w:val="00451CA2"/>
    <w:rsid w:val="004525F5"/>
    <w:rsid w:val="00452783"/>
    <w:rsid w:val="004529E7"/>
    <w:rsid w:val="004531D4"/>
    <w:rsid w:val="004556A9"/>
    <w:rsid w:val="00455BFD"/>
    <w:rsid w:val="00456B56"/>
    <w:rsid w:val="004616C4"/>
    <w:rsid w:val="004623D1"/>
    <w:rsid w:val="00463927"/>
    <w:rsid w:val="00464103"/>
    <w:rsid w:val="00464CCB"/>
    <w:rsid w:val="00466C80"/>
    <w:rsid w:val="00471365"/>
    <w:rsid w:val="004715CA"/>
    <w:rsid w:val="00471982"/>
    <w:rsid w:val="00472729"/>
    <w:rsid w:val="00473176"/>
    <w:rsid w:val="00473DBE"/>
    <w:rsid w:val="00473F1E"/>
    <w:rsid w:val="00474796"/>
    <w:rsid w:val="00476FD3"/>
    <w:rsid w:val="004778B9"/>
    <w:rsid w:val="004809F1"/>
    <w:rsid w:val="00482021"/>
    <w:rsid w:val="00482A27"/>
    <w:rsid w:val="00483896"/>
    <w:rsid w:val="00483B8B"/>
    <w:rsid w:val="00484011"/>
    <w:rsid w:val="00484192"/>
    <w:rsid w:val="0048504E"/>
    <w:rsid w:val="00485498"/>
    <w:rsid w:val="00485A45"/>
    <w:rsid w:val="00485F91"/>
    <w:rsid w:val="00486CF6"/>
    <w:rsid w:val="00492233"/>
    <w:rsid w:val="00492E2E"/>
    <w:rsid w:val="004931B5"/>
    <w:rsid w:val="00493590"/>
    <w:rsid w:val="0049424F"/>
    <w:rsid w:val="004952FA"/>
    <w:rsid w:val="00495F19"/>
    <w:rsid w:val="004962D7"/>
    <w:rsid w:val="004963A7"/>
    <w:rsid w:val="004969F3"/>
    <w:rsid w:val="0049771D"/>
    <w:rsid w:val="004A05BC"/>
    <w:rsid w:val="004A0D25"/>
    <w:rsid w:val="004A2A63"/>
    <w:rsid w:val="004A397E"/>
    <w:rsid w:val="004B0DBD"/>
    <w:rsid w:val="004B124E"/>
    <w:rsid w:val="004B2CC7"/>
    <w:rsid w:val="004B3F7C"/>
    <w:rsid w:val="004B5354"/>
    <w:rsid w:val="004B6B8C"/>
    <w:rsid w:val="004B7EA7"/>
    <w:rsid w:val="004C049F"/>
    <w:rsid w:val="004C058F"/>
    <w:rsid w:val="004C16BB"/>
    <w:rsid w:val="004C2477"/>
    <w:rsid w:val="004C33AD"/>
    <w:rsid w:val="004C37E6"/>
    <w:rsid w:val="004C37F6"/>
    <w:rsid w:val="004C3EA7"/>
    <w:rsid w:val="004C4A27"/>
    <w:rsid w:val="004C4C7A"/>
    <w:rsid w:val="004C6327"/>
    <w:rsid w:val="004C70BD"/>
    <w:rsid w:val="004C77B8"/>
    <w:rsid w:val="004D00E0"/>
    <w:rsid w:val="004D0828"/>
    <w:rsid w:val="004D15C2"/>
    <w:rsid w:val="004D28AA"/>
    <w:rsid w:val="004D2B5D"/>
    <w:rsid w:val="004D2D10"/>
    <w:rsid w:val="004D3BD3"/>
    <w:rsid w:val="004D4D82"/>
    <w:rsid w:val="004D4EC2"/>
    <w:rsid w:val="004D5370"/>
    <w:rsid w:val="004D5C2A"/>
    <w:rsid w:val="004D5D04"/>
    <w:rsid w:val="004E19E3"/>
    <w:rsid w:val="004E4BAE"/>
    <w:rsid w:val="004F0802"/>
    <w:rsid w:val="004F22BB"/>
    <w:rsid w:val="004F43DF"/>
    <w:rsid w:val="004F4793"/>
    <w:rsid w:val="004F4905"/>
    <w:rsid w:val="004F4FEC"/>
    <w:rsid w:val="004F601B"/>
    <w:rsid w:val="00502594"/>
    <w:rsid w:val="00503B89"/>
    <w:rsid w:val="005051DC"/>
    <w:rsid w:val="00506277"/>
    <w:rsid w:val="00507D35"/>
    <w:rsid w:val="005139A2"/>
    <w:rsid w:val="00513A31"/>
    <w:rsid w:val="00513F5E"/>
    <w:rsid w:val="00515887"/>
    <w:rsid w:val="005160AC"/>
    <w:rsid w:val="00516B04"/>
    <w:rsid w:val="005174F8"/>
    <w:rsid w:val="00517C87"/>
    <w:rsid w:val="00520838"/>
    <w:rsid w:val="005209E1"/>
    <w:rsid w:val="00522445"/>
    <w:rsid w:val="0052571B"/>
    <w:rsid w:val="00525952"/>
    <w:rsid w:val="00525D04"/>
    <w:rsid w:val="00525F6D"/>
    <w:rsid w:val="00526515"/>
    <w:rsid w:val="00530CB8"/>
    <w:rsid w:val="00531FD8"/>
    <w:rsid w:val="00532A2A"/>
    <w:rsid w:val="00532C10"/>
    <w:rsid w:val="00533026"/>
    <w:rsid w:val="00534045"/>
    <w:rsid w:val="005340F2"/>
    <w:rsid w:val="00534250"/>
    <w:rsid w:val="0053457D"/>
    <w:rsid w:val="0053666D"/>
    <w:rsid w:val="00536C10"/>
    <w:rsid w:val="00537613"/>
    <w:rsid w:val="005406D3"/>
    <w:rsid w:val="005407FA"/>
    <w:rsid w:val="00540ADA"/>
    <w:rsid w:val="00540C8B"/>
    <w:rsid w:val="00540E81"/>
    <w:rsid w:val="00542EF8"/>
    <w:rsid w:val="0054347C"/>
    <w:rsid w:val="0054513A"/>
    <w:rsid w:val="00545658"/>
    <w:rsid w:val="00546769"/>
    <w:rsid w:val="00550A9D"/>
    <w:rsid w:val="00550C8E"/>
    <w:rsid w:val="00551B44"/>
    <w:rsid w:val="00553796"/>
    <w:rsid w:val="0055408A"/>
    <w:rsid w:val="005542CB"/>
    <w:rsid w:val="00554528"/>
    <w:rsid w:val="005548DD"/>
    <w:rsid w:val="0055534C"/>
    <w:rsid w:val="00556B31"/>
    <w:rsid w:val="00556B8C"/>
    <w:rsid w:val="0055722B"/>
    <w:rsid w:val="00560F00"/>
    <w:rsid w:val="00562D77"/>
    <w:rsid w:val="00562F1F"/>
    <w:rsid w:val="0056540C"/>
    <w:rsid w:val="00566FA0"/>
    <w:rsid w:val="00567B18"/>
    <w:rsid w:val="005701A6"/>
    <w:rsid w:val="00570334"/>
    <w:rsid w:val="005703BD"/>
    <w:rsid w:val="005751A5"/>
    <w:rsid w:val="00576BE0"/>
    <w:rsid w:val="00577C7A"/>
    <w:rsid w:val="0058007B"/>
    <w:rsid w:val="005804B1"/>
    <w:rsid w:val="00580DBE"/>
    <w:rsid w:val="005810A7"/>
    <w:rsid w:val="0058126B"/>
    <w:rsid w:val="0058384D"/>
    <w:rsid w:val="00583D80"/>
    <w:rsid w:val="00584E0F"/>
    <w:rsid w:val="005872D2"/>
    <w:rsid w:val="00590103"/>
    <w:rsid w:val="00590A9D"/>
    <w:rsid w:val="00591964"/>
    <w:rsid w:val="00592271"/>
    <w:rsid w:val="00592307"/>
    <w:rsid w:val="005934B0"/>
    <w:rsid w:val="00594EBF"/>
    <w:rsid w:val="00595168"/>
    <w:rsid w:val="00596363"/>
    <w:rsid w:val="005969F7"/>
    <w:rsid w:val="00596AEB"/>
    <w:rsid w:val="00596D5D"/>
    <w:rsid w:val="005973ED"/>
    <w:rsid w:val="005979AF"/>
    <w:rsid w:val="005A1690"/>
    <w:rsid w:val="005A2631"/>
    <w:rsid w:val="005A272E"/>
    <w:rsid w:val="005A2B48"/>
    <w:rsid w:val="005A3062"/>
    <w:rsid w:val="005A3A0E"/>
    <w:rsid w:val="005A467E"/>
    <w:rsid w:val="005A50DA"/>
    <w:rsid w:val="005A58DA"/>
    <w:rsid w:val="005A5BAC"/>
    <w:rsid w:val="005A6071"/>
    <w:rsid w:val="005A7D3A"/>
    <w:rsid w:val="005A7F0C"/>
    <w:rsid w:val="005B0978"/>
    <w:rsid w:val="005B0F67"/>
    <w:rsid w:val="005B161C"/>
    <w:rsid w:val="005B31C1"/>
    <w:rsid w:val="005B4BF9"/>
    <w:rsid w:val="005B4D9F"/>
    <w:rsid w:val="005C1579"/>
    <w:rsid w:val="005C1825"/>
    <w:rsid w:val="005C1AEF"/>
    <w:rsid w:val="005C2AFC"/>
    <w:rsid w:val="005C3EC6"/>
    <w:rsid w:val="005C4014"/>
    <w:rsid w:val="005C4631"/>
    <w:rsid w:val="005C56EF"/>
    <w:rsid w:val="005C5B9F"/>
    <w:rsid w:val="005C7DB5"/>
    <w:rsid w:val="005D0AD9"/>
    <w:rsid w:val="005D162F"/>
    <w:rsid w:val="005D17EB"/>
    <w:rsid w:val="005D1D2C"/>
    <w:rsid w:val="005D521C"/>
    <w:rsid w:val="005D5ABF"/>
    <w:rsid w:val="005D5F94"/>
    <w:rsid w:val="005D67FA"/>
    <w:rsid w:val="005D7387"/>
    <w:rsid w:val="005E00C8"/>
    <w:rsid w:val="005E0317"/>
    <w:rsid w:val="005E0656"/>
    <w:rsid w:val="005E0928"/>
    <w:rsid w:val="005E1272"/>
    <w:rsid w:val="005E26A3"/>
    <w:rsid w:val="005E40C5"/>
    <w:rsid w:val="005E4EE7"/>
    <w:rsid w:val="005E6551"/>
    <w:rsid w:val="005E65D9"/>
    <w:rsid w:val="005E6D7B"/>
    <w:rsid w:val="005E7296"/>
    <w:rsid w:val="005E74E6"/>
    <w:rsid w:val="005E7514"/>
    <w:rsid w:val="005E7B65"/>
    <w:rsid w:val="005F042B"/>
    <w:rsid w:val="005F0B82"/>
    <w:rsid w:val="005F3530"/>
    <w:rsid w:val="005F49C7"/>
    <w:rsid w:val="005F4C17"/>
    <w:rsid w:val="005F577E"/>
    <w:rsid w:val="005F6E13"/>
    <w:rsid w:val="005F7600"/>
    <w:rsid w:val="005F7A93"/>
    <w:rsid w:val="006017D2"/>
    <w:rsid w:val="00601F07"/>
    <w:rsid w:val="00602218"/>
    <w:rsid w:val="0060236D"/>
    <w:rsid w:val="00602816"/>
    <w:rsid w:val="006038E3"/>
    <w:rsid w:val="00603E7C"/>
    <w:rsid w:val="006043EA"/>
    <w:rsid w:val="0060456F"/>
    <w:rsid w:val="006046BC"/>
    <w:rsid w:val="006055B1"/>
    <w:rsid w:val="006065F1"/>
    <w:rsid w:val="00607D62"/>
    <w:rsid w:val="00610321"/>
    <w:rsid w:val="006112CF"/>
    <w:rsid w:val="00611B0F"/>
    <w:rsid w:val="00612C08"/>
    <w:rsid w:val="00614930"/>
    <w:rsid w:val="00614953"/>
    <w:rsid w:val="00615582"/>
    <w:rsid w:val="006156EC"/>
    <w:rsid w:val="00615F77"/>
    <w:rsid w:val="006164A8"/>
    <w:rsid w:val="006176C1"/>
    <w:rsid w:val="00620AB3"/>
    <w:rsid w:val="006217B6"/>
    <w:rsid w:val="00622EBE"/>
    <w:rsid w:val="006231DD"/>
    <w:rsid w:val="00623370"/>
    <w:rsid w:val="00624110"/>
    <w:rsid w:val="00625831"/>
    <w:rsid w:val="00627D35"/>
    <w:rsid w:val="00630615"/>
    <w:rsid w:val="00632CE2"/>
    <w:rsid w:val="00634CA7"/>
    <w:rsid w:val="00634D1F"/>
    <w:rsid w:val="0063515D"/>
    <w:rsid w:val="00635AB7"/>
    <w:rsid w:val="006362E9"/>
    <w:rsid w:val="00636537"/>
    <w:rsid w:val="006367C6"/>
    <w:rsid w:val="00636F2F"/>
    <w:rsid w:val="00637124"/>
    <w:rsid w:val="00637793"/>
    <w:rsid w:val="006400E9"/>
    <w:rsid w:val="00640B4E"/>
    <w:rsid w:val="006412E5"/>
    <w:rsid w:val="00642953"/>
    <w:rsid w:val="00642F68"/>
    <w:rsid w:val="006439D0"/>
    <w:rsid w:val="006446C2"/>
    <w:rsid w:val="0064581A"/>
    <w:rsid w:val="00645F06"/>
    <w:rsid w:val="00647FB1"/>
    <w:rsid w:val="006504EF"/>
    <w:rsid w:val="00650F12"/>
    <w:rsid w:val="006518E5"/>
    <w:rsid w:val="0065211E"/>
    <w:rsid w:val="006521D7"/>
    <w:rsid w:val="00652504"/>
    <w:rsid w:val="006532B4"/>
    <w:rsid w:val="00654B80"/>
    <w:rsid w:val="0065700D"/>
    <w:rsid w:val="00657649"/>
    <w:rsid w:val="00657B50"/>
    <w:rsid w:val="006609D6"/>
    <w:rsid w:val="00660AEA"/>
    <w:rsid w:val="00660F26"/>
    <w:rsid w:val="006610F7"/>
    <w:rsid w:val="00661794"/>
    <w:rsid w:val="006617D7"/>
    <w:rsid w:val="00661B26"/>
    <w:rsid w:val="00661D25"/>
    <w:rsid w:val="006623F3"/>
    <w:rsid w:val="00666DDB"/>
    <w:rsid w:val="006715AC"/>
    <w:rsid w:val="0067431A"/>
    <w:rsid w:val="0067468D"/>
    <w:rsid w:val="00677417"/>
    <w:rsid w:val="00677A02"/>
    <w:rsid w:val="00680DE2"/>
    <w:rsid w:val="00680E48"/>
    <w:rsid w:val="0068151F"/>
    <w:rsid w:val="00683057"/>
    <w:rsid w:val="0068421B"/>
    <w:rsid w:val="00684705"/>
    <w:rsid w:val="00684749"/>
    <w:rsid w:val="006856C8"/>
    <w:rsid w:val="00685FAA"/>
    <w:rsid w:val="00686EDA"/>
    <w:rsid w:val="006870BA"/>
    <w:rsid w:val="00687A5F"/>
    <w:rsid w:val="00690173"/>
    <w:rsid w:val="0069074C"/>
    <w:rsid w:val="00690985"/>
    <w:rsid w:val="00690A7A"/>
    <w:rsid w:val="006917A6"/>
    <w:rsid w:val="00692614"/>
    <w:rsid w:val="006929D6"/>
    <w:rsid w:val="00692A3C"/>
    <w:rsid w:val="00692C4A"/>
    <w:rsid w:val="00692E4F"/>
    <w:rsid w:val="00694CD9"/>
    <w:rsid w:val="006951FA"/>
    <w:rsid w:val="00695258"/>
    <w:rsid w:val="00695949"/>
    <w:rsid w:val="00695AC2"/>
    <w:rsid w:val="00695CBA"/>
    <w:rsid w:val="00697FD1"/>
    <w:rsid w:val="006A0C9F"/>
    <w:rsid w:val="006A11CE"/>
    <w:rsid w:val="006A27B9"/>
    <w:rsid w:val="006A28E2"/>
    <w:rsid w:val="006A69DE"/>
    <w:rsid w:val="006A714E"/>
    <w:rsid w:val="006A7DA4"/>
    <w:rsid w:val="006A7E4E"/>
    <w:rsid w:val="006B0D91"/>
    <w:rsid w:val="006B3307"/>
    <w:rsid w:val="006B50F4"/>
    <w:rsid w:val="006B7078"/>
    <w:rsid w:val="006C119E"/>
    <w:rsid w:val="006C39E1"/>
    <w:rsid w:val="006C3C64"/>
    <w:rsid w:val="006C3E97"/>
    <w:rsid w:val="006C5477"/>
    <w:rsid w:val="006C59D9"/>
    <w:rsid w:val="006C5E86"/>
    <w:rsid w:val="006C5FCE"/>
    <w:rsid w:val="006C60CE"/>
    <w:rsid w:val="006D1488"/>
    <w:rsid w:val="006D1787"/>
    <w:rsid w:val="006D1850"/>
    <w:rsid w:val="006D2C2B"/>
    <w:rsid w:val="006D31BC"/>
    <w:rsid w:val="006D3C01"/>
    <w:rsid w:val="006D44FF"/>
    <w:rsid w:val="006D7DB3"/>
    <w:rsid w:val="006E1E38"/>
    <w:rsid w:val="006E3695"/>
    <w:rsid w:val="006E3DD6"/>
    <w:rsid w:val="006E40BB"/>
    <w:rsid w:val="006E49C2"/>
    <w:rsid w:val="006E5746"/>
    <w:rsid w:val="006E63B8"/>
    <w:rsid w:val="006E6AA7"/>
    <w:rsid w:val="006E6C12"/>
    <w:rsid w:val="006E6FC8"/>
    <w:rsid w:val="006E718B"/>
    <w:rsid w:val="006E73CD"/>
    <w:rsid w:val="006E7EBB"/>
    <w:rsid w:val="006F05DD"/>
    <w:rsid w:val="006F08F6"/>
    <w:rsid w:val="006F0D99"/>
    <w:rsid w:val="006F308D"/>
    <w:rsid w:val="006F3CA9"/>
    <w:rsid w:val="006F4B74"/>
    <w:rsid w:val="006F57E9"/>
    <w:rsid w:val="006F6DBD"/>
    <w:rsid w:val="006F6E45"/>
    <w:rsid w:val="006F7023"/>
    <w:rsid w:val="0070021E"/>
    <w:rsid w:val="007003E4"/>
    <w:rsid w:val="00700993"/>
    <w:rsid w:val="00700E92"/>
    <w:rsid w:val="0070136D"/>
    <w:rsid w:val="00701647"/>
    <w:rsid w:val="00701D53"/>
    <w:rsid w:val="00702A55"/>
    <w:rsid w:val="00704EFD"/>
    <w:rsid w:val="007053E3"/>
    <w:rsid w:val="00707B8F"/>
    <w:rsid w:val="007103B8"/>
    <w:rsid w:val="007118AE"/>
    <w:rsid w:val="0071353A"/>
    <w:rsid w:val="00713546"/>
    <w:rsid w:val="00713A1D"/>
    <w:rsid w:val="00715101"/>
    <w:rsid w:val="00715D08"/>
    <w:rsid w:val="00716523"/>
    <w:rsid w:val="00717766"/>
    <w:rsid w:val="007204AF"/>
    <w:rsid w:val="007207ED"/>
    <w:rsid w:val="00720DC1"/>
    <w:rsid w:val="00721DCF"/>
    <w:rsid w:val="00722C2E"/>
    <w:rsid w:val="00724358"/>
    <w:rsid w:val="00724463"/>
    <w:rsid w:val="00724488"/>
    <w:rsid w:val="007245F6"/>
    <w:rsid w:val="007248C1"/>
    <w:rsid w:val="00724B35"/>
    <w:rsid w:val="00725D0F"/>
    <w:rsid w:val="00725D83"/>
    <w:rsid w:val="00727C5D"/>
    <w:rsid w:val="00730CC4"/>
    <w:rsid w:val="0073162A"/>
    <w:rsid w:val="00731E1B"/>
    <w:rsid w:val="00732122"/>
    <w:rsid w:val="00733A46"/>
    <w:rsid w:val="00733E7B"/>
    <w:rsid w:val="00735EBF"/>
    <w:rsid w:val="00736479"/>
    <w:rsid w:val="00736942"/>
    <w:rsid w:val="007401E1"/>
    <w:rsid w:val="00741B12"/>
    <w:rsid w:val="0074279E"/>
    <w:rsid w:val="007438E3"/>
    <w:rsid w:val="007439FA"/>
    <w:rsid w:val="00743E00"/>
    <w:rsid w:val="00744BCC"/>
    <w:rsid w:val="00750BF4"/>
    <w:rsid w:val="00751663"/>
    <w:rsid w:val="007523B6"/>
    <w:rsid w:val="00753F99"/>
    <w:rsid w:val="00754215"/>
    <w:rsid w:val="00754BBB"/>
    <w:rsid w:val="00754D7F"/>
    <w:rsid w:val="007558A1"/>
    <w:rsid w:val="00755A1C"/>
    <w:rsid w:val="00755B58"/>
    <w:rsid w:val="007566C0"/>
    <w:rsid w:val="00757296"/>
    <w:rsid w:val="00760E2B"/>
    <w:rsid w:val="007629B3"/>
    <w:rsid w:val="007651E8"/>
    <w:rsid w:val="0076576C"/>
    <w:rsid w:val="00767234"/>
    <w:rsid w:val="007677E7"/>
    <w:rsid w:val="007705B6"/>
    <w:rsid w:val="00770D09"/>
    <w:rsid w:val="0077250B"/>
    <w:rsid w:val="00772890"/>
    <w:rsid w:val="007732BB"/>
    <w:rsid w:val="00773552"/>
    <w:rsid w:val="007737EF"/>
    <w:rsid w:val="00773FA1"/>
    <w:rsid w:val="0077433A"/>
    <w:rsid w:val="00775C7A"/>
    <w:rsid w:val="00775E28"/>
    <w:rsid w:val="007765D5"/>
    <w:rsid w:val="00777C1C"/>
    <w:rsid w:val="0078016E"/>
    <w:rsid w:val="0078200B"/>
    <w:rsid w:val="007826E1"/>
    <w:rsid w:val="0078298F"/>
    <w:rsid w:val="00782BCB"/>
    <w:rsid w:val="00784297"/>
    <w:rsid w:val="007848D8"/>
    <w:rsid w:val="00784FEC"/>
    <w:rsid w:val="00785323"/>
    <w:rsid w:val="00786198"/>
    <w:rsid w:val="007865C2"/>
    <w:rsid w:val="00786B86"/>
    <w:rsid w:val="00786BD9"/>
    <w:rsid w:val="007903F6"/>
    <w:rsid w:val="00790BD5"/>
    <w:rsid w:val="00791AA7"/>
    <w:rsid w:val="00792BF1"/>
    <w:rsid w:val="00794488"/>
    <w:rsid w:val="00795624"/>
    <w:rsid w:val="00796206"/>
    <w:rsid w:val="007A04FA"/>
    <w:rsid w:val="007A0DDC"/>
    <w:rsid w:val="007A1E72"/>
    <w:rsid w:val="007A3DD2"/>
    <w:rsid w:val="007A4E5D"/>
    <w:rsid w:val="007A6EE0"/>
    <w:rsid w:val="007A71A7"/>
    <w:rsid w:val="007B17E3"/>
    <w:rsid w:val="007B1B24"/>
    <w:rsid w:val="007B205A"/>
    <w:rsid w:val="007B21D5"/>
    <w:rsid w:val="007B22C5"/>
    <w:rsid w:val="007B2976"/>
    <w:rsid w:val="007B2CC7"/>
    <w:rsid w:val="007B4257"/>
    <w:rsid w:val="007B6A6C"/>
    <w:rsid w:val="007C0BA7"/>
    <w:rsid w:val="007C0BD8"/>
    <w:rsid w:val="007C12C8"/>
    <w:rsid w:val="007C19AC"/>
    <w:rsid w:val="007C1BEF"/>
    <w:rsid w:val="007C1C27"/>
    <w:rsid w:val="007C2D40"/>
    <w:rsid w:val="007C4A72"/>
    <w:rsid w:val="007C5529"/>
    <w:rsid w:val="007C5EB1"/>
    <w:rsid w:val="007C67E4"/>
    <w:rsid w:val="007D0019"/>
    <w:rsid w:val="007D093B"/>
    <w:rsid w:val="007D0CFA"/>
    <w:rsid w:val="007D2091"/>
    <w:rsid w:val="007D240B"/>
    <w:rsid w:val="007D268A"/>
    <w:rsid w:val="007D309A"/>
    <w:rsid w:val="007D5030"/>
    <w:rsid w:val="007D5AA0"/>
    <w:rsid w:val="007D5EDF"/>
    <w:rsid w:val="007E0583"/>
    <w:rsid w:val="007E0586"/>
    <w:rsid w:val="007E08EF"/>
    <w:rsid w:val="007E0986"/>
    <w:rsid w:val="007E1E36"/>
    <w:rsid w:val="007E3FB9"/>
    <w:rsid w:val="007E40C2"/>
    <w:rsid w:val="007E44CA"/>
    <w:rsid w:val="007E53BC"/>
    <w:rsid w:val="007E5CD0"/>
    <w:rsid w:val="007E61AA"/>
    <w:rsid w:val="007F1EE5"/>
    <w:rsid w:val="007F2CDD"/>
    <w:rsid w:val="007F34E6"/>
    <w:rsid w:val="007F3C27"/>
    <w:rsid w:val="007F3C3E"/>
    <w:rsid w:val="007F4C9E"/>
    <w:rsid w:val="007F5531"/>
    <w:rsid w:val="007F5832"/>
    <w:rsid w:val="007F5E96"/>
    <w:rsid w:val="007F5F24"/>
    <w:rsid w:val="007F6082"/>
    <w:rsid w:val="007F7B55"/>
    <w:rsid w:val="0080105B"/>
    <w:rsid w:val="008013E6"/>
    <w:rsid w:val="008031C8"/>
    <w:rsid w:val="00804A2A"/>
    <w:rsid w:val="00804D72"/>
    <w:rsid w:val="00805DEB"/>
    <w:rsid w:val="008065E1"/>
    <w:rsid w:val="0081001A"/>
    <w:rsid w:val="00812F78"/>
    <w:rsid w:val="008138AF"/>
    <w:rsid w:val="00813BA3"/>
    <w:rsid w:val="008149D7"/>
    <w:rsid w:val="008158A0"/>
    <w:rsid w:val="008210B8"/>
    <w:rsid w:val="00823387"/>
    <w:rsid w:val="00823746"/>
    <w:rsid w:val="0082495E"/>
    <w:rsid w:val="00825AF0"/>
    <w:rsid w:val="0082722D"/>
    <w:rsid w:val="0082728A"/>
    <w:rsid w:val="00827BCD"/>
    <w:rsid w:val="008304F9"/>
    <w:rsid w:val="00830539"/>
    <w:rsid w:val="008306AC"/>
    <w:rsid w:val="00830B6F"/>
    <w:rsid w:val="00831B24"/>
    <w:rsid w:val="00832153"/>
    <w:rsid w:val="00832CDE"/>
    <w:rsid w:val="0083313D"/>
    <w:rsid w:val="008336C6"/>
    <w:rsid w:val="008374F9"/>
    <w:rsid w:val="008375F8"/>
    <w:rsid w:val="00837B69"/>
    <w:rsid w:val="008406B4"/>
    <w:rsid w:val="00840BBC"/>
    <w:rsid w:val="00842E4F"/>
    <w:rsid w:val="00843000"/>
    <w:rsid w:val="00843BFB"/>
    <w:rsid w:val="00844617"/>
    <w:rsid w:val="008449FB"/>
    <w:rsid w:val="00844B1B"/>
    <w:rsid w:val="00845095"/>
    <w:rsid w:val="00846F07"/>
    <w:rsid w:val="00847685"/>
    <w:rsid w:val="008477A6"/>
    <w:rsid w:val="00852530"/>
    <w:rsid w:val="00852572"/>
    <w:rsid w:val="008532F2"/>
    <w:rsid w:val="0085519A"/>
    <w:rsid w:val="00855536"/>
    <w:rsid w:val="008570D8"/>
    <w:rsid w:val="00857185"/>
    <w:rsid w:val="00857DF2"/>
    <w:rsid w:val="008608C9"/>
    <w:rsid w:val="00860E34"/>
    <w:rsid w:val="00861BA3"/>
    <w:rsid w:val="0086216B"/>
    <w:rsid w:val="008629D9"/>
    <w:rsid w:val="008639E1"/>
    <w:rsid w:val="00863CBF"/>
    <w:rsid w:val="00865195"/>
    <w:rsid w:val="00865322"/>
    <w:rsid w:val="008653C7"/>
    <w:rsid w:val="00866AC3"/>
    <w:rsid w:val="00867D2A"/>
    <w:rsid w:val="008701BA"/>
    <w:rsid w:val="00872327"/>
    <w:rsid w:val="00873610"/>
    <w:rsid w:val="0087483E"/>
    <w:rsid w:val="008759F5"/>
    <w:rsid w:val="00875A98"/>
    <w:rsid w:val="0087691C"/>
    <w:rsid w:val="00877007"/>
    <w:rsid w:val="00877726"/>
    <w:rsid w:val="00881DAD"/>
    <w:rsid w:val="00881F7B"/>
    <w:rsid w:val="00883869"/>
    <w:rsid w:val="00883D92"/>
    <w:rsid w:val="008844B1"/>
    <w:rsid w:val="00885869"/>
    <w:rsid w:val="00885C3D"/>
    <w:rsid w:val="00885CD0"/>
    <w:rsid w:val="0088602F"/>
    <w:rsid w:val="008907E7"/>
    <w:rsid w:val="0089081C"/>
    <w:rsid w:val="00890FE2"/>
    <w:rsid w:val="00891B03"/>
    <w:rsid w:val="00892A8B"/>
    <w:rsid w:val="00892AFC"/>
    <w:rsid w:val="00892D1D"/>
    <w:rsid w:val="0089317A"/>
    <w:rsid w:val="00894236"/>
    <w:rsid w:val="00894B81"/>
    <w:rsid w:val="00894C0E"/>
    <w:rsid w:val="00894CF6"/>
    <w:rsid w:val="008952C7"/>
    <w:rsid w:val="008953E2"/>
    <w:rsid w:val="008974BB"/>
    <w:rsid w:val="008976B3"/>
    <w:rsid w:val="008A05F4"/>
    <w:rsid w:val="008A0CEE"/>
    <w:rsid w:val="008A1794"/>
    <w:rsid w:val="008A1DC3"/>
    <w:rsid w:val="008A2375"/>
    <w:rsid w:val="008A2A58"/>
    <w:rsid w:val="008A65E9"/>
    <w:rsid w:val="008A6DA6"/>
    <w:rsid w:val="008A6DD9"/>
    <w:rsid w:val="008A7328"/>
    <w:rsid w:val="008B0828"/>
    <w:rsid w:val="008B09BA"/>
    <w:rsid w:val="008B0AEF"/>
    <w:rsid w:val="008B0D41"/>
    <w:rsid w:val="008B19C7"/>
    <w:rsid w:val="008B2DEA"/>
    <w:rsid w:val="008B3C9A"/>
    <w:rsid w:val="008B662C"/>
    <w:rsid w:val="008B76D4"/>
    <w:rsid w:val="008C1628"/>
    <w:rsid w:val="008C170E"/>
    <w:rsid w:val="008C19C4"/>
    <w:rsid w:val="008C2BC9"/>
    <w:rsid w:val="008C4F31"/>
    <w:rsid w:val="008C570A"/>
    <w:rsid w:val="008C661E"/>
    <w:rsid w:val="008C7092"/>
    <w:rsid w:val="008C7284"/>
    <w:rsid w:val="008D0297"/>
    <w:rsid w:val="008D127D"/>
    <w:rsid w:val="008D201F"/>
    <w:rsid w:val="008D2088"/>
    <w:rsid w:val="008D26B6"/>
    <w:rsid w:val="008D3A83"/>
    <w:rsid w:val="008D4DE3"/>
    <w:rsid w:val="008D60B1"/>
    <w:rsid w:val="008D655B"/>
    <w:rsid w:val="008D677B"/>
    <w:rsid w:val="008D79D3"/>
    <w:rsid w:val="008E12B9"/>
    <w:rsid w:val="008E4754"/>
    <w:rsid w:val="008E63E5"/>
    <w:rsid w:val="008E67FE"/>
    <w:rsid w:val="008E6B85"/>
    <w:rsid w:val="008E6CC7"/>
    <w:rsid w:val="008E7A97"/>
    <w:rsid w:val="008F13BE"/>
    <w:rsid w:val="008F1723"/>
    <w:rsid w:val="008F18D3"/>
    <w:rsid w:val="008F19FE"/>
    <w:rsid w:val="008F31F0"/>
    <w:rsid w:val="008F3CC4"/>
    <w:rsid w:val="008F6C27"/>
    <w:rsid w:val="0090025C"/>
    <w:rsid w:val="00900592"/>
    <w:rsid w:val="00900C80"/>
    <w:rsid w:val="00901036"/>
    <w:rsid w:val="00902205"/>
    <w:rsid w:val="009026A7"/>
    <w:rsid w:val="00905C10"/>
    <w:rsid w:val="0090669D"/>
    <w:rsid w:val="0090796F"/>
    <w:rsid w:val="00907A27"/>
    <w:rsid w:val="00910265"/>
    <w:rsid w:val="00910B20"/>
    <w:rsid w:val="00911A6C"/>
    <w:rsid w:val="00912239"/>
    <w:rsid w:val="00912C70"/>
    <w:rsid w:val="009135EA"/>
    <w:rsid w:val="009139E3"/>
    <w:rsid w:val="00913B17"/>
    <w:rsid w:val="00914E02"/>
    <w:rsid w:val="0091519F"/>
    <w:rsid w:val="00915613"/>
    <w:rsid w:val="00915686"/>
    <w:rsid w:val="00915DC0"/>
    <w:rsid w:val="009168B0"/>
    <w:rsid w:val="00916A75"/>
    <w:rsid w:val="00917465"/>
    <w:rsid w:val="0091786E"/>
    <w:rsid w:val="0092046A"/>
    <w:rsid w:val="00921611"/>
    <w:rsid w:val="00921847"/>
    <w:rsid w:val="009233AC"/>
    <w:rsid w:val="009248FB"/>
    <w:rsid w:val="00924A6A"/>
    <w:rsid w:val="009253C3"/>
    <w:rsid w:val="00926660"/>
    <w:rsid w:val="009269FE"/>
    <w:rsid w:val="00927E6E"/>
    <w:rsid w:val="00930E09"/>
    <w:rsid w:val="00933C3C"/>
    <w:rsid w:val="009340A4"/>
    <w:rsid w:val="009349F5"/>
    <w:rsid w:val="00935044"/>
    <w:rsid w:val="009410E2"/>
    <w:rsid w:val="00941286"/>
    <w:rsid w:val="009415BE"/>
    <w:rsid w:val="00942ABD"/>
    <w:rsid w:val="00942E81"/>
    <w:rsid w:val="00943D46"/>
    <w:rsid w:val="00944335"/>
    <w:rsid w:val="0094516C"/>
    <w:rsid w:val="009476CC"/>
    <w:rsid w:val="00947D0D"/>
    <w:rsid w:val="00947FC9"/>
    <w:rsid w:val="00950544"/>
    <w:rsid w:val="009510AA"/>
    <w:rsid w:val="00953C2F"/>
    <w:rsid w:val="00954235"/>
    <w:rsid w:val="0095502C"/>
    <w:rsid w:val="00955F76"/>
    <w:rsid w:val="00956E32"/>
    <w:rsid w:val="0095716B"/>
    <w:rsid w:val="00960239"/>
    <w:rsid w:val="009606D6"/>
    <w:rsid w:val="00962EE4"/>
    <w:rsid w:val="00963511"/>
    <w:rsid w:val="0096381C"/>
    <w:rsid w:val="00964DF6"/>
    <w:rsid w:val="009663AF"/>
    <w:rsid w:val="00966BB2"/>
    <w:rsid w:val="009671CC"/>
    <w:rsid w:val="00971B97"/>
    <w:rsid w:val="0097273C"/>
    <w:rsid w:val="009727B8"/>
    <w:rsid w:val="00973AC0"/>
    <w:rsid w:val="00974B34"/>
    <w:rsid w:val="00974D86"/>
    <w:rsid w:val="00975A17"/>
    <w:rsid w:val="009760CB"/>
    <w:rsid w:val="0097634D"/>
    <w:rsid w:val="009767D2"/>
    <w:rsid w:val="0097693D"/>
    <w:rsid w:val="00976C54"/>
    <w:rsid w:val="00976E62"/>
    <w:rsid w:val="00977044"/>
    <w:rsid w:val="0097718F"/>
    <w:rsid w:val="00977B7A"/>
    <w:rsid w:val="00980817"/>
    <w:rsid w:val="00980CCB"/>
    <w:rsid w:val="009816CD"/>
    <w:rsid w:val="009827E5"/>
    <w:rsid w:val="00982D5D"/>
    <w:rsid w:val="00982F6F"/>
    <w:rsid w:val="00983DB0"/>
    <w:rsid w:val="00984EA9"/>
    <w:rsid w:val="009878F9"/>
    <w:rsid w:val="00990110"/>
    <w:rsid w:val="00991182"/>
    <w:rsid w:val="009913C7"/>
    <w:rsid w:val="00994022"/>
    <w:rsid w:val="00994E2B"/>
    <w:rsid w:val="00995049"/>
    <w:rsid w:val="00995140"/>
    <w:rsid w:val="0099577F"/>
    <w:rsid w:val="00995BCC"/>
    <w:rsid w:val="009961A0"/>
    <w:rsid w:val="00996B09"/>
    <w:rsid w:val="00996D51"/>
    <w:rsid w:val="009A0135"/>
    <w:rsid w:val="009A14CE"/>
    <w:rsid w:val="009A2407"/>
    <w:rsid w:val="009A4248"/>
    <w:rsid w:val="009A45F5"/>
    <w:rsid w:val="009A4C1A"/>
    <w:rsid w:val="009A5874"/>
    <w:rsid w:val="009A5DC1"/>
    <w:rsid w:val="009A6167"/>
    <w:rsid w:val="009A7E3F"/>
    <w:rsid w:val="009B0BB1"/>
    <w:rsid w:val="009B0DDE"/>
    <w:rsid w:val="009B10A1"/>
    <w:rsid w:val="009B1867"/>
    <w:rsid w:val="009B2CCC"/>
    <w:rsid w:val="009B3AFB"/>
    <w:rsid w:val="009B4435"/>
    <w:rsid w:val="009B454A"/>
    <w:rsid w:val="009B5CA0"/>
    <w:rsid w:val="009B5D9D"/>
    <w:rsid w:val="009B66AF"/>
    <w:rsid w:val="009B6DA2"/>
    <w:rsid w:val="009B6DD3"/>
    <w:rsid w:val="009C33C5"/>
    <w:rsid w:val="009C4441"/>
    <w:rsid w:val="009C51B3"/>
    <w:rsid w:val="009C6A6C"/>
    <w:rsid w:val="009C6F8D"/>
    <w:rsid w:val="009D11FC"/>
    <w:rsid w:val="009D1F55"/>
    <w:rsid w:val="009D2241"/>
    <w:rsid w:val="009D2352"/>
    <w:rsid w:val="009D32F9"/>
    <w:rsid w:val="009D491D"/>
    <w:rsid w:val="009D4D50"/>
    <w:rsid w:val="009D70D5"/>
    <w:rsid w:val="009D74D2"/>
    <w:rsid w:val="009D7955"/>
    <w:rsid w:val="009E0032"/>
    <w:rsid w:val="009E0627"/>
    <w:rsid w:val="009E2273"/>
    <w:rsid w:val="009E3D59"/>
    <w:rsid w:val="009E3D6B"/>
    <w:rsid w:val="009E3F09"/>
    <w:rsid w:val="009E43CD"/>
    <w:rsid w:val="009E53D5"/>
    <w:rsid w:val="009E54A7"/>
    <w:rsid w:val="009E59BB"/>
    <w:rsid w:val="009E69F8"/>
    <w:rsid w:val="009F02C8"/>
    <w:rsid w:val="009F040D"/>
    <w:rsid w:val="009F07D7"/>
    <w:rsid w:val="009F1DCF"/>
    <w:rsid w:val="009F231B"/>
    <w:rsid w:val="009F48E8"/>
    <w:rsid w:val="009F499A"/>
    <w:rsid w:val="009F51CC"/>
    <w:rsid w:val="009F52B2"/>
    <w:rsid w:val="009F5966"/>
    <w:rsid w:val="009F760E"/>
    <w:rsid w:val="009F79AA"/>
    <w:rsid w:val="00A00206"/>
    <w:rsid w:val="00A00B36"/>
    <w:rsid w:val="00A03043"/>
    <w:rsid w:val="00A03710"/>
    <w:rsid w:val="00A03BC8"/>
    <w:rsid w:val="00A03FF4"/>
    <w:rsid w:val="00A0467F"/>
    <w:rsid w:val="00A04B97"/>
    <w:rsid w:val="00A04C15"/>
    <w:rsid w:val="00A0505D"/>
    <w:rsid w:val="00A05469"/>
    <w:rsid w:val="00A059A3"/>
    <w:rsid w:val="00A06963"/>
    <w:rsid w:val="00A06E91"/>
    <w:rsid w:val="00A06EA8"/>
    <w:rsid w:val="00A07295"/>
    <w:rsid w:val="00A10B64"/>
    <w:rsid w:val="00A11A2E"/>
    <w:rsid w:val="00A1298D"/>
    <w:rsid w:val="00A1410C"/>
    <w:rsid w:val="00A149A0"/>
    <w:rsid w:val="00A14A4B"/>
    <w:rsid w:val="00A14A52"/>
    <w:rsid w:val="00A15A11"/>
    <w:rsid w:val="00A15E94"/>
    <w:rsid w:val="00A17DEF"/>
    <w:rsid w:val="00A20384"/>
    <w:rsid w:val="00A20DE1"/>
    <w:rsid w:val="00A21160"/>
    <w:rsid w:val="00A222CA"/>
    <w:rsid w:val="00A225E6"/>
    <w:rsid w:val="00A230CD"/>
    <w:rsid w:val="00A23312"/>
    <w:rsid w:val="00A23491"/>
    <w:rsid w:val="00A24426"/>
    <w:rsid w:val="00A26051"/>
    <w:rsid w:val="00A27B92"/>
    <w:rsid w:val="00A30469"/>
    <w:rsid w:val="00A309AB"/>
    <w:rsid w:val="00A3181C"/>
    <w:rsid w:val="00A32330"/>
    <w:rsid w:val="00A33361"/>
    <w:rsid w:val="00A33472"/>
    <w:rsid w:val="00A338A0"/>
    <w:rsid w:val="00A33D38"/>
    <w:rsid w:val="00A348A5"/>
    <w:rsid w:val="00A34A1A"/>
    <w:rsid w:val="00A34C55"/>
    <w:rsid w:val="00A355B0"/>
    <w:rsid w:val="00A36092"/>
    <w:rsid w:val="00A379EE"/>
    <w:rsid w:val="00A37CB5"/>
    <w:rsid w:val="00A4001E"/>
    <w:rsid w:val="00A40B36"/>
    <w:rsid w:val="00A42BA2"/>
    <w:rsid w:val="00A4470E"/>
    <w:rsid w:val="00A44C76"/>
    <w:rsid w:val="00A45626"/>
    <w:rsid w:val="00A47996"/>
    <w:rsid w:val="00A508C8"/>
    <w:rsid w:val="00A50CBF"/>
    <w:rsid w:val="00A512FD"/>
    <w:rsid w:val="00A51D23"/>
    <w:rsid w:val="00A53019"/>
    <w:rsid w:val="00A53ECE"/>
    <w:rsid w:val="00A55888"/>
    <w:rsid w:val="00A55D39"/>
    <w:rsid w:val="00A567A8"/>
    <w:rsid w:val="00A56EE5"/>
    <w:rsid w:val="00A57282"/>
    <w:rsid w:val="00A577C7"/>
    <w:rsid w:val="00A5794D"/>
    <w:rsid w:val="00A57FAC"/>
    <w:rsid w:val="00A60084"/>
    <w:rsid w:val="00A60AAF"/>
    <w:rsid w:val="00A6458B"/>
    <w:rsid w:val="00A647CF"/>
    <w:rsid w:val="00A64864"/>
    <w:rsid w:val="00A65644"/>
    <w:rsid w:val="00A65660"/>
    <w:rsid w:val="00A65915"/>
    <w:rsid w:val="00A66985"/>
    <w:rsid w:val="00A72146"/>
    <w:rsid w:val="00A732AF"/>
    <w:rsid w:val="00A73FBA"/>
    <w:rsid w:val="00A74173"/>
    <w:rsid w:val="00A74344"/>
    <w:rsid w:val="00A7435C"/>
    <w:rsid w:val="00A75C86"/>
    <w:rsid w:val="00A7628C"/>
    <w:rsid w:val="00A77E4B"/>
    <w:rsid w:val="00A77F65"/>
    <w:rsid w:val="00A801B9"/>
    <w:rsid w:val="00A81C92"/>
    <w:rsid w:val="00A83D10"/>
    <w:rsid w:val="00A8433F"/>
    <w:rsid w:val="00A85123"/>
    <w:rsid w:val="00A857E4"/>
    <w:rsid w:val="00A86681"/>
    <w:rsid w:val="00A9105B"/>
    <w:rsid w:val="00A91179"/>
    <w:rsid w:val="00A92513"/>
    <w:rsid w:val="00A94A37"/>
    <w:rsid w:val="00A956A7"/>
    <w:rsid w:val="00A958CB"/>
    <w:rsid w:val="00A97133"/>
    <w:rsid w:val="00A97D41"/>
    <w:rsid w:val="00AA0B43"/>
    <w:rsid w:val="00AA1FAF"/>
    <w:rsid w:val="00AA289F"/>
    <w:rsid w:val="00AA293A"/>
    <w:rsid w:val="00AA3236"/>
    <w:rsid w:val="00AA47DC"/>
    <w:rsid w:val="00AA4E06"/>
    <w:rsid w:val="00AA5267"/>
    <w:rsid w:val="00AA6198"/>
    <w:rsid w:val="00AA6F0E"/>
    <w:rsid w:val="00AA7BED"/>
    <w:rsid w:val="00AB04D5"/>
    <w:rsid w:val="00AB07BB"/>
    <w:rsid w:val="00AB0FAF"/>
    <w:rsid w:val="00AB1193"/>
    <w:rsid w:val="00AB28E1"/>
    <w:rsid w:val="00AB6CF3"/>
    <w:rsid w:val="00AB6E9A"/>
    <w:rsid w:val="00AB6F57"/>
    <w:rsid w:val="00AC0650"/>
    <w:rsid w:val="00AC1BCA"/>
    <w:rsid w:val="00AC2232"/>
    <w:rsid w:val="00AC2C39"/>
    <w:rsid w:val="00AC3576"/>
    <w:rsid w:val="00AC3802"/>
    <w:rsid w:val="00AC38CE"/>
    <w:rsid w:val="00AC3A36"/>
    <w:rsid w:val="00AC4555"/>
    <w:rsid w:val="00AC5646"/>
    <w:rsid w:val="00AC5721"/>
    <w:rsid w:val="00AC626D"/>
    <w:rsid w:val="00AC6302"/>
    <w:rsid w:val="00AC6F63"/>
    <w:rsid w:val="00AD20BE"/>
    <w:rsid w:val="00AD3603"/>
    <w:rsid w:val="00AD5747"/>
    <w:rsid w:val="00AD58A2"/>
    <w:rsid w:val="00AD5ECF"/>
    <w:rsid w:val="00AD7084"/>
    <w:rsid w:val="00AE12C0"/>
    <w:rsid w:val="00AE12EA"/>
    <w:rsid w:val="00AE1859"/>
    <w:rsid w:val="00AE1C42"/>
    <w:rsid w:val="00AE2214"/>
    <w:rsid w:val="00AE2A29"/>
    <w:rsid w:val="00AE2CF5"/>
    <w:rsid w:val="00AE423C"/>
    <w:rsid w:val="00AE4BC9"/>
    <w:rsid w:val="00AE4F27"/>
    <w:rsid w:val="00AE56D4"/>
    <w:rsid w:val="00AE7179"/>
    <w:rsid w:val="00AF0C1D"/>
    <w:rsid w:val="00AF111B"/>
    <w:rsid w:val="00AF2029"/>
    <w:rsid w:val="00AF3C1C"/>
    <w:rsid w:val="00AF3DBD"/>
    <w:rsid w:val="00AF3E3A"/>
    <w:rsid w:val="00AF6580"/>
    <w:rsid w:val="00AF6B1F"/>
    <w:rsid w:val="00AF70B2"/>
    <w:rsid w:val="00AF756E"/>
    <w:rsid w:val="00AF7EF7"/>
    <w:rsid w:val="00B00067"/>
    <w:rsid w:val="00B00573"/>
    <w:rsid w:val="00B00B28"/>
    <w:rsid w:val="00B013D0"/>
    <w:rsid w:val="00B05194"/>
    <w:rsid w:val="00B051DA"/>
    <w:rsid w:val="00B05B9B"/>
    <w:rsid w:val="00B06C91"/>
    <w:rsid w:val="00B10822"/>
    <w:rsid w:val="00B11D7D"/>
    <w:rsid w:val="00B12C20"/>
    <w:rsid w:val="00B12CD9"/>
    <w:rsid w:val="00B14177"/>
    <w:rsid w:val="00B1441F"/>
    <w:rsid w:val="00B14B94"/>
    <w:rsid w:val="00B15EBF"/>
    <w:rsid w:val="00B17059"/>
    <w:rsid w:val="00B20426"/>
    <w:rsid w:val="00B21234"/>
    <w:rsid w:val="00B226E7"/>
    <w:rsid w:val="00B22CFD"/>
    <w:rsid w:val="00B2326E"/>
    <w:rsid w:val="00B2334A"/>
    <w:rsid w:val="00B23ADE"/>
    <w:rsid w:val="00B23EFA"/>
    <w:rsid w:val="00B23F0A"/>
    <w:rsid w:val="00B2424A"/>
    <w:rsid w:val="00B24E6F"/>
    <w:rsid w:val="00B2627D"/>
    <w:rsid w:val="00B30570"/>
    <w:rsid w:val="00B30709"/>
    <w:rsid w:val="00B314D7"/>
    <w:rsid w:val="00B318B5"/>
    <w:rsid w:val="00B31CBA"/>
    <w:rsid w:val="00B31CF4"/>
    <w:rsid w:val="00B34FBD"/>
    <w:rsid w:val="00B35919"/>
    <w:rsid w:val="00B35C2D"/>
    <w:rsid w:val="00B35F51"/>
    <w:rsid w:val="00B36315"/>
    <w:rsid w:val="00B368EE"/>
    <w:rsid w:val="00B430AD"/>
    <w:rsid w:val="00B44B47"/>
    <w:rsid w:val="00B45072"/>
    <w:rsid w:val="00B45DBA"/>
    <w:rsid w:val="00B46A7E"/>
    <w:rsid w:val="00B47388"/>
    <w:rsid w:val="00B521DC"/>
    <w:rsid w:val="00B52303"/>
    <w:rsid w:val="00B52307"/>
    <w:rsid w:val="00B53937"/>
    <w:rsid w:val="00B53D80"/>
    <w:rsid w:val="00B54599"/>
    <w:rsid w:val="00B54630"/>
    <w:rsid w:val="00B55F79"/>
    <w:rsid w:val="00B57D73"/>
    <w:rsid w:val="00B57E64"/>
    <w:rsid w:val="00B601B3"/>
    <w:rsid w:val="00B602A3"/>
    <w:rsid w:val="00B61819"/>
    <w:rsid w:val="00B622EA"/>
    <w:rsid w:val="00B63293"/>
    <w:rsid w:val="00B65752"/>
    <w:rsid w:val="00B65CE1"/>
    <w:rsid w:val="00B66CAB"/>
    <w:rsid w:val="00B6703C"/>
    <w:rsid w:val="00B67997"/>
    <w:rsid w:val="00B70436"/>
    <w:rsid w:val="00B70497"/>
    <w:rsid w:val="00B725E8"/>
    <w:rsid w:val="00B7331F"/>
    <w:rsid w:val="00B73446"/>
    <w:rsid w:val="00B740CB"/>
    <w:rsid w:val="00B74C69"/>
    <w:rsid w:val="00B7634B"/>
    <w:rsid w:val="00B76BBD"/>
    <w:rsid w:val="00B7706E"/>
    <w:rsid w:val="00B8042C"/>
    <w:rsid w:val="00B81BC3"/>
    <w:rsid w:val="00B826E7"/>
    <w:rsid w:val="00B82DC6"/>
    <w:rsid w:val="00B83CC3"/>
    <w:rsid w:val="00B84C83"/>
    <w:rsid w:val="00B85518"/>
    <w:rsid w:val="00B85F65"/>
    <w:rsid w:val="00B861DD"/>
    <w:rsid w:val="00B8667D"/>
    <w:rsid w:val="00B868F6"/>
    <w:rsid w:val="00B874D9"/>
    <w:rsid w:val="00B90C72"/>
    <w:rsid w:val="00B91242"/>
    <w:rsid w:val="00B91586"/>
    <w:rsid w:val="00B91950"/>
    <w:rsid w:val="00B91D25"/>
    <w:rsid w:val="00B94553"/>
    <w:rsid w:val="00B94C03"/>
    <w:rsid w:val="00B95971"/>
    <w:rsid w:val="00B96283"/>
    <w:rsid w:val="00B96B6A"/>
    <w:rsid w:val="00BA0518"/>
    <w:rsid w:val="00BA0817"/>
    <w:rsid w:val="00BA1E55"/>
    <w:rsid w:val="00BA2EE0"/>
    <w:rsid w:val="00BA3BFE"/>
    <w:rsid w:val="00BA7BB3"/>
    <w:rsid w:val="00BB07CB"/>
    <w:rsid w:val="00BB53A3"/>
    <w:rsid w:val="00BB5AD8"/>
    <w:rsid w:val="00BB6DF4"/>
    <w:rsid w:val="00BC0A0B"/>
    <w:rsid w:val="00BC169B"/>
    <w:rsid w:val="00BC16AE"/>
    <w:rsid w:val="00BC18E2"/>
    <w:rsid w:val="00BC2425"/>
    <w:rsid w:val="00BC252D"/>
    <w:rsid w:val="00BC2601"/>
    <w:rsid w:val="00BC2D1F"/>
    <w:rsid w:val="00BC4028"/>
    <w:rsid w:val="00BC46DD"/>
    <w:rsid w:val="00BC4738"/>
    <w:rsid w:val="00BC5F0D"/>
    <w:rsid w:val="00BC6BD0"/>
    <w:rsid w:val="00BC702F"/>
    <w:rsid w:val="00BD051E"/>
    <w:rsid w:val="00BD0846"/>
    <w:rsid w:val="00BD0B1B"/>
    <w:rsid w:val="00BD1900"/>
    <w:rsid w:val="00BD2FBB"/>
    <w:rsid w:val="00BD3AEF"/>
    <w:rsid w:val="00BD40C5"/>
    <w:rsid w:val="00BD42BD"/>
    <w:rsid w:val="00BD489E"/>
    <w:rsid w:val="00BD5154"/>
    <w:rsid w:val="00BD52C3"/>
    <w:rsid w:val="00BD56DE"/>
    <w:rsid w:val="00BE06A8"/>
    <w:rsid w:val="00BE0F21"/>
    <w:rsid w:val="00BE1588"/>
    <w:rsid w:val="00BE1909"/>
    <w:rsid w:val="00BE2783"/>
    <w:rsid w:val="00BE4435"/>
    <w:rsid w:val="00BE4531"/>
    <w:rsid w:val="00BE60D5"/>
    <w:rsid w:val="00BE677B"/>
    <w:rsid w:val="00BE6880"/>
    <w:rsid w:val="00BE6969"/>
    <w:rsid w:val="00BE7279"/>
    <w:rsid w:val="00BE74AA"/>
    <w:rsid w:val="00BF091D"/>
    <w:rsid w:val="00BF0E20"/>
    <w:rsid w:val="00BF13DB"/>
    <w:rsid w:val="00BF28C5"/>
    <w:rsid w:val="00BF3AC6"/>
    <w:rsid w:val="00BF4B21"/>
    <w:rsid w:val="00BF521C"/>
    <w:rsid w:val="00BF5734"/>
    <w:rsid w:val="00BF5C15"/>
    <w:rsid w:val="00BF5C85"/>
    <w:rsid w:val="00BF5CF3"/>
    <w:rsid w:val="00BF732F"/>
    <w:rsid w:val="00C0077C"/>
    <w:rsid w:val="00C008DD"/>
    <w:rsid w:val="00C0118B"/>
    <w:rsid w:val="00C017E0"/>
    <w:rsid w:val="00C0262A"/>
    <w:rsid w:val="00C031D9"/>
    <w:rsid w:val="00C03362"/>
    <w:rsid w:val="00C05481"/>
    <w:rsid w:val="00C061A7"/>
    <w:rsid w:val="00C06DA5"/>
    <w:rsid w:val="00C06E1D"/>
    <w:rsid w:val="00C07A3C"/>
    <w:rsid w:val="00C07E68"/>
    <w:rsid w:val="00C11BE8"/>
    <w:rsid w:val="00C15C3B"/>
    <w:rsid w:val="00C15FC4"/>
    <w:rsid w:val="00C1647F"/>
    <w:rsid w:val="00C20EB6"/>
    <w:rsid w:val="00C210AD"/>
    <w:rsid w:val="00C213C7"/>
    <w:rsid w:val="00C215FD"/>
    <w:rsid w:val="00C22653"/>
    <w:rsid w:val="00C2382C"/>
    <w:rsid w:val="00C244D7"/>
    <w:rsid w:val="00C247F2"/>
    <w:rsid w:val="00C25234"/>
    <w:rsid w:val="00C2533E"/>
    <w:rsid w:val="00C27286"/>
    <w:rsid w:val="00C30701"/>
    <w:rsid w:val="00C312A9"/>
    <w:rsid w:val="00C31AD1"/>
    <w:rsid w:val="00C3387F"/>
    <w:rsid w:val="00C36F8F"/>
    <w:rsid w:val="00C3749A"/>
    <w:rsid w:val="00C37ED8"/>
    <w:rsid w:val="00C403B9"/>
    <w:rsid w:val="00C40730"/>
    <w:rsid w:val="00C40C5E"/>
    <w:rsid w:val="00C410EE"/>
    <w:rsid w:val="00C428B8"/>
    <w:rsid w:val="00C428E7"/>
    <w:rsid w:val="00C4428A"/>
    <w:rsid w:val="00C452B2"/>
    <w:rsid w:val="00C46C6D"/>
    <w:rsid w:val="00C47223"/>
    <w:rsid w:val="00C47841"/>
    <w:rsid w:val="00C47C21"/>
    <w:rsid w:val="00C50267"/>
    <w:rsid w:val="00C507A3"/>
    <w:rsid w:val="00C50A5F"/>
    <w:rsid w:val="00C516D6"/>
    <w:rsid w:val="00C517F6"/>
    <w:rsid w:val="00C51B74"/>
    <w:rsid w:val="00C51D19"/>
    <w:rsid w:val="00C52C10"/>
    <w:rsid w:val="00C537E2"/>
    <w:rsid w:val="00C5386C"/>
    <w:rsid w:val="00C5506D"/>
    <w:rsid w:val="00C5534A"/>
    <w:rsid w:val="00C559A7"/>
    <w:rsid w:val="00C563DD"/>
    <w:rsid w:val="00C56A8A"/>
    <w:rsid w:val="00C56D59"/>
    <w:rsid w:val="00C57242"/>
    <w:rsid w:val="00C574BD"/>
    <w:rsid w:val="00C57E18"/>
    <w:rsid w:val="00C618E0"/>
    <w:rsid w:val="00C61A3B"/>
    <w:rsid w:val="00C61DFF"/>
    <w:rsid w:val="00C62378"/>
    <w:rsid w:val="00C624B4"/>
    <w:rsid w:val="00C62DB2"/>
    <w:rsid w:val="00C632CA"/>
    <w:rsid w:val="00C63536"/>
    <w:rsid w:val="00C647AA"/>
    <w:rsid w:val="00C65587"/>
    <w:rsid w:val="00C6687A"/>
    <w:rsid w:val="00C67A5E"/>
    <w:rsid w:val="00C67B90"/>
    <w:rsid w:val="00C717B3"/>
    <w:rsid w:val="00C72EFF"/>
    <w:rsid w:val="00C72F59"/>
    <w:rsid w:val="00C73BCF"/>
    <w:rsid w:val="00C75E8B"/>
    <w:rsid w:val="00C803E1"/>
    <w:rsid w:val="00C80C8F"/>
    <w:rsid w:val="00C81C4A"/>
    <w:rsid w:val="00C82492"/>
    <w:rsid w:val="00C82F41"/>
    <w:rsid w:val="00C8322D"/>
    <w:rsid w:val="00C835AD"/>
    <w:rsid w:val="00C83A1D"/>
    <w:rsid w:val="00C847EF"/>
    <w:rsid w:val="00C84A09"/>
    <w:rsid w:val="00C856E0"/>
    <w:rsid w:val="00C85EA1"/>
    <w:rsid w:val="00C865B3"/>
    <w:rsid w:val="00C8766C"/>
    <w:rsid w:val="00C87819"/>
    <w:rsid w:val="00C90532"/>
    <w:rsid w:val="00C90D1E"/>
    <w:rsid w:val="00C92895"/>
    <w:rsid w:val="00C92CB0"/>
    <w:rsid w:val="00C94554"/>
    <w:rsid w:val="00C94C22"/>
    <w:rsid w:val="00C94F85"/>
    <w:rsid w:val="00CA0384"/>
    <w:rsid w:val="00CA07B2"/>
    <w:rsid w:val="00CA0A25"/>
    <w:rsid w:val="00CA0FEA"/>
    <w:rsid w:val="00CA107D"/>
    <w:rsid w:val="00CA1BC1"/>
    <w:rsid w:val="00CA214D"/>
    <w:rsid w:val="00CA289B"/>
    <w:rsid w:val="00CA347E"/>
    <w:rsid w:val="00CA44BB"/>
    <w:rsid w:val="00CA5AD2"/>
    <w:rsid w:val="00CA7442"/>
    <w:rsid w:val="00CA7948"/>
    <w:rsid w:val="00CA799F"/>
    <w:rsid w:val="00CB0C2D"/>
    <w:rsid w:val="00CB16A0"/>
    <w:rsid w:val="00CB2B74"/>
    <w:rsid w:val="00CB43D9"/>
    <w:rsid w:val="00CB703A"/>
    <w:rsid w:val="00CB7871"/>
    <w:rsid w:val="00CB78F7"/>
    <w:rsid w:val="00CB7AE0"/>
    <w:rsid w:val="00CC0400"/>
    <w:rsid w:val="00CC05B1"/>
    <w:rsid w:val="00CC07DD"/>
    <w:rsid w:val="00CC113E"/>
    <w:rsid w:val="00CC229F"/>
    <w:rsid w:val="00CC3186"/>
    <w:rsid w:val="00CC34B7"/>
    <w:rsid w:val="00CC3D9C"/>
    <w:rsid w:val="00CC4BE4"/>
    <w:rsid w:val="00CC6004"/>
    <w:rsid w:val="00CC6DCF"/>
    <w:rsid w:val="00CC745A"/>
    <w:rsid w:val="00CC7E71"/>
    <w:rsid w:val="00CD04E1"/>
    <w:rsid w:val="00CD13FC"/>
    <w:rsid w:val="00CD1AE4"/>
    <w:rsid w:val="00CD3CD9"/>
    <w:rsid w:val="00CD3E75"/>
    <w:rsid w:val="00CD4546"/>
    <w:rsid w:val="00CD4828"/>
    <w:rsid w:val="00CD598C"/>
    <w:rsid w:val="00CD616F"/>
    <w:rsid w:val="00CD68FF"/>
    <w:rsid w:val="00CD6F3B"/>
    <w:rsid w:val="00CE0F7E"/>
    <w:rsid w:val="00CE1505"/>
    <w:rsid w:val="00CE1B84"/>
    <w:rsid w:val="00CE1D94"/>
    <w:rsid w:val="00CE2164"/>
    <w:rsid w:val="00CE26EF"/>
    <w:rsid w:val="00CE270A"/>
    <w:rsid w:val="00CE274D"/>
    <w:rsid w:val="00CE2BC6"/>
    <w:rsid w:val="00CE2FE4"/>
    <w:rsid w:val="00CE40A8"/>
    <w:rsid w:val="00CE433A"/>
    <w:rsid w:val="00CE6834"/>
    <w:rsid w:val="00CF1017"/>
    <w:rsid w:val="00CF105E"/>
    <w:rsid w:val="00CF23BD"/>
    <w:rsid w:val="00CF2749"/>
    <w:rsid w:val="00CF347B"/>
    <w:rsid w:val="00CF3D25"/>
    <w:rsid w:val="00CF4A92"/>
    <w:rsid w:val="00CF5428"/>
    <w:rsid w:val="00CF75FB"/>
    <w:rsid w:val="00D021C1"/>
    <w:rsid w:val="00D0295A"/>
    <w:rsid w:val="00D02C56"/>
    <w:rsid w:val="00D03EA2"/>
    <w:rsid w:val="00D04551"/>
    <w:rsid w:val="00D05B5F"/>
    <w:rsid w:val="00D05BC4"/>
    <w:rsid w:val="00D0658D"/>
    <w:rsid w:val="00D07717"/>
    <w:rsid w:val="00D079D5"/>
    <w:rsid w:val="00D10198"/>
    <w:rsid w:val="00D11DC2"/>
    <w:rsid w:val="00D13419"/>
    <w:rsid w:val="00D1401E"/>
    <w:rsid w:val="00D14F38"/>
    <w:rsid w:val="00D15D11"/>
    <w:rsid w:val="00D16C3D"/>
    <w:rsid w:val="00D1726E"/>
    <w:rsid w:val="00D17B7B"/>
    <w:rsid w:val="00D20301"/>
    <w:rsid w:val="00D21FF3"/>
    <w:rsid w:val="00D2276F"/>
    <w:rsid w:val="00D2349F"/>
    <w:rsid w:val="00D24299"/>
    <w:rsid w:val="00D2440B"/>
    <w:rsid w:val="00D24491"/>
    <w:rsid w:val="00D24F15"/>
    <w:rsid w:val="00D27CED"/>
    <w:rsid w:val="00D3186B"/>
    <w:rsid w:val="00D31D40"/>
    <w:rsid w:val="00D31F5C"/>
    <w:rsid w:val="00D3238D"/>
    <w:rsid w:val="00D33C6A"/>
    <w:rsid w:val="00D34BBC"/>
    <w:rsid w:val="00D3541A"/>
    <w:rsid w:val="00D35E4B"/>
    <w:rsid w:val="00D371D3"/>
    <w:rsid w:val="00D40390"/>
    <w:rsid w:val="00D404D0"/>
    <w:rsid w:val="00D4164F"/>
    <w:rsid w:val="00D444A6"/>
    <w:rsid w:val="00D44BBE"/>
    <w:rsid w:val="00D44E67"/>
    <w:rsid w:val="00D44F8D"/>
    <w:rsid w:val="00D466D2"/>
    <w:rsid w:val="00D50710"/>
    <w:rsid w:val="00D51826"/>
    <w:rsid w:val="00D52360"/>
    <w:rsid w:val="00D53296"/>
    <w:rsid w:val="00D533D2"/>
    <w:rsid w:val="00D5373F"/>
    <w:rsid w:val="00D540DB"/>
    <w:rsid w:val="00D54715"/>
    <w:rsid w:val="00D55A89"/>
    <w:rsid w:val="00D56C98"/>
    <w:rsid w:val="00D56DC0"/>
    <w:rsid w:val="00D57271"/>
    <w:rsid w:val="00D57551"/>
    <w:rsid w:val="00D5768C"/>
    <w:rsid w:val="00D57716"/>
    <w:rsid w:val="00D6081E"/>
    <w:rsid w:val="00D609D2"/>
    <w:rsid w:val="00D60E52"/>
    <w:rsid w:val="00D61031"/>
    <w:rsid w:val="00D61549"/>
    <w:rsid w:val="00D61F77"/>
    <w:rsid w:val="00D634C8"/>
    <w:rsid w:val="00D63960"/>
    <w:rsid w:val="00D644D5"/>
    <w:rsid w:val="00D644FC"/>
    <w:rsid w:val="00D64928"/>
    <w:rsid w:val="00D64BCF"/>
    <w:rsid w:val="00D6748F"/>
    <w:rsid w:val="00D679CD"/>
    <w:rsid w:val="00D7185A"/>
    <w:rsid w:val="00D71A86"/>
    <w:rsid w:val="00D71AE5"/>
    <w:rsid w:val="00D72C16"/>
    <w:rsid w:val="00D75694"/>
    <w:rsid w:val="00D756D8"/>
    <w:rsid w:val="00D75B91"/>
    <w:rsid w:val="00D767F1"/>
    <w:rsid w:val="00D76D82"/>
    <w:rsid w:val="00D80013"/>
    <w:rsid w:val="00D806FE"/>
    <w:rsid w:val="00D81B2D"/>
    <w:rsid w:val="00D825CA"/>
    <w:rsid w:val="00D82E03"/>
    <w:rsid w:val="00D83024"/>
    <w:rsid w:val="00D8362D"/>
    <w:rsid w:val="00D83B4A"/>
    <w:rsid w:val="00D858D1"/>
    <w:rsid w:val="00D862BA"/>
    <w:rsid w:val="00D86BDA"/>
    <w:rsid w:val="00D86EA1"/>
    <w:rsid w:val="00D87317"/>
    <w:rsid w:val="00D878BE"/>
    <w:rsid w:val="00D90FD4"/>
    <w:rsid w:val="00D911C8"/>
    <w:rsid w:val="00D91CA6"/>
    <w:rsid w:val="00D92088"/>
    <w:rsid w:val="00D9263A"/>
    <w:rsid w:val="00D929BD"/>
    <w:rsid w:val="00D92FD7"/>
    <w:rsid w:val="00D935D5"/>
    <w:rsid w:val="00D93A90"/>
    <w:rsid w:val="00D94AD6"/>
    <w:rsid w:val="00D95833"/>
    <w:rsid w:val="00D95A8F"/>
    <w:rsid w:val="00D9602F"/>
    <w:rsid w:val="00D96982"/>
    <w:rsid w:val="00D979B8"/>
    <w:rsid w:val="00DA02A8"/>
    <w:rsid w:val="00DA0B2D"/>
    <w:rsid w:val="00DA0F61"/>
    <w:rsid w:val="00DA13A7"/>
    <w:rsid w:val="00DA15EE"/>
    <w:rsid w:val="00DA1A43"/>
    <w:rsid w:val="00DA1AA3"/>
    <w:rsid w:val="00DA298E"/>
    <w:rsid w:val="00DA5907"/>
    <w:rsid w:val="00DA6320"/>
    <w:rsid w:val="00DA68ED"/>
    <w:rsid w:val="00DA69A6"/>
    <w:rsid w:val="00DA715F"/>
    <w:rsid w:val="00DB0771"/>
    <w:rsid w:val="00DB1CF6"/>
    <w:rsid w:val="00DB2099"/>
    <w:rsid w:val="00DB2709"/>
    <w:rsid w:val="00DB46F5"/>
    <w:rsid w:val="00DB5C84"/>
    <w:rsid w:val="00DB6903"/>
    <w:rsid w:val="00DB7706"/>
    <w:rsid w:val="00DC007B"/>
    <w:rsid w:val="00DC07B0"/>
    <w:rsid w:val="00DC0A1A"/>
    <w:rsid w:val="00DC19BF"/>
    <w:rsid w:val="00DC456C"/>
    <w:rsid w:val="00DC5AC0"/>
    <w:rsid w:val="00DC66EF"/>
    <w:rsid w:val="00DC6C58"/>
    <w:rsid w:val="00DC6CD8"/>
    <w:rsid w:val="00DC7864"/>
    <w:rsid w:val="00DC78DD"/>
    <w:rsid w:val="00DC7C56"/>
    <w:rsid w:val="00DD26CD"/>
    <w:rsid w:val="00DD32D7"/>
    <w:rsid w:val="00DD3F88"/>
    <w:rsid w:val="00DD4102"/>
    <w:rsid w:val="00DD4779"/>
    <w:rsid w:val="00DD492C"/>
    <w:rsid w:val="00DD4E8E"/>
    <w:rsid w:val="00DD57DA"/>
    <w:rsid w:val="00DD79C9"/>
    <w:rsid w:val="00DE0918"/>
    <w:rsid w:val="00DE1407"/>
    <w:rsid w:val="00DE220E"/>
    <w:rsid w:val="00DE4271"/>
    <w:rsid w:val="00DE4EDD"/>
    <w:rsid w:val="00DE509E"/>
    <w:rsid w:val="00DE50F8"/>
    <w:rsid w:val="00DE5538"/>
    <w:rsid w:val="00DE582C"/>
    <w:rsid w:val="00DE628B"/>
    <w:rsid w:val="00DE62B6"/>
    <w:rsid w:val="00DE6A23"/>
    <w:rsid w:val="00DF18B2"/>
    <w:rsid w:val="00DF2829"/>
    <w:rsid w:val="00DF2C59"/>
    <w:rsid w:val="00DF3AFF"/>
    <w:rsid w:val="00DF603B"/>
    <w:rsid w:val="00DF727C"/>
    <w:rsid w:val="00E00AF6"/>
    <w:rsid w:val="00E00D44"/>
    <w:rsid w:val="00E0150B"/>
    <w:rsid w:val="00E0205F"/>
    <w:rsid w:val="00E02131"/>
    <w:rsid w:val="00E05008"/>
    <w:rsid w:val="00E05579"/>
    <w:rsid w:val="00E1037B"/>
    <w:rsid w:val="00E111FB"/>
    <w:rsid w:val="00E11E94"/>
    <w:rsid w:val="00E132BD"/>
    <w:rsid w:val="00E13C72"/>
    <w:rsid w:val="00E13EE6"/>
    <w:rsid w:val="00E142D7"/>
    <w:rsid w:val="00E142F6"/>
    <w:rsid w:val="00E14630"/>
    <w:rsid w:val="00E14B72"/>
    <w:rsid w:val="00E17872"/>
    <w:rsid w:val="00E17C62"/>
    <w:rsid w:val="00E2011D"/>
    <w:rsid w:val="00E20334"/>
    <w:rsid w:val="00E2099C"/>
    <w:rsid w:val="00E21577"/>
    <w:rsid w:val="00E218B6"/>
    <w:rsid w:val="00E22780"/>
    <w:rsid w:val="00E230F2"/>
    <w:rsid w:val="00E24D93"/>
    <w:rsid w:val="00E26129"/>
    <w:rsid w:val="00E2719D"/>
    <w:rsid w:val="00E2732B"/>
    <w:rsid w:val="00E30EAA"/>
    <w:rsid w:val="00E3182B"/>
    <w:rsid w:val="00E31993"/>
    <w:rsid w:val="00E324F5"/>
    <w:rsid w:val="00E32796"/>
    <w:rsid w:val="00E32E91"/>
    <w:rsid w:val="00E32F41"/>
    <w:rsid w:val="00E33B7B"/>
    <w:rsid w:val="00E34243"/>
    <w:rsid w:val="00E34973"/>
    <w:rsid w:val="00E359F0"/>
    <w:rsid w:val="00E3736C"/>
    <w:rsid w:val="00E37AEF"/>
    <w:rsid w:val="00E4020A"/>
    <w:rsid w:val="00E40507"/>
    <w:rsid w:val="00E42640"/>
    <w:rsid w:val="00E43A49"/>
    <w:rsid w:val="00E43EB8"/>
    <w:rsid w:val="00E443F7"/>
    <w:rsid w:val="00E445F3"/>
    <w:rsid w:val="00E4475A"/>
    <w:rsid w:val="00E4506D"/>
    <w:rsid w:val="00E45B71"/>
    <w:rsid w:val="00E45BEB"/>
    <w:rsid w:val="00E45C87"/>
    <w:rsid w:val="00E46B69"/>
    <w:rsid w:val="00E46D8E"/>
    <w:rsid w:val="00E46E9B"/>
    <w:rsid w:val="00E50B19"/>
    <w:rsid w:val="00E50C6D"/>
    <w:rsid w:val="00E50D47"/>
    <w:rsid w:val="00E51EEB"/>
    <w:rsid w:val="00E52022"/>
    <w:rsid w:val="00E525FD"/>
    <w:rsid w:val="00E53AD0"/>
    <w:rsid w:val="00E53DCB"/>
    <w:rsid w:val="00E53E6B"/>
    <w:rsid w:val="00E53EA2"/>
    <w:rsid w:val="00E5648C"/>
    <w:rsid w:val="00E56787"/>
    <w:rsid w:val="00E57408"/>
    <w:rsid w:val="00E57A81"/>
    <w:rsid w:val="00E60F11"/>
    <w:rsid w:val="00E62AA2"/>
    <w:rsid w:val="00E62BBA"/>
    <w:rsid w:val="00E62CD3"/>
    <w:rsid w:val="00E62ECD"/>
    <w:rsid w:val="00E62F5E"/>
    <w:rsid w:val="00E6329D"/>
    <w:rsid w:val="00E64158"/>
    <w:rsid w:val="00E65404"/>
    <w:rsid w:val="00E663C1"/>
    <w:rsid w:val="00E67FA5"/>
    <w:rsid w:val="00E70059"/>
    <w:rsid w:val="00E7102F"/>
    <w:rsid w:val="00E71A01"/>
    <w:rsid w:val="00E72484"/>
    <w:rsid w:val="00E73C40"/>
    <w:rsid w:val="00E74A61"/>
    <w:rsid w:val="00E74BD2"/>
    <w:rsid w:val="00E74F03"/>
    <w:rsid w:val="00E75536"/>
    <w:rsid w:val="00E75E05"/>
    <w:rsid w:val="00E777CC"/>
    <w:rsid w:val="00E801A7"/>
    <w:rsid w:val="00E8064F"/>
    <w:rsid w:val="00E809FD"/>
    <w:rsid w:val="00E80CD4"/>
    <w:rsid w:val="00E817A0"/>
    <w:rsid w:val="00E81BE3"/>
    <w:rsid w:val="00E84A6F"/>
    <w:rsid w:val="00E8513B"/>
    <w:rsid w:val="00E854B0"/>
    <w:rsid w:val="00E86ED5"/>
    <w:rsid w:val="00E86F9D"/>
    <w:rsid w:val="00E87BCD"/>
    <w:rsid w:val="00E90657"/>
    <w:rsid w:val="00E911C3"/>
    <w:rsid w:val="00E91E20"/>
    <w:rsid w:val="00E92D6D"/>
    <w:rsid w:val="00E93C1F"/>
    <w:rsid w:val="00E947F9"/>
    <w:rsid w:val="00E949F6"/>
    <w:rsid w:val="00E95DC4"/>
    <w:rsid w:val="00E96259"/>
    <w:rsid w:val="00E965CC"/>
    <w:rsid w:val="00E97BED"/>
    <w:rsid w:val="00E97CC6"/>
    <w:rsid w:val="00EA09FE"/>
    <w:rsid w:val="00EA34BF"/>
    <w:rsid w:val="00EA563F"/>
    <w:rsid w:val="00EA57FD"/>
    <w:rsid w:val="00EA5CA4"/>
    <w:rsid w:val="00EA5F2B"/>
    <w:rsid w:val="00EA71FD"/>
    <w:rsid w:val="00EA788C"/>
    <w:rsid w:val="00EB02D0"/>
    <w:rsid w:val="00EB14BD"/>
    <w:rsid w:val="00EB3423"/>
    <w:rsid w:val="00EB3BF8"/>
    <w:rsid w:val="00EB3E75"/>
    <w:rsid w:val="00EB3FE8"/>
    <w:rsid w:val="00EB4780"/>
    <w:rsid w:val="00EB4C01"/>
    <w:rsid w:val="00EB5E94"/>
    <w:rsid w:val="00EB6D31"/>
    <w:rsid w:val="00EB7BCC"/>
    <w:rsid w:val="00EC40AC"/>
    <w:rsid w:val="00EC4160"/>
    <w:rsid w:val="00EC45BE"/>
    <w:rsid w:val="00EC47A2"/>
    <w:rsid w:val="00EC5B28"/>
    <w:rsid w:val="00EC616C"/>
    <w:rsid w:val="00EC6746"/>
    <w:rsid w:val="00EC7650"/>
    <w:rsid w:val="00EC7D9E"/>
    <w:rsid w:val="00ED0616"/>
    <w:rsid w:val="00ED1013"/>
    <w:rsid w:val="00ED4270"/>
    <w:rsid w:val="00ED458C"/>
    <w:rsid w:val="00ED7288"/>
    <w:rsid w:val="00ED7295"/>
    <w:rsid w:val="00ED757F"/>
    <w:rsid w:val="00ED76A6"/>
    <w:rsid w:val="00ED787C"/>
    <w:rsid w:val="00ED7975"/>
    <w:rsid w:val="00ED7F01"/>
    <w:rsid w:val="00EE012F"/>
    <w:rsid w:val="00EE0D27"/>
    <w:rsid w:val="00EE0F28"/>
    <w:rsid w:val="00EE0FE4"/>
    <w:rsid w:val="00EE1BF7"/>
    <w:rsid w:val="00EE22E5"/>
    <w:rsid w:val="00EE2DA2"/>
    <w:rsid w:val="00EE3407"/>
    <w:rsid w:val="00EE47D8"/>
    <w:rsid w:val="00EE4DB5"/>
    <w:rsid w:val="00EE58ED"/>
    <w:rsid w:val="00EE5CF4"/>
    <w:rsid w:val="00EE6508"/>
    <w:rsid w:val="00EE684C"/>
    <w:rsid w:val="00EE7A8C"/>
    <w:rsid w:val="00EF0975"/>
    <w:rsid w:val="00EF1834"/>
    <w:rsid w:val="00EF1B36"/>
    <w:rsid w:val="00EF1C41"/>
    <w:rsid w:val="00EF3379"/>
    <w:rsid w:val="00EF3F83"/>
    <w:rsid w:val="00EF4530"/>
    <w:rsid w:val="00EF4829"/>
    <w:rsid w:val="00EF4CDD"/>
    <w:rsid w:val="00EF5DDA"/>
    <w:rsid w:val="00EF69EB"/>
    <w:rsid w:val="00EF7665"/>
    <w:rsid w:val="00EF7EF6"/>
    <w:rsid w:val="00F02236"/>
    <w:rsid w:val="00F02BEC"/>
    <w:rsid w:val="00F04F0E"/>
    <w:rsid w:val="00F0504D"/>
    <w:rsid w:val="00F07940"/>
    <w:rsid w:val="00F103E3"/>
    <w:rsid w:val="00F10D51"/>
    <w:rsid w:val="00F114B9"/>
    <w:rsid w:val="00F11615"/>
    <w:rsid w:val="00F116CE"/>
    <w:rsid w:val="00F138AC"/>
    <w:rsid w:val="00F13DF8"/>
    <w:rsid w:val="00F14197"/>
    <w:rsid w:val="00F141A2"/>
    <w:rsid w:val="00F1552D"/>
    <w:rsid w:val="00F1576B"/>
    <w:rsid w:val="00F15912"/>
    <w:rsid w:val="00F1663B"/>
    <w:rsid w:val="00F20BB1"/>
    <w:rsid w:val="00F2148D"/>
    <w:rsid w:val="00F21A68"/>
    <w:rsid w:val="00F21F64"/>
    <w:rsid w:val="00F2335E"/>
    <w:rsid w:val="00F23A2E"/>
    <w:rsid w:val="00F24546"/>
    <w:rsid w:val="00F250C5"/>
    <w:rsid w:val="00F25F2F"/>
    <w:rsid w:val="00F262DA"/>
    <w:rsid w:val="00F307F1"/>
    <w:rsid w:val="00F3081C"/>
    <w:rsid w:val="00F3396E"/>
    <w:rsid w:val="00F33FF2"/>
    <w:rsid w:val="00F35060"/>
    <w:rsid w:val="00F3716A"/>
    <w:rsid w:val="00F3773D"/>
    <w:rsid w:val="00F40E3C"/>
    <w:rsid w:val="00F4128A"/>
    <w:rsid w:val="00F42CC8"/>
    <w:rsid w:val="00F45672"/>
    <w:rsid w:val="00F46548"/>
    <w:rsid w:val="00F46D18"/>
    <w:rsid w:val="00F46D65"/>
    <w:rsid w:val="00F47F29"/>
    <w:rsid w:val="00F508CC"/>
    <w:rsid w:val="00F50CDD"/>
    <w:rsid w:val="00F51E8C"/>
    <w:rsid w:val="00F52C0F"/>
    <w:rsid w:val="00F54275"/>
    <w:rsid w:val="00F55D89"/>
    <w:rsid w:val="00F57341"/>
    <w:rsid w:val="00F5767D"/>
    <w:rsid w:val="00F57F19"/>
    <w:rsid w:val="00F60312"/>
    <w:rsid w:val="00F62386"/>
    <w:rsid w:val="00F63231"/>
    <w:rsid w:val="00F6365A"/>
    <w:rsid w:val="00F6426E"/>
    <w:rsid w:val="00F65BE9"/>
    <w:rsid w:val="00F65F66"/>
    <w:rsid w:val="00F66273"/>
    <w:rsid w:val="00F6632C"/>
    <w:rsid w:val="00F67A2E"/>
    <w:rsid w:val="00F67A38"/>
    <w:rsid w:val="00F703B6"/>
    <w:rsid w:val="00F70541"/>
    <w:rsid w:val="00F70CE5"/>
    <w:rsid w:val="00F713C7"/>
    <w:rsid w:val="00F71CC1"/>
    <w:rsid w:val="00F73235"/>
    <w:rsid w:val="00F733A8"/>
    <w:rsid w:val="00F74527"/>
    <w:rsid w:val="00F74762"/>
    <w:rsid w:val="00F747E3"/>
    <w:rsid w:val="00F76C50"/>
    <w:rsid w:val="00F76D7D"/>
    <w:rsid w:val="00F772A1"/>
    <w:rsid w:val="00F77343"/>
    <w:rsid w:val="00F77DFD"/>
    <w:rsid w:val="00F818B1"/>
    <w:rsid w:val="00F830C7"/>
    <w:rsid w:val="00F8319E"/>
    <w:rsid w:val="00F83EA6"/>
    <w:rsid w:val="00F8519C"/>
    <w:rsid w:val="00F86146"/>
    <w:rsid w:val="00F86D36"/>
    <w:rsid w:val="00F873A9"/>
    <w:rsid w:val="00F877DB"/>
    <w:rsid w:val="00F902D6"/>
    <w:rsid w:val="00F9031D"/>
    <w:rsid w:val="00F90B57"/>
    <w:rsid w:val="00F90FCC"/>
    <w:rsid w:val="00F9163D"/>
    <w:rsid w:val="00F91822"/>
    <w:rsid w:val="00F91C10"/>
    <w:rsid w:val="00F92048"/>
    <w:rsid w:val="00F9237A"/>
    <w:rsid w:val="00F92EA7"/>
    <w:rsid w:val="00F953B6"/>
    <w:rsid w:val="00F95423"/>
    <w:rsid w:val="00F9581A"/>
    <w:rsid w:val="00FA0544"/>
    <w:rsid w:val="00FA0F56"/>
    <w:rsid w:val="00FA191B"/>
    <w:rsid w:val="00FA2B15"/>
    <w:rsid w:val="00FA3AAA"/>
    <w:rsid w:val="00FA4123"/>
    <w:rsid w:val="00FA4799"/>
    <w:rsid w:val="00FA625C"/>
    <w:rsid w:val="00FA78E3"/>
    <w:rsid w:val="00FB0F73"/>
    <w:rsid w:val="00FB10F8"/>
    <w:rsid w:val="00FB1A88"/>
    <w:rsid w:val="00FB3294"/>
    <w:rsid w:val="00FB4F38"/>
    <w:rsid w:val="00FB59D7"/>
    <w:rsid w:val="00FB6F9B"/>
    <w:rsid w:val="00FB763C"/>
    <w:rsid w:val="00FC16A3"/>
    <w:rsid w:val="00FC19E7"/>
    <w:rsid w:val="00FC2097"/>
    <w:rsid w:val="00FC2B39"/>
    <w:rsid w:val="00FC2BD1"/>
    <w:rsid w:val="00FC3C2F"/>
    <w:rsid w:val="00FC4282"/>
    <w:rsid w:val="00FC442A"/>
    <w:rsid w:val="00FC4522"/>
    <w:rsid w:val="00FC4AC1"/>
    <w:rsid w:val="00FC4E30"/>
    <w:rsid w:val="00FC5176"/>
    <w:rsid w:val="00FC67AF"/>
    <w:rsid w:val="00FC6AE0"/>
    <w:rsid w:val="00FD01DA"/>
    <w:rsid w:val="00FD0C3B"/>
    <w:rsid w:val="00FD1776"/>
    <w:rsid w:val="00FD1B8C"/>
    <w:rsid w:val="00FD2741"/>
    <w:rsid w:val="00FD287E"/>
    <w:rsid w:val="00FD2F64"/>
    <w:rsid w:val="00FD3507"/>
    <w:rsid w:val="00FD4512"/>
    <w:rsid w:val="00FD56AC"/>
    <w:rsid w:val="00FD6059"/>
    <w:rsid w:val="00FD61E6"/>
    <w:rsid w:val="00FE1A5C"/>
    <w:rsid w:val="00FE1D6E"/>
    <w:rsid w:val="00FE2547"/>
    <w:rsid w:val="00FE2EDE"/>
    <w:rsid w:val="00FE2FBB"/>
    <w:rsid w:val="00FE3F7C"/>
    <w:rsid w:val="00FE4EA3"/>
    <w:rsid w:val="00FE5679"/>
    <w:rsid w:val="00FF04ED"/>
    <w:rsid w:val="00FF0661"/>
    <w:rsid w:val="00FF1E66"/>
    <w:rsid w:val="00FF3CA9"/>
    <w:rsid w:val="00FF41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65D808"/>
  <w15:docId w15:val="{0549D6FB-B501-48A7-ADA8-D078547A8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ind w:left="2160"/>
      <w:outlineLvl w:val="0"/>
    </w:pPr>
    <w:rPr>
      <w:sz w:val="48"/>
    </w:rPr>
  </w:style>
  <w:style w:type="paragraph" w:styleId="Heading2">
    <w:name w:val="heading 2"/>
    <w:basedOn w:val="Normal"/>
    <w:next w:val="Normal"/>
    <w:qFormat/>
    <w:pPr>
      <w:keepNext/>
      <w:ind w:left="2880" w:right="720"/>
      <w:outlineLvl w:val="1"/>
    </w:pPr>
    <w:rPr>
      <w:sz w:val="28"/>
    </w:rPr>
  </w:style>
  <w:style w:type="paragraph" w:styleId="Heading3">
    <w:name w:val="heading 3"/>
    <w:basedOn w:val="Normal"/>
    <w:next w:val="Normal"/>
    <w:qFormat/>
    <w:pPr>
      <w:keepNext/>
      <w:spacing w:before="120" w:after="120"/>
      <w:ind w:left="2160" w:right="720"/>
      <w:outlineLvl w:val="2"/>
    </w:pPr>
    <w:rPr>
      <w:sz w:val="28"/>
    </w:rPr>
  </w:style>
  <w:style w:type="paragraph" w:styleId="Heading4">
    <w:name w:val="heading 4"/>
    <w:basedOn w:val="Normal"/>
    <w:next w:val="Normal"/>
    <w:qFormat/>
    <w:pPr>
      <w:keepNext/>
      <w:spacing w:before="120"/>
      <w:ind w:left="3600" w:right="720"/>
      <w:outlineLvl w:val="3"/>
    </w:pPr>
    <w:rPr>
      <w:b/>
      <w:bCs/>
    </w:rPr>
  </w:style>
  <w:style w:type="paragraph" w:styleId="Heading5">
    <w:name w:val="heading 5"/>
    <w:basedOn w:val="Normal"/>
    <w:next w:val="Normal"/>
    <w:qFormat/>
    <w:pPr>
      <w:keepNext/>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2679"/>
    </w:pPr>
  </w:style>
  <w:style w:type="paragraph" w:customStyle="1" w:styleId="ExecSumDec">
    <w:name w:val="ExecSum Dec"/>
    <w:basedOn w:val="Normal"/>
    <w:next w:val="Normal"/>
    <w:pPr>
      <w:spacing w:after="280" w:line="340" w:lineRule="atLeast"/>
    </w:pPr>
    <w:rPr>
      <w:rFonts w:ascii="Helvetica" w:hAnsi="Helvetica"/>
      <w:b/>
      <w:i/>
      <w:color w:val="000000"/>
      <w:sz w:val="22"/>
      <w:szCs w:val="20"/>
    </w:rPr>
  </w:style>
  <w:style w:type="paragraph" w:styleId="BodyText2">
    <w:name w:val="Body Text 2"/>
    <w:basedOn w:val="Normal"/>
    <w:rPr>
      <w:rFonts w:ascii="Estrangelo Edessa" w:hAnsi="Estrangelo Edessa" w:cs="Courier New"/>
      <w:b/>
      <w:bCs/>
    </w:rPr>
  </w:style>
  <w:style w:type="paragraph" w:styleId="TOC2">
    <w:name w:val="toc 2"/>
    <w:basedOn w:val="Normal"/>
    <w:next w:val="Normal"/>
    <w:autoRedefine/>
    <w:uiPriority w:val="39"/>
    <w:rsid w:val="009C6A6C"/>
    <w:pPr>
      <w:tabs>
        <w:tab w:val="right" w:pos="10080"/>
      </w:tabs>
      <w:spacing w:before="120"/>
      <w:ind w:left="2160" w:right="720"/>
    </w:pPr>
    <w:rPr>
      <w:rFonts w:ascii="Arial" w:hAnsi="Arial" w:cs="Arial"/>
      <w:b/>
      <w:bCs/>
      <w:noProof/>
      <w:sz w:val="20"/>
    </w:rPr>
  </w:style>
  <w:style w:type="paragraph" w:styleId="TOC1">
    <w:name w:val="toc 1"/>
    <w:basedOn w:val="Normal"/>
    <w:next w:val="Normal"/>
    <w:autoRedefine/>
    <w:uiPriority w:val="39"/>
    <w:rsid w:val="009C6A6C"/>
    <w:pPr>
      <w:tabs>
        <w:tab w:val="right" w:pos="10080"/>
      </w:tabs>
      <w:spacing w:before="120"/>
      <w:ind w:left="720" w:right="720"/>
      <w:outlineLvl w:val="0"/>
    </w:pPr>
    <w:rPr>
      <w:rFonts w:ascii="Arial" w:hAnsi="Arial" w:cs="Arial"/>
      <w:noProof/>
      <w:sz w:val="22"/>
      <w:szCs w:val="44"/>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aliases w:val="Methodology"/>
    <w:basedOn w:val="Normal"/>
    <w:next w:val="Normal"/>
    <w:autoRedefine/>
    <w:semiHidden/>
    <w:pPr>
      <w:ind w:left="1680"/>
    </w:pPr>
  </w:style>
  <w:style w:type="character" w:styleId="Hyperlink">
    <w:name w:val="Hyperlink"/>
    <w:basedOn w:val="DefaultParagraphFont"/>
    <w:uiPriority w:val="99"/>
    <w:rPr>
      <w:color w:val="0000FF"/>
      <w:u w:val="single"/>
    </w:rPr>
  </w:style>
  <w:style w:type="paragraph" w:styleId="PlainText">
    <w:name w:val="Plain Text"/>
    <w:basedOn w:val="Normal"/>
    <w:pPr>
      <w:spacing w:after="120"/>
      <w:ind w:left="2736"/>
    </w:pPr>
    <w:rPr>
      <w:rFonts w:ascii="Courier New" w:hAnsi="Courier New" w:cs="Courier New"/>
      <w:sz w:val="20"/>
      <w:szCs w:val="20"/>
    </w:rPr>
  </w:style>
  <w:style w:type="paragraph" w:styleId="BlockText">
    <w:name w:val="Block Text"/>
    <w:basedOn w:val="Normal"/>
    <w:pPr>
      <w:spacing w:after="120"/>
      <w:ind w:left="2664" w:right="720"/>
    </w:pPr>
    <w:rPr>
      <w:color w:val="000000"/>
      <w:sz w:val="18"/>
      <w:szCs w:val="9"/>
    </w:rPr>
  </w:style>
  <w:style w:type="paragraph" w:customStyle="1" w:styleId="MethIntText">
    <w:name w:val="Meth Int Text"/>
    <w:basedOn w:val="Normal"/>
    <w:pPr>
      <w:widowControl w:val="0"/>
      <w:autoSpaceDE w:val="0"/>
      <w:autoSpaceDN w:val="0"/>
      <w:adjustRightInd w:val="0"/>
      <w:ind w:left="2779" w:right="940"/>
    </w:pPr>
    <w:rPr>
      <w:sz w:val="22"/>
    </w:rPr>
  </w:style>
  <w:style w:type="paragraph" w:customStyle="1" w:styleId="MethodologyTOC">
    <w:name w:val="Methodology_TOC"/>
    <w:basedOn w:val="Heading1"/>
    <w:pPr>
      <w:spacing w:before="920"/>
    </w:pPr>
    <w:rPr>
      <w:sz w:val="44"/>
    </w:rPr>
  </w:style>
  <w:style w:type="paragraph" w:customStyle="1" w:styleId="MethodologyHeading1">
    <w:name w:val="Methodology_Heading_1"/>
    <w:basedOn w:val="Heading1"/>
    <w:link w:val="MethodologyHeading1Char"/>
    <w:pPr>
      <w:spacing w:before="920"/>
    </w:pPr>
    <w:rPr>
      <w:rFonts w:ascii="Arial Narrow" w:hAnsi="Arial Narrow"/>
      <w:sz w:val="44"/>
    </w:rPr>
  </w:style>
  <w:style w:type="paragraph" w:customStyle="1" w:styleId="MethodologyHeading2">
    <w:name w:val="Methodology_Heading_2"/>
    <w:basedOn w:val="BodyTextIndent"/>
    <w:link w:val="MethodologyHeading2Char"/>
    <w:pPr>
      <w:spacing w:before="240" w:after="200"/>
      <w:ind w:left="2160" w:right="720"/>
    </w:pPr>
    <w:rPr>
      <w:b/>
      <w:bCs/>
      <w:sz w:val="22"/>
    </w:rPr>
  </w:style>
  <w:style w:type="paragraph" w:customStyle="1" w:styleId="MethIntHeading2">
    <w:name w:val="Meth Int Heading 2"/>
    <w:basedOn w:val="Normal"/>
    <w:autoRedefine/>
    <w:pPr>
      <w:spacing w:before="200" w:after="200"/>
      <w:ind w:left="2790" w:right="940"/>
    </w:pPr>
    <w:rPr>
      <w:b/>
      <w:bCs/>
      <w:sz w:val="22"/>
    </w:rPr>
  </w:style>
  <w:style w:type="paragraph" w:customStyle="1" w:styleId="MethodologyText">
    <w:name w:val="Methodology_Text"/>
    <w:basedOn w:val="BodyTextIndent"/>
    <w:link w:val="MethodologyTextChar"/>
    <w:pPr>
      <w:ind w:left="2160" w:right="720"/>
    </w:pPr>
    <w:rPr>
      <w:sz w:val="22"/>
    </w:rPr>
  </w:style>
  <w:style w:type="paragraph" w:customStyle="1" w:styleId="MethodologyTitle">
    <w:name w:val="Methodology Title"/>
    <w:basedOn w:val="Normal"/>
    <w:pPr>
      <w:widowControl w:val="0"/>
      <w:autoSpaceDE w:val="0"/>
      <w:autoSpaceDN w:val="0"/>
      <w:adjustRightInd w:val="0"/>
      <w:spacing w:line="560" w:lineRule="exact"/>
      <w:ind w:left="2786" w:right="-20"/>
    </w:pPr>
    <w:rPr>
      <w:spacing w:val="-2"/>
      <w:sz w:val="56"/>
      <w:szCs w:val="56"/>
    </w:rPr>
  </w:style>
  <w:style w:type="paragraph" w:customStyle="1" w:styleId="Default">
    <w:name w:val="Default"/>
    <w:rsid w:val="00E13EE6"/>
    <w:pPr>
      <w:autoSpaceDE w:val="0"/>
      <w:autoSpaceDN w:val="0"/>
      <w:adjustRightInd w:val="0"/>
    </w:pPr>
    <w:rPr>
      <w:rFonts w:ascii="Arial" w:eastAsia="MS Mincho" w:hAnsi="Arial" w:cs="Arial"/>
      <w:color w:val="000000"/>
      <w:sz w:val="24"/>
      <w:szCs w:val="24"/>
    </w:rPr>
  </w:style>
  <w:style w:type="paragraph" w:customStyle="1" w:styleId="default0">
    <w:name w:val="default"/>
    <w:basedOn w:val="Normal"/>
    <w:rsid w:val="00E13EE6"/>
    <w:pPr>
      <w:autoSpaceDE w:val="0"/>
      <w:autoSpaceDN w:val="0"/>
    </w:pPr>
    <w:rPr>
      <w:rFonts w:ascii="Arial" w:eastAsia="MS Mincho" w:hAnsi="Arial" w:cs="Arial"/>
      <w:color w:val="000000"/>
      <w:lang w:eastAsia="ja-JP"/>
    </w:rPr>
  </w:style>
  <w:style w:type="paragraph" w:styleId="BalloonText">
    <w:name w:val="Balloon Text"/>
    <w:basedOn w:val="Normal"/>
    <w:link w:val="BalloonTextChar"/>
    <w:rsid w:val="00474796"/>
    <w:rPr>
      <w:rFonts w:ascii="Tahoma" w:hAnsi="Tahoma" w:cs="Tahoma"/>
      <w:sz w:val="16"/>
      <w:szCs w:val="16"/>
    </w:rPr>
  </w:style>
  <w:style w:type="character" w:customStyle="1" w:styleId="BalloonTextChar">
    <w:name w:val="Balloon Text Char"/>
    <w:basedOn w:val="DefaultParagraphFont"/>
    <w:link w:val="BalloonText"/>
    <w:rsid w:val="00474796"/>
    <w:rPr>
      <w:rFonts w:ascii="Tahoma" w:hAnsi="Tahoma" w:cs="Tahoma"/>
      <w:sz w:val="16"/>
      <w:szCs w:val="16"/>
      <w:lang w:eastAsia="en-US"/>
    </w:rPr>
  </w:style>
  <w:style w:type="character" w:customStyle="1" w:styleId="MethodologyTextChar">
    <w:name w:val="Methodology_Text Char"/>
    <w:basedOn w:val="DefaultParagraphFont"/>
    <w:link w:val="MethodologyText"/>
    <w:rsid w:val="00FA2B15"/>
    <w:rPr>
      <w:sz w:val="22"/>
      <w:szCs w:val="24"/>
      <w:lang w:eastAsia="en-US"/>
    </w:rPr>
  </w:style>
  <w:style w:type="paragraph" w:styleId="ListParagraph">
    <w:name w:val="List Paragraph"/>
    <w:basedOn w:val="Normal"/>
    <w:uiPriority w:val="34"/>
    <w:qFormat/>
    <w:rsid w:val="006412E5"/>
    <w:pPr>
      <w:ind w:left="720"/>
      <w:contextualSpacing/>
    </w:pPr>
  </w:style>
  <w:style w:type="character" w:styleId="FollowedHyperlink">
    <w:name w:val="FollowedHyperlink"/>
    <w:basedOn w:val="DefaultParagraphFont"/>
    <w:rsid w:val="009A0135"/>
    <w:rPr>
      <w:color w:val="800080" w:themeColor="followedHyperlink"/>
      <w:u w:val="single"/>
    </w:rPr>
  </w:style>
  <w:style w:type="paragraph" w:customStyle="1" w:styleId="Pa2">
    <w:name w:val="Pa2"/>
    <w:basedOn w:val="Default"/>
    <w:next w:val="Default"/>
    <w:uiPriority w:val="99"/>
    <w:rsid w:val="00CE0F7E"/>
    <w:pPr>
      <w:spacing w:line="181" w:lineRule="atLeast"/>
    </w:pPr>
    <w:rPr>
      <w:rFonts w:ascii="Geogrotesque Rg" w:eastAsia="Times New Roman" w:hAnsi="Geogrotesque Rg" w:cs="Times New Roman"/>
      <w:color w:val="auto"/>
    </w:rPr>
  </w:style>
  <w:style w:type="paragraph" w:customStyle="1" w:styleId="Pa0">
    <w:name w:val="Pa0"/>
    <w:basedOn w:val="Default"/>
    <w:next w:val="Default"/>
    <w:uiPriority w:val="99"/>
    <w:rsid w:val="008E12B9"/>
    <w:pPr>
      <w:spacing w:line="281" w:lineRule="atLeast"/>
    </w:pPr>
    <w:rPr>
      <w:rFonts w:ascii="Geogrotesque SmBd" w:eastAsia="Times New Roman" w:hAnsi="Geogrotesque SmBd" w:cs="Times New Roman"/>
      <w:color w:val="auto"/>
    </w:rPr>
  </w:style>
  <w:style w:type="paragraph" w:customStyle="1" w:styleId="Pa4">
    <w:name w:val="Pa4"/>
    <w:basedOn w:val="Default"/>
    <w:next w:val="Default"/>
    <w:uiPriority w:val="99"/>
    <w:rsid w:val="008E12B9"/>
    <w:pPr>
      <w:spacing w:line="181" w:lineRule="atLeast"/>
    </w:pPr>
    <w:rPr>
      <w:rFonts w:ascii="Geogrotesque SmBd" w:eastAsia="Times New Roman" w:hAnsi="Geogrotesque SmBd" w:cs="Times New Roman"/>
      <w:color w:val="auto"/>
    </w:rPr>
  </w:style>
  <w:style w:type="paragraph" w:customStyle="1" w:styleId="Pa5">
    <w:name w:val="Pa5"/>
    <w:basedOn w:val="Default"/>
    <w:next w:val="Default"/>
    <w:uiPriority w:val="99"/>
    <w:rsid w:val="008E12B9"/>
    <w:pPr>
      <w:spacing w:line="181" w:lineRule="atLeast"/>
    </w:pPr>
    <w:rPr>
      <w:rFonts w:ascii="Geogrotesque SmBd" w:eastAsia="Times New Roman" w:hAnsi="Geogrotesque SmBd" w:cs="Times New Roman"/>
      <w:color w:val="auto"/>
    </w:rPr>
  </w:style>
  <w:style w:type="character" w:customStyle="1" w:styleId="A3">
    <w:name w:val="A3"/>
    <w:uiPriority w:val="99"/>
    <w:rsid w:val="008E12B9"/>
    <w:rPr>
      <w:rFonts w:ascii="Avenir 35 Light" w:hAnsi="Avenir 35 Light" w:cs="Avenir 35 Light"/>
      <w:color w:val="00B7AE"/>
      <w:sz w:val="16"/>
      <w:szCs w:val="16"/>
    </w:rPr>
  </w:style>
  <w:style w:type="paragraph" w:customStyle="1" w:styleId="Pa3">
    <w:name w:val="Pa3"/>
    <w:basedOn w:val="Default"/>
    <w:next w:val="Default"/>
    <w:uiPriority w:val="99"/>
    <w:rsid w:val="005D5ABF"/>
    <w:pPr>
      <w:spacing w:line="181" w:lineRule="atLeast"/>
    </w:pPr>
    <w:rPr>
      <w:rFonts w:ascii="Geogrotesque SmBd" w:eastAsia="Times New Roman" w:hAnsi="Geogrotesque SmBd" w:cs="Times New Roman"/>
      <w:color w:val="auto"/>
    </w:rPr>
  </w:style>
  <w:style w:type="character" w:customStyle="1" w:styleId="A2">
    <w:name w:val="A2"/>
    <w:uiPriority w:val="99"/>
    <w:rsid w:val="005D5ABF"/>
    <w:rPr>
      <w:rFonts w:ascii="Avenir 35 Light" w:hAnsi="Avenir 35 Light" w:cs="Avenir 35 Light"/>
      <w:color w:val="00B7AE"/>
      <w:sz w:val="16"/>
      <w:szCs w:val="16"/>
    </w:rPr>
  </w:style>
  <w:style w:type="paragraph" w:styleId="NormalWeb">
    <w:name w:val="Normal (Web)"/>
    <w:basedOn w:val="Normal"/>
    <w:uiPriority w:val="99"/>
    <w:unhideWhenUsed/>
    <w:rsid w:val="009B3AFB"/>
    <w:pPr>
      <w:spacing w:before="100" w:beforeAutospacing="1" w:after="100" w:afterAutospacing="1"/>
    </w:pPr>
  </w:style>
  <w:style w:type="character" w:customStyle="1" w:styleId="sm">
    <w:name w:val="sm"/>
    <w:basedOn w:val="DefaultParagraphFont"/>
    <w:rsid w:val="009B3AFB"/>
  </w:style>
  <w:style w:type="character" w:customStyle="1" w:styleId="A0">
    <w:name w:val="A0"/>
    <w:uiPriority w:val="99"/>
    <w:rsid w:val="00306C0C"/>
    <w:rPr>
      <w:rFonts w:cs="Helvetica 45 Light"/>
      <w:color w:val="897561"/>
      <w:sz w:val="20"/>
      <w:szCs w:val="20"/>
    </w:rPr>
  </w:style>
  <w:style w:type="character" w:customStyle="1" w:styleId="A5">
    <w:name w:val="A5"/>
    <w:uiPriority w:val="99"/>
    <w:rsid w:val="00423FBE"/>
    <w:rPr>
      <w:rFonts w:ascii="Avenir 35 Light" w:hAnsi="Avenir 35 Light" w:cs="Avenir 35 Light"/>
      <w:color w:val="00B7AE"/>
      <w:sz w:val="16"/>
      <w:szCs w:val="16"/>
    </w:rPr>
  </w:style>
  <w:style w:type="paragraph" w:styleId="FootnoteText">
    <w:name w:val="footnote text"/>
    <w:basedOn w:val="Normal"/>
    <w:link w:val="FootnoteTextChar"/>
    <w:unhideWhenUsed/>
    <w:rsid w:val="002A2235"/>
    <w:rPr>
      <w:sz w:val="20"/>
      <w:szCs w:val="20"/>
    </w:rPr>
  </w:style>
  <w:style w:type="character" w:customStyle="1" w:styleId="FootnoteTextChar">
    <w:name w:val="Footnote Text Char"/>
    <w:basedOn w:val="DefaultParagraphFont"/>
    <w:link w:val="FootnoteText"/>
    <w:rsid w:val="002A2235"/>
    <w:rPr>
      <w:lang w:eastAsia="en-US"/>
    </w:rPr>
  </w:style>
  <w:style w:type="character" w:styleId="FootnoteReference">
    <w:name w:val="footnote reference"/>
    <w:unhideWhenUsed/>
    <w:rsid w:val="002A2235"/>
    <w:rPr>
      <w:vertAlign w:val="superscript"/>
    </w:rPr>
  </w:style>
  <w:style w:type="character" w:customStyle="1" w:styleId="MethodologyHeading2Char">
    <w:name w:val="Methodology_Heading_2 Char"/>
    <w:link w:val="MethodologyHeading2"/>
    <w:locked/>
    <w:rsid w:val="00CA0FEA"/>
    <w:rPr>
      <w:b/>
      <w:bCs/>
      <w:sz w:val="22"/>
      <w:szCs w:val="24"/>
      <w:lang w:eastAsia="en-US"/>
    </w:rPr>
  </w:style>
  <w:style w:type="character" w:styleId="CommentReference">
    <w:name w:val="annotation reference"/>
    <w:basedOn w:val="DefaultParagraphFont"/>
    <w:rsid w:val="0032749C"/>
    <w:rPr>
      <w:sz w:val="16"/>
      <w:szCs w:val="16"/>
    </w:rPr>
  </w:style>
  <w:style w:type="paragraph" w:styleId="CommentText">
    <w:name w:val="annotation text"/>
    <w:basedOn w:val="Normal"/>
    <w:link w:val="CommentTextChar"/>
    <w:rsid w:val="0032749C"/>
    <w:rPr>
      <w:sz w:val="20"/>
      <w:szCs w:val="20"/>
    </w:rPr>
  </w:style>
  <w:style w:type="character" w:customStyle="1" w:styleId="CommentTextChar">
    <w:name w:val="Comment Text Char"/>
    <w:basedOn w:val="DefaultParagraphFont"/>
    <w:link w:val="CommentText"/>
    <w:rsid w:val="0032749C"/>
    <w:rPr>
      <w:lang w:eastAsia="en-US"/>
    </w:rPr>
  </w:style>
  <w:style w:type="paragraph" w:styleId="CommentSubject">
    <w:name w:val="annotation subject"/>
    <w:basedOn w:val="CommentText"/>
    <w:next w:val="CommentText"/>
    <w:link w:val="CommentSubjectChar"/>
    <w:rsid w:val="0032749C"/>
    <w:rPr>
      <w:b/>
      <w:bCs/>
    </w:rPr>
  </w:style>
  <w:style w:type="character" w:customStyle="1" w:styleId="CommentSubjectChar">
    <w:name w:val="Comment Subject Char"/>
    <w:basedOn w:val="CommentTextChar"/>
    <w:link w:val="CommentSubject"/>
    <w:rsid w:val="0032749C"/>
    <w:rPr>
      <w:b/>
      <w:bCs/>
      <w:lang w:eastAsia="en-US"/>
    </w:rPr>
  </w:style>
  <w:style w:type="paragraph" w:styleId="NoSpacing">
    <w:name w:val="No Spacing"/>
    <w:link w:val="NoSpacingChar"/>
    <w:uiPriority w:val="1"/>
    <w:qFormat/>
    <w:rsid w:val="00332C19"/>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332C19"/>
    <w:rPr>
      <w:rFonts w:asciiTheme="minorHAnsi" w:eastAsiaTheme="minorEastAsia" w:hAnsiTheme="minorHAnsi" w:cstheme="minorBidi"/>
      <w:sz w:val="22"/>
      <w:szCs w:val="22"/>
    </w:rPr>
  </w:style>
  <w:style w:type="character" w:customStyle="1" w:styleId="MethodologyHeading1Char">
    <w:name w:val="Methodology_Heading_1 Char"/>
    <w:link w:val="MethodologyHeading1"/>
    <w:rsid w:val="009B5CA0"/>
    <w:rPr>
      <w:rFonts w:ascii="Arial Narrow" w:hAnsi="Arial Narrow"/>
      <w:sz w:val="44"/>
      <w:szCs w:val="24"/>
      <w:lang w:eastAsia="en-US"/>
    </w:rPr>
  </w:style>
  <w:style w:type="character" w:customStyle="1" w:styleId="HeaderChar">
    <w:name w:val="Header Char"/>
    <w:basedOn w:val="DefaultParagraphFont"/>
    <w:link w:val="Header"/>
    <w:rsid w:val="009C6A6C"/>
    <w:rPr>
      <w:sz w:val="24"/>
      <w:szCs w:val="24"/>
      <w:lang w:eastAsia="en-US"/>
    </w:rPr>
  </w:style>
  <w:style w:type="paragraph" w:styleId="Revision">
    <w:name w:val="Revision"/>
    <w:hidden/>
    <w:uiPriority w:val="99"/>
    <w:semiHidden/>
    <w:rsid w:val="00B14177"/>
    <w:rPr>
      <w:sz w:val="24"/>
      <w:szCs w:val="24"/>
      <w:lang w:eastAsia="en-US"/>
    </w:rPr>
  </w:style>
  <w:style w:type="table" w:styleId="TableGrid">
    <w:name w:val="Table Grid"/>
    <w:basedOn w:val="TableNormal"/>
    <w:rsid w:val="009410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E0627"/>
    <w:rPr>
      <w:color w:val="605E5C"/>
      <w:shd w:val="clear" w:color="auto" w:fill="E1DFDD"/>
    </w:rPr>
  </w:style>
  <w:style w:type="paragraph" w:styleId="BodyText">
    <w:name w:val="Body Text"/>
    <w:basedOn w:val="Normal"/>
    <w:link w:val="BodyTextChar"/>
    <w:unhideWhenUsed/>
    <w:rsid w:val="00877726"/>
    <w:pPr>
      <w:spacing w:after="120"/>
    </w:pPr>
  </w:style>
  <w:style w:type="character" w:customStyle="1" w:styleId="BodyTextChar">
    <w:name w:val="Body Text Char"/>
    <w:basedOn w:val="DefaultParagraphFont"/>
    <w:link w:val="BodyText"/>
    <w:rsid w:val="00877726"/>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1648">
      <w:bodyDiv w:val="1"/>
      <w:marLeft w:val="0"/>
      <w:marRight w:val="0"/>
      <w:marTop w:val="0"/>
      <w:marBottom w:val="0"/>
      <w:divBdr>
        <w:top w:val="none" w:sz="0" w:space="0" w:color="auto"/>
        <w:left w:val="none" w:sz="0" w:space="0" w:color="auto"/>
        <w:bottom w:val="none" w:sz="0" w:space="0" w:color="auto"/>
        <w:right w:val="none" w:sz="0" w:space="0" w:color="auto"/>
      </w:divBdr>
      <w:divsChild>
        <w:div w:id="17900930">
          <w:marLeft w:val="0"/>
          <w:marRight w:val="0"/>
          <w:marTop w:val="0"/>
          <w:marBottom w:val="0"/>
          <w:divBdr>
            <w:top w:val="none" w:sz="0" w:space="0" w:color="auto"/>
            <w:left w:val="none" w:sz="0" w:space="0" w:color="auto"/>
            <w:bottom w:val="none" w:sz="0" w:space="0" w:color="auto"/>
            <w:right w:val="none" w:sz="0" w:space="0" w:color="auto"/>
          </w:divBdr>
          <w:divsChild>
            <w:div w:id="1053118676">
              <w:marLeft w:val="0"/>
              <w:marRight w:val="0"/>
              <w:marTop w:val="0"/>
              <w:marBottom w:val="0"/>
              <w:divBdr>
                <w:top w:val="none" w:sz="0" w:space="0" w:color="auto"/>
                <w:left w:val="none" w:sz="0" w:space="0" w:color="auto"/>
                <w:bottom w:val="none" w:sz="0" w:space="0" w:color="auto"/>
                <w:right w:val="none" w:sz="0" w:space="0" w:color="auto"/>
              </w:divBdr>
              <w:divsChild>
                <w:div w:id="627975896">
                  <w:marLeft w:val="0"/>
                  <w:marRight w:val="0"/>
                  <w:marTop w:val="0"/>
                  <w:marBottom w:val="0"/>
                  <w:divBdr>
                    <w:top w:val="none" w:sz="0" w:space="0" w:color="auto"/>
                    <w:left w:val="none" w:sz="0" w:space="0" w:color="auto"/>
                    <w:bottom w:val="none" w:sz="0" w:space="0" w:color="auto"/>
                    <w:right w:val="none" w:sz="0" w:space="0" w:color="auto"/>
                  </w:divBdr>
                  <w:divsChild>
                    <w:div w:id="1480610966">
                      <w:marLeft w:val="0"/>
                      <w:marRight w:val="0"/>
                      <w:marTop w:val="0"/>
                      <w:marBottom w:val="0"/>
                      <w:divBdr>
                        <w:top w:val="none" w:sz="0" w:space="0" w:color="auto"/>
                        <w:left w:val="none" w:sz="0" w:space="0" w:color="auto"/>
                        <w:bottom w:val="none" w:sz="0" w:space="0" w:color="auto"/>
                        <w:right w:val="none" w:sz="0" w:space="0" w:color="auto"/>
                      </w:divBdr>
                      <w:divsChild>
                        <w:div w:id="530144565">
                          <w:marLeft w:val="0"/>
                          <w:marRight w:val="0"/>
                          <w:marTop w:val="0"/>
                          <w:marBottom w:val="0"/>
                          <w:divBdr>
                            <w:top w:val="none" w:sz="0" w:space="0" w:color="auto"/>
                            <w:left w:val="none" w:sz="0" w:space="0" w:color="auto"/>
                            <w:bottom w:val="none" w:sz="0" w:space="0" w:color="auto"/>
                            <w:right w:val="none" w:sz="0" w:space="0" w:color="auto"/>
                          </w:divBdr>
                          <w:divsChild>
                            <w:div w:id="1982348310">
                              <w:marLeft w:val="0"/>
                              <w:marRight w:val="0"/>
                              <w:marTop w:val="0"/>
                              <w:marBottom w:val="0"/>
                              <w:divBdr>
                                <w:top w:val="none" w:sz="0" w:space="0" w:color="auto"/>
                                <w:left w:val="none" w:sz="0" w:space="0" w:color="auto"/>
                                <w:bottom w:val="none" w:sz="0" w:space="0" w:color="auto"/>
                                <w:right w:val="none" w:sz="0" w:space="0" w:color="auto"/>
                              </w:divBdr>
                              <w:divsChild>
                                <w:div w:id="818377332">
                                  <w:marLeft w:val="0"/>
                                  <w:marRight w:val="0"/>
                                  <w:marTop w:val="0"/>
                                  <w:marBottom w:val="0"/>
                                  <w:divBdr>
                                    <w:top w:val="none" w:sz="0" w:space="0" w:color="auto"/>
                                    <w:left w:val="none" w:sz="0" w:space="0" w:color="auto"/>
                                    <w:bottom w:val="none" w:sz="0" w:space="0" w:color="auto"/>
                                    <w:right w:val="none" w:sz="0" w:space="0" w:color="auto"/>
                                  </w:divBdr>
                                  <w:divsChild>
                                    <w:div w:id="1108431552">
                                      <w:marLeft w:val="0"/>
                                      <w:marRight w:val="0"/>
                                      <w:marTop w:val="0"/>
                                      <w:marBottom w:val="0"/>
                                      <w:divBdr>
                                        <w:top w:val="none" w:sz="0" w:space="0" w:color="auto"/>
                                        <w:left w:val="none" w:sz="0" w:space="0" w:color="auto"/>
                                        <w:bottom w:val="none" w:sz="0" w:space="0" w:color="auto"/>
                                        <w:right w:val="none" w:sz="0" w:space="0" w:color="auto"/>
                                      </w:divBdr>
                                      <w:divsChild>
                                        <w:div w:id="33502570">
                                          <w:marLeft w:val="0"/>
                                          <w:marRight w:val="0"/>
                                          <w:marTop w:val="0"/>
                                          <w:marBottom w:val="0"/>
                                          <w:divBdr>
                                            <w:top w:val="none" w:sz="0" w:space="0" w:color="auto"/>
                                            <w:left w:val="none" w:sz="0" w:space="0" w:color="auto"/>
                                            <w:bottom w:val="none" w:sz="0" w:space="0" w:color="auto"/>
                                            <w:right w:val="none" w:sz="0" w:space="0" w:color="auto"/>
                                          </w:divBdr>
                                          <w:divsChild>
                                            <w:div w:id="1116678067">
                                              <w:marLeft w:val="0"/>
                                              <w:marRight w:val="0"/>
                                              <w:marTop w:val="0"/>
                                              <w:marBottom w:val="0"/>
                                              <w:divBdr>
                                                <w:top w:val="none" w:sz="0" w:space="0" w:color="auto"/>
                                                <w:left w:val="none" w:sz="0" w:space="0" w:color="auto"/>
                                                <w:bottom w:val="none" w:sz="0" w:space="0" w:color="auto"/>
                                                <w:right w:val="none" w:sz="0" w:space="0" w:color="auto"/>
                                              </w:divBdr>
                                              <w:divsChild>
                                                <w:div w:id="1326200140">
                                                  <w:marLeft w:val="0"/>
                                                  <w:marRight w:val="0"/>
                                                  <w:marTop w:val="0"/>
                                                  <w:marBottom w:val="0"/>
                                                  <w:divBdr>
                                                    <w:top w:val="none" w:sz="0" w:space="0" w:color="auto"/>
                                                    <w:left w:val="none" w:sz="0" w:space="0" w:color="auto"/>
                                                    <w:bottom w:val="none" w:sz="0" w:space="0" w:color="auto"/>
                                                    <w:right w:val="none" w:sz="0" w:space="0" w:color="auto"/>
                                                  </w:divBdr>
                                                  <w:divsChild>
                                                    <w:div w:id="1118646711">
                                                      <w:marLeft w:val="0"/>
                                                      <w:marRight w:val="0"/>
                                                      <w:marTop w:val="0"/>
                                                      <w:marBottom w:val="0"/>
                                                      <w:divBdr>
                                                        <w:top w:val="none" w:sz="0" w:space="0" w:color="auto"/>
                                                        <w:left w:val="none" w:sz="0" w:space="0" w:color="auto"/>
                                                        <w:bottom w:val="none" w:sz="0" w:space="0" w:color="auto"/>
                                                        <w:right w:val="none" w:sz="0" w:space="0" w:color="auto"/>
                                                      </w:divBdr>
                                                      <w:divsChild>
                                                        <w:div w:id="1061709519">
                                                          <w:marLeft w:val="0"/>
                                                          <w:marRight w:val="0"/>
                                                          <w:marTop w:val="0"/>
                                                          <w:marBottom w:val="0"/>
                                                          <w:divBdr>
                                                            <w:top w:val="none" w:sz="0" w:space="0" w:color="auto"/>
                                                            <w:left w:val="none" w:sz="0" w:space="0" w:color="auto"/>
                                                            <w:bottom w:val="none" w:sz="0" w:space="0" w:color="auto"/>
                                                            <w:right w:val="none" w:sz="0" w:space="0" w:color="auto"/>
                                                          </w:divBdr>
                                                          <w:divsChild>
                                                            <w:div w:id="1293516197">
                                                              <w:marLeft w:val="0"/>
                                                              <w:marRight w:val="0"/>
                                                              <w:marTop w:val="0"/>
                                                              <w:marBottom w:val="0"/>
                                                              <w:divBdr>
                                                                <w:top w:val="none" w:sz="0" w:space="0" w:color="auto"/>
                                                                <w:left w:val="none" w:sz="0" w:space="0" w:color="auto"/>
                                                                <w:bottom w:val="none" w:sz="0" w:space="0" w:color="auto"/>
                                                                <w:right w:val="none" w:sz="0" w:space="0" w:color="auto"/>
                                                              </w:divBdr>
                                                              <w:divsChild>
                                                                <w:div w:id="1143424457">
                                                                  <w:marLeft w:val="0"/>
                                                                  <w:marRight w:val="0"/>
                                                                  <w:marTop w:val="0"/>
                                                                  <w:marBottom w:val="0"/>
                                                                  <w:divBdr>
                                                                    <w:top w:val="none" w:sz="0" w:space="0" w:color="auto"/>
                                                                    <w:left w:val="none" w:sz="0" w:space="0" w:color="auto"/>
                                                                    <w:bottom w:val="none" w:sz="0" w:space="0" w:color="auto"/>
                                                                    <w:right w:val="none" w:sz="0" w:space="0" w:color="auto"/>
                                                                  </w:divBdr>
                                                                  <w:divsChild>
                                                                    <w:div w:id="462119898">
                                                                      <w:marLeft w:val="0"/>
                                                                      <w:marRight w:val="0"/>
                                                                      <w:marTop w:val="0"/>
                                                                      <w:marBottom w:val="0"/>
                                                                      <w:divBdr>
                                                                        <w:top w:val="none" w:sz="0" w:space="0" w:color="auto"/>
                                                                        <w:left w:val="none" w:sz="0" w:space="0" w:color="auto"/>
                                                                        <w:bottom w:val="none" w:sz="0" w:space="0" w:color="auto"/>
                                                                        <w:right w:val="none" w:sz="0" w:space="0" w:color="auto"/>
                                                                      </w:divBdr>
                                                                      <w:divsChild>
                                                                        <w:div w:id="26438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8184013">
      <w:bodyDiv w:val="1"/>
      <w:marLeft w:val="0"/>
      <w:marRight w:val="0"/>
      <w:marTop w:val="0"/>
      <w:marBottom w:val="0"/>
      <w:divBdr>
        <w:top w:val="none" w:sz="0" w:space="0" w:color="auto"/>
        <w:left w:val="none" w:sz="0" w:space="0" w:color="auto"/>
        <w:bottom w:val="none" w:sz="0" w:space="0" w:color="auto"/>
        <w:right w:val="none" w:sz="0" w:space="0" w:color="auto"/>
      </w:divBdr>
    </w:div>
    <w:div w:id="603999599">
      <w:bodyDiv w:val="1"/>
      <w:marLeft w:val="0"/>
      <w:marRight w:val="0"/>
      <w:marTop w:val="0"/>
      <w:marBottom w:val="0"/>
      <w:divBdr>
        <w:top w:val="none" w:sz="0" w:space="0" w:color="auto"/>
        <w:left w:val="none" w:sz="0" w:space="0" w:color="auto"/>
        <w:bottom w:val="none" w:sz="0" w:space="0" w:color="auto"/>
        <w:right w:val="none" w:sz="0" w:space="0" w:color="auto"/>
      </w:divBdr>
    </w:div>
    <w:div w:id="1021475042">
      <w:bodyDiv w:val="1"/>
      <w:marLeft w:val="0"/>
      <w:marRight w:val="0"/>
      <w:marTop w:val="0"/>
      <w:marBottom w:val="0"/>
      <w:divBdr>
        <w:top w:val="none" w:sz="0" w:space="0" w:color="auto"/>
        <w:left w:val="none" w:sz="0" w:space="0" w:color="auto"/>
        <w:bottom w:val="none" w:sz="0" w:space="0" w:color="auto"/>
        <w:right w:val="none" w:sz="0" w:space="0" w:color="auto"/>
      </w:divBdr>
      <w:divsChild>
        <w:div w:id="1527447714">
          <w:marLeft w:val="0"/>
          <w:marRight w:val="0"/>
          <w:marTop w:val="0"/>
          <w:marBottom w:val="0"/>
          <w:divBdr>
            <w:top w:val="none" w:sz="0" w:space="0" w:color="auto"/>
            <w:left w:val="none" w:sz="0" w:space="0" w:color="auto"/>
            <w:bottom w:val="none" w:sz="0" w:space="0" w:color="auto"/>
            <w:right w:val="none" w:sz="0" w:space="0" w:color="auto"/>
          </w:divBdr>
          <w:divsChild>
            <w:div w:id="627127178">
              <w:marLeft w:val="0"/>
              <w:marRight w:val="0"/>
              <w:marTop w:val="0"/>
              <w:marBottom w:val="0"/>
              <w:divBdr>
                <w:top w:val="none" w:sz="0" w:space="0" w:color="auto"/>
                <w:left w:val="none" w:sz="0" w:space="0" w:color="auto"/>
                <w:bottom w:val="none" w:sz="0" w:space="0" w:color="auto"/>
                <w:right w:val="none" w:sz="0" w:space="0" w:color="auto"/>
              </w:divBdr>
              <w:divsChild>
                <w:div w:id="1177109873">
                  <w:marLeft w:val="0"/>
                  <w:marRight w:val="0"/>
                  <w:marTop w:val="0"/>
                  <w:marBottom w:val="0"/>
                  <w:divBdr>
                    <w:top w:val="none" w:sz="0" w:space="0" w:color="auto"/>
                    <w:left w:val="none" w:sz="0" w:space="0" w:color="auto"/>
                    <w:bottom w:val="none" w:sz="0" w:space="0" w:color="auto"/>
                    <w:right w:val="none" w:sz="0" w:space="0" w:color="auto"/>
                  </w:divBdr>
                  <w:divsChild>
                    <w:div w:id="551892394">
                      <w:marLeft w:val="0"/>
                      <w:marRight w:val="0"/>
                      <w:marTop w:val="0"/>
                      <w:marBottom w:val="0"/>
                      <w:divBdr>
                        <w:top w:val="none" w:sz="0" w:space="0" w:color="auto"/>
                        <w:left w:val="none" w:sz="0" w:space="0" w:color="auto"/>
                        <w:bottom w:val="none" w:sz="0" w:space="0" w:color="auto"/>
                        <w:right w:val="none" w:sz="0" w:space="0" w:color="auto"/>
                      </w:divBdr>
                      <w:divsChild>
                        <w:div w:id="1121924731">
                          <w:marLeft w:val="0"/>
                          <w:marRight w:val="0"/>
                          <w:marTop w:val="0"/>
                          <w:marBottom w:val="0"/>
                          <w:divBdr>
                            <w:top w:val="none" w:sz="0" w:space="0" w:color="auto"/>
                            <w:left w:val="none" w:sz="0" w:space="0" w:color="auto"/>
                            <w:bottom w:val="none" w:sz="0" w:space="0" w:color="auto"/>
                            <w:right w:val="none" w:sz="0" w:space="0" w:color="auto"/>
                          </w:divBdr>
                          <w:divsChild>
                            <w:div w:id="649359693">
                              <w:marLeft w:val="0"/>
                              <w:marRight w:val="0"/>
                              <w:marTop w:val="0"/>
                              <w:marBottom w:val="0"/>
                              <w:divBdr>
                                <w:top w:val="none" w:sz="0" w:space="0" w:color="auto"/>
                                <w:left w:val="none" w:sz="0" w:space="0" w:color="auto"/>
                                <w:bottom w:val="none" w:sz="0" w:space="0" w:color="auto"/>
                                <w:right w:val="none" w:sz="0" w:space="0" w:color="auto"/>
                              </w:divBdr>
                              <w:divsChild>
                                <w:div w:id="1728186156">
                                  <w:marLeft w:val="0"/>
                                  <w:marRight w:val="0"/>
                                  <w:marTop w:val="0"/>
                                  <w:marBottom w:val="0"/>
                                  <w:divBdr>
                                    <w:top w:val="none" w:sz="0" w:space="0" w:color="auto"/>
                                    <w:left w:val="none" w:sz="0" w:space="0" w:color="auto"/>
                                    <w:bottom w:val="none" w:sz="0" w:space="0" w:color="auto"/>
                                    <w:right w:val="none" w:sz="0" w:space="0" w:color="auto"/>
                                  </w:divBdr>
                                  <w:divsChild>
                                    <w:div w:id="1626767151">
                                      <w:marLeft w:val="0"/>
                                      <w:marRight w:val="0"/>
                                      <w:marTop w:val="0"/>
                                      <w:marBottom w:val="0"/>
                                      <w:divBdr>
                                        <w:top w:val="none" w:sz="0" w:space="0" w:color="auto"/>
                                        <w:left w:val="none" w:sz="0" w:space="0" w:color="auto"/>
                                        <w:bottom w:val="none" w:sz="0" w:space="0" w:color="auto"/>
                                        <w:right w:val="none" w:sz="0" w:space="0" w:color="auto"/>
                                      </w:divBdr>
                                      <w:divsChild>
                                        <w:div w:id="1924485829">
                                          <w:marLeft w:val="0"/>
                                          <w:marRight w:val="0"/>
                                          <w:marTop w:val="0"/>
                                          <w:marBottom w:val="0"/>
                                          <w:divBdr>
                                            <w:top w:val="none" w:sz="0" w:space="0" w:color="auto"/>
                                            <w:left w:val="none" w:sz="0" w:space="0" w:color="auto"/>
                                            <w:bottom w:val="none" w:sz="0" w:space="0" w:color="auto"/>
                                            <w:right w:val="none" w:sz="0" w:space="0" w:color="auto"/>
                                          </w:divBdr>
                                          <w:divsChild>
                                            <w:div w:id="873734109">
                                              <w:marLeft w:val="0"/>
                                              <w:marRight w:val="0"/>
                                              <w:marTop w:val="0"/>
                                              <w:marBottom w:val="0"/>
                                              <w:divBdr>
                                                <w:top w:val="none" w:sz="0" w:space="0" w:color="auto"/>
                                                <w:left w:val="none" w:sz="0" w:space="0" w:color="auto"/>
                                                <w:bottom w:val="none" w:sz="0" w:space="0" w:color="auto"/>
                                                <w:right w:val="none" w:sz="0" w:space="0" w:color="auto"/>
                                              </w:divBdr>
                                              <w:divsChild>
                                                <w:div w:id="1105350209">
                                                  <w:marLeft w:val="0"/>
                                                  <w:marRight w:val="0"/>
                                                  <w:marTop w:val="0"/>
                                                  <w:marBottom w:val="0"/>
                                                  <w:divBdr>
                                                    <w:top w:val="none" w:sz="0" w:space="0" w:color="auto"/>
                                                    <w:left w:val="none" w:sz="0" w:space="0" w:color="auto"/>
                                                    <w:bottom w:val="none" w:sz="0" w:space="0" w:color="auto"/>
                                                    <w:right w:val="none" w:sz="0" w:space="0" w:color="auto"/>
                                                  </w:divBdr>
                                                  <w:divsChild>
                                                    <w:div w:id="1318336367">
                                                      <w:marLeft w:val="0"/>
                                                      <w:marRight w:val="0"/>
                                                      <w:marTop w:val="0"/>
                                                      <w:marBottom w:val="0"/>
                                                      <w:divBdr>
                                                        <w:top w:val="none" w:sz="0" w:space="0" w:color="auto"/>
                                                        <w:left w:val="none" w:sz="0" w:space="0" w:color="auto"/>
                                                        <w:bottom w:val="none" w:sz="0" w:space="0" w:color="auto"/>
                                                        <w:right w:val="none" w:sz="0" w:space="0" w:color="auto"/>
                                                      </w:divBdr>
                                                      <w:divsChild>
                                                        <w:div w:id="739790919">
                                                          <w:marLeft w:val="0"/>
                                                          <w:marRight w:val="0"/>
                                                          <w:marTop w:val="0"/>
                                                          <w:marBottom w:val="0"/>
                                                          <w:divBdr>
                                                            <w:top w:val="none" w:sz="0" w:space="0" w:color="auto"/>
                                                            <w:left w:val="none" w:sz="0" w:space="0" w:color="auto"/>
                                                            <w:bottom w:val="none" w:sz="0" w:space="0" w:color="auto"/>
                                                            <w:right w:val="none" w:sz="0" w:space="0" w:color="auto"/>
                                                          </w:divBdr>
                                                          <w:divsChild>
                                                            <w:div w:id="372465415">
                                                              <w:marLeft w:val="0"/>
                                                              <w:marRight w:val="0"/>
                                                              <w:marTop w:val="0"/>
                                                              <w:marBottom w:val="0"/>
                                                              <w:divBdr>
                                                                <w:top w:val="none" w:sz="0" w:space="0" w:color="auto"/>
                                                                <w:left w:val="none" w:sz="0" w:space="0" w:color="auto"/>
                                                                <w:bottom w:val="none" w:sz="0" w:space="0" w:color="auto"/>
                                                                <w:right w:val="none" w:sz="0" w:space="0" w:color="auto"/>
                                                              </w:divBdr>
                                                              <w:divsChild>
                                                                <w:div w:id="938875269">
                                                                  <w:marLeft w:val="0"/>
                                                                  <w:marRight w:val="0"/>
                                                                  <w:marTop w:val="0"/>
                                                                  <w:marBottom w:val="0"/>
                                                                  <w:divBdr>
                                                                    <w:top w:val="none" w:sz="0" w:space="0" w:color="auto"/>
                                                                    <w:left w:val="none" w:sz="0" w:space="0" w:color="auto"/>
                                                                    <w:bottom w:val="none" w:sz="0" w:space="0" w:color="auto"/>
                                                                    <w:right w:val="none" w:sz="0" w:space="0" w:color="auto"/>
                                                                  </w:divBdr>
                                                                  <w:divsChild>
                                                                    <w:div w:id="1645770955">
                                                                      <w:marLeft w:val="0"/>
                                                                      <w:marRight w:val="0"/>
                                                                      <w:marTop w:val="0"/>
                                                                      <w:marBottom w:val="0"/>
                                                                      <w:divBdr>
                                                                        <w:top w:val="none" w:sz="0" w:space="0" w:color="auto"/>
                                                                        <w:left w:val="none" w:sz="0" w:space="0" w:color="auto"/>
                                                                        <w:bottom w:val="none" w:sz="0" w:space="0" w:color="auto"/>
                                                                        <w:right w:val="none" w:sz="0" w:space="0" w:color="auto"/>
                                                                      </w:divBdr>
                                                                      <w:divsChild>
                                                                        <w:div w:id="15298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3352894">
      <w:bodyDiv w:val="1"/>
      <w:marLeft w:val="0"/>
      <w:marRight w:val="0"/>
      <w:marTop w:val="0"/>
      <w:marBottom w:val="0"/>
      <w:divBdr>
        <w:top w:val="none" w:sz="0" w:space="0" w:color="auto"/>
        <w:left w:val="none" w:sz="0" w:space="0" w:color="auto"/>
        <w:bottom w:val="none" w:sz="0" w:space="0" w:color="auto"/>
        <w:right w:val="none" w:sz="0" w:space="0" w:color="auto"/>
      </w:divBdr>
    </w:div>
    <w:div w:id="1455253918">
      <w:bodyDiv w:val="1"/>
      <w:marLeft w:val="0"/>
      <w:marRight w:val="0"/>
      <w:marTop w:val="0"/>
      <w:marBottom w:val="0"/>
      <w:divBdr>
        <w:top w:val="none" w:sz="0" w:space="0" w:color="auto"/>
        <w:left w:val="none" w:sz="0" w:space="0" w:color="auto"/>
        <w:bottom w:val="none" w:sz="0" w:space="0" w:color="auto"/>
        <w:right w:val="none" w:sz="0" w:space="0" w:color="auto"/>
      </w:divBdr>
      <w:divsChild>
        <w:div w:id="785851270">
          <w:marLeft w:val="0"/>
          <w:marRight w:val="0"/>
          <w:marTop w:val="0"/>
          <w:marBottom w:val="0"/>
          <w:divBdr>
            <w:top w:val="none" w:sz="0" w:space="0" w:color="auto"/>
            <w:left w:val="none" w:sz="0" w:space="0" w:color="auto"/>
            <w:bottom w:val="none" w:sz="0" w:space="0" w:color="auto"/>
            <w:right w:val="none" w:sz="0" w:space="0" w:color="auto"/>
          </w:divBdr>
          <w:divsChild>
            <w:div w:id="1788161428">
              <w:marLeft w:val="0"/>
              <w:marRight w:val="0"/>
              <w:marTop w:val="0"/>
              <w:marBottom w:val="0"/>
              <w:divBdr>
                <w:top w:val="none" w:sz="0" w:space="0" w:color="auto"/>
                <w:left w:val="none" w:sz="0" w:space="0" w:color="auto"/>
                <w:bottom w:val="none" w:sz="0" w:space="0" w:color="auto"/>
                <w:right w:val="none" w:sz="0" w:space="0" w:color="auto"/>
              </w:divBdr>
              <w:divsChild>
                <w:div w:id="80419928">
                  <w:marLeft w:val="0"/>
                  <w:marRight w:val="0"/>
                  <w:marTop w:val="0"/>
                  <w:marBottom w:val="0"/>
                  <w:divBdr>
                    <w:top w:val="none" w:sz="0" w:space="0" w:color="auto"/>
                    <w:left w:val="none" w:sz="0" w:space="0" w:color="auto"/>
                    <w:bottom w:val="none" w:sz="0" w:space="0" w:color="auto"/>
                    <w:right w:val="none" w:sz="0" w:space="0" w:color="auto"/>
                  </w:divBdr>
                  <w:divsChild>
                    <w:div w:id="1260990831">
                      <w:marLeft w:val="0"/>
                      <w:marRight w:val="0"/>
                      <w:marTop w:val="0"/>
                      <w:marBottom w:val="0"/>
                      <w:divBdr>
                        <w:top w:val="none" w:sz="0" w:space="0" w:color="auto"/>
                        <w:left w:val="none" w:sz="0" w:space="0" w:color="auto"/>
                        <w:bottom w:val="none" w:sz="0" w:space="0" w:color="auto"/>
                        <w:right w:val="none" w:sz="0" w:space="0" w:color="auto"/>
                      </w:divBdr>
                      <w:divsChild>
                        <w:div w:id="857504622">
                          <w:marLeft w:val="0"/>
                          <w:marRight w:val="0"/>
                          <w:marTop w:val="0"/>
                          <w:marBottom w:val="0"/>
                          <w:divBdr>
                            <w:top w:val="none" w:sz="0" w:space="0" w:color="auto"/>
                            <w:left w:val="none" w:sz="0" w:space="0" w:color="auto"/>
                            <w:bottom w:val="none" w:sz="0" w:space="0" w:color="auto"/>
                            <w:right w:val="none" w:sz="0" w:space="0" w:color="auto"/>
                          </w:divBdr>
                          <w:divsChild>
                            <w:div w:id="693308685">
                              <w:marLeft w:val="0"/>
                              <w:marRight w:val="0"/>
                              <w:marTop w:val="0"/>
                              <w:marBottom w:val="0"/>
                              <w:divBdr>
                                <w:top w:val="none" w:sz="0" w:space="0" w:color="auto"/>
                                <w:left w:val="none" w:sz="0" w:space="0" w:color="auto"/>
                                <w:bottom w:val="none" w:sz="0" w:space="0" w:color="auto"/>
                                <w:right w:val="none" w:sz="0" w:space="0" w:color="auto"/>
                              </w:divBdr>
                              <w:divsChild>
                                <w:div w:id="356542522">
                                  <w:marLeft w:val="0"/>
                                  <w:marRight w:val="0"/>
                                  <w:marTop w:val="0"/>
                                  <w:marBottom w:val="0"/>
                                  <w:divBdr>
                                    <w:top w:val="none" w:sz="0" w:space="0" w:color="auto"/>
                                    <w:left w:val="none" w:sz="0" w:space="0" w:color="auto"/>
                                    <w:bottom w:val="none" w:sz="0" w:space="0" w:color="auto"/>
                                    <w:right w:val="none" w:sz="0" w:space="0" w:color="auto"/>
                                  </w:divBdr>
                                  <w:divsChild>
                                    <w:div w:id="1153988627">
                                      <w:marLeft w:val="0"/>
                                      <w:marRight w:val="0"/>
                                      <w:marTop w:val="0"/>
                                      <w:marBottom w:val="0"/>
                                      <w:divBdr>
                                        <w:top w:val="none" w:sz="0" w:space="0" w:color="auto"/>
                                        <w:left w:val="none" w:sz="0" w:space="0" w:color="auto"/>
                                        <w:bottom w:val="none" w:sz="0" w:space="0" w:color="auto"/>
                                        <w:right w:val="none" w:sz="0" w:space="0" w:color="auto"/>
                                      </w:divBdr>
                                      <w:divsChild>
                                        <w:div w:id="66146595">
                                          <w:marLeft w:val="0"/>
                                          <w:marRight w:val="0"/>
                                          <w:marTop w:val="0"/>
                                          <w:marBottom w:val="0"/>
                                          <w:divBdr>
                                            <w:top w:val="none" w:sz="0" w:space="0" w:color="auto"/>
                                            <w:left w:val="none" w:sz="0" w:space="0" w:color="auto"/>
                                            <w:bottom w:val="none" w:sz="0" w:space="0" w:color="auto"/>
                                            <w:right w:val="none" w:sz="0" w:space="0" w:color="auto"/>
                                          </w:divBdr>
                                          <w:divsChild>
                                            <w:div w:id="527842485">
                                              <w:marLeft w:val="0"/>
                                              <w:marRight w:val="0"/>
                                              <w:marTop w:val="0"/>
                                              <w:marBottom w:val="0"/>
                                              <w:divBdr>
                                                <w:top w:val="none" w:sz="0" w:space="0" w:color="auto"/>
                                                <w:left w:val="none" w:sz="0" w:space="0" w:color="auto"/>
                                                <w:bottom w:val="none" w:sz="0" w:space="0" w:color="auto"/>
                                                <w:right w:val="none" w:sz="0" w:space="0" w:color="auto"/>
                                              </w:divBdr>
                                              <w:divsChild>
                                                <w:div w:id="612443937">
                                                  <w:marLeft w:val="0"/>
                                                  <w:marRight w:val="0"/>
                                                  <w:marTop w:val="0"/>
                                                  <w:marBottom w:val="0"/>
                                                  <w:divBdr>
                                                    <w:top w:val="none" w:sz="0" w:space="0" w:color="auto"/>
                                                    <w:left w:val="none" w:sz="0" w:space="0" w:color="auto"/>
                                                    <w:bottom w:val="none" w:sz="0" w:space="0" w:color="auto"/>
                                                    <w:right w:val="none" w:sz="0" w:space="0" w:color="auto"/>
                                                  </w:divBdr>
                                                  <w:divsChild>
                                                    <w:div w:id="1949772270">
                                                      <w:marLeft w:val="0"/>
                                                      <w:marRight w:val="0"/>
                                                      <w:marTop w:val="0"/>
                                                      <w:marBottom w:val="0"/>
                                                      <w:divBdr>
                                                        <w:top w:val="none" w:sz="0" w:space="0" w:color="auto"/>
                                                        <w:left w:val="none" w:sz="0" w:space="0" w:color="auto"/>
                                                        <w:bottom w:val="none" w:sz="0" w:space="0" w:color="auto"/>
                                                        <w:right w:val="none" w:sz="0" w:space="0" w:color="auto"/>
                                                      </w:divBdr>
                                                      <w:divsChild>
                                                        <w:div w:id="983437213">
                                                          <w:marLeft w:val="0"/>
                                                          <w:marRight w:val="0"/>
                                                          <w:marTop w:val="0"/>
                                                          <w:marBottom w:val="0"/>
                                                          <w:divBdr>
                                                            <w:top w:val="none" w:sz="0" w:space="0" w:color="auto"/>
                                                            <w:left w:val="none" w:sz="0" w:space="0" w:color="auto"/>
                                                            <w:bottom w:val="none" w:sz="0" w:space="0" w:color="auto"/>
                                                            <w:right w:val="none" w:sz="0" w:space="0" w:color="auto"/>
                                                          </w:divBdr>
                                                          <w:divsChild>
                                                            <w:div w:id="697318749">
                                                              <w:marLeft w:val="0"/>
                                                              <w:marRight w:val="0"/>
                                                              <w:marTop w:val="0"/>
                                                              <w:marBottom w:val="0"/>
                                                              <w:divBdr>
                                                                <w:top w:val="none" w:sz="0" w:space="0" w:color="auto"/>
                                                                <w:left w:val="none" w:sz="0" w:space="0" w:color="auto"/>
                                                                <w:bottom w:val="none" w:sz="0" w:space="0" w:color="auto"/>
                                                                <w:right w:val="none" w:sz="0" w:space="0" w:color="auto"/>
                                                              </w:divBdr>
                                                              <w:divsChild>
                                                                <w:div w:id="1001204323">
                                                                  <w:marLeft w:val="0"/>
                                                                  <w:marRight w:val="0"/>
                                                                  <w:marTop w:val="0"/>
                                                                  <w:marBottom w:val="0"/>
                                                                  <w:divBdr>
                                                                    <w:top w:val="none" w:sz="0" w:space="0" w:color="auto"/>
                                                                    <w:left w:val="none" w:sz="0" w:space="0" w:color="auto"/>
                                                                    <w:bottom w:val="none" w:sz="0" w:space="0" w:color="auto"/>
                                                                    <w:right w:val="none" w:sz="0" w:space="0" w:color="auto"/>
                                                                  </w:divBdr>
                                                                  <w:divsChild>
                                                                    <w:div w:id="1188759661">
                                                                      <w:marLeft w:val="0"/>
                                                                      <w:marRight w:val="0"/>
                                                                      <w:marTop w:val="0"/>
                                                                      <w:marBottom w:val="0"/>
                                                                      <w:divBdr>
                                                                        <w:top w:val="none" w:sz="0" w:space="0" w:color="auto"/>
                                                                        <w:left w:val="none" w:sz="0" w:space="0" w:color="auto"/>
                                                                        <w:bottom w:val="none" w:sz="0" w:space="0" w:color="auto"/>
                                                                        <w:right w:val="none" w:sz="0" w:space="0" w:color="auto"/>
                                                                      </w:divBdr>
                                                                      <w:divsChild>
                                                                        <w:div w:id="11550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4565093">
      <w:bodyDiv w:val="1"/>
      <w:marLeft w:val="0"/>
      <w:marRight w:val="0"/>
      <w:marTop w:val="0"/>
      <w:marBottom w:val="0"/>
      <w:divBdr>
        <w:top w:val="none" w:sz="0" w:space="0" w:color="auto"/>
        <w:left w:val="none" w:sz="0" w:space="0" w:color="auto"/>
        <w:bottom w:val="none" w:sz="0" w:space="0" w:color="auto"/>
        <w:right w:val="none" w:sz="0" w:space="0" w:color="auto"/>
      </w:divBdr>
    </w:div>
    <w:div w:id="1618485584">
      <w:bodyDiv w:val="1"/>
      <w:marLeft w:val="0"/>
      <w:marRight w:val="0"/>
      <w:marTop w:val="0"/>
      <w:marBottom w:val="0"/>
      <w:divBdr>
        <w:top w:val="none" w:sz="0" w:space="0" w:color="auto"/>
        <w:left w:val="none" w:sz="0" w:space="0" w:color="auto"/>
        <w:bottom w:val="none" w:sz="0" w:space="0" w:color="auto"/>
        <w:right w:val="none" w:sz="0" w:space="0" w:color="auto"/>
      </w:divBdr>
      <w:divsChild>
        <w:div w:id="640379360">
          <w:marLeft w:val="0"/>
          <w:marRight w:val="0"/>
          <w:marTop w:val="0"/>
          <w:marBottom w:val="0"/>
          <w:divBdr>
            <w:top w:val="none" w:sz="0" w:space="0" w:color="auto"/>
            <w:left w:val="none" w:sz="0" w:space="0" w:color="auto"/>
            <w:bottom w:val="none" w:sz="0" w:space="0" w:color="auto"/>
            <w:right w:val="none" w:sz="0" w:space="0" w:color="auto"/>
          </w:divBdr>
          <w:divsChild>
            <w:div w:id="870386369">
              <w:marLeft w:val="0"/>
              <w:marRight w:val="0"/>
              <w:marTop w:val="0"/>
              <w:marBottom w:val="0"/>
              <w:divBdr>
                <w:top w:val="none" w:sz="0" w:space="0" w:color="auto"/>
                <w:left w:val="none" w:sz="0" w:space="0" w:color="auto"/>
                <w:bottom w:val="none" w:sz="0" w:space="0" w:color="auto"/>
                <w:right w:val="none" w:sz="0" w:space="0" w:color="auto"/>
              </w:divBdr>
              <w:divsChild>
                <w:div w:id="6257210">
                  <w:marLeft w:val="0"/>
                  <w:marRight w:val="0"/>
                  <w:marTop w:val="0"/>
                  <w:marBottom w:val="0"/>
                  <w:divBdr>
                    <w:top w:val="none" w:sz="0" w:space="0" w:color="auto"/>
                    <w:left w:val="none" w:sz="0" w:space="0" w:color="auto"/>
                    <w:bottom w:val="none" w:sz="0" w:space="0" w:color="auto"/>
                    <w:right w:val="none" w:sz="0" w:space="0" w:color="auto"/>
                  </w:divBdr>
                  <w:divsChild>
                    <w:div w:id="854149285">
                      <w:marLeft w:val="0"/>
                      <w:marRight w:val="0"/>
                      <w:marTop w:val="0"/>
                      <w:marBottom w:val="0"/>
                      <w:divBdr>
                        <w:top w:val="none" w:sz="0" w:space="0" w:color="auto"/>
                        <w:left w:val="none" w:sz="0" w:space="0" w:color="auto"/>
                        <w:bottom w:val="none" w:sz="0" w:space="0" w:color="auto"/>
                        <w:right w:val="none" w:sz="0" w:space="0" w:color="auto"/>
                      </w:divBdr>
                      <w:divsChild>
                        <w:div w:id="1995715319">
                          <w:marLeft w:val="0"/>
                          <w:marRight w:val="0"/>
                          <w:marTop w:val="0"/>
                          <w:marBottom w:val="0"/>
                          <w:divBdr>
                            <w:top w:val="none" w:sz="0" w:space="0" w:color="auto"/>
                            <w:left w:val="none" w:sz="0" w:space="0" w:color="auto"/>
                            <w:bottom w:val="none" w:sz="0" w:space="0" w:color="auto"/>
                            <w:right w:val="none" w:sz="0" w:space="0" w:color="auto"/>
                          </w:divBdr>
                          <w:divsChild>
                            <w:div w:id="473104774">
                              <w:marLeft w:val="0"/>
                              <w:marRight w:val="0"/>
                              <w:marTop w:val="0"/>
                              <w:marBottom w:val="0"/>
                              <w:divBdr>
                                <w:top w:val="none" w:sz="0" w:space="0" w:color="auto"/>
                                <w:left w:val="none" w:sz="0" w:space="0" w:color="auto"/>
                                <w:bottom w:val="none" w:sz="0" w:space="0" w:color="auto"/>
                                <w:right w:val="none" w:sz="0" w:space="0" w:color="auto"/>
                              </w:divBdr>
                              <w:divsChild>
                                <w:div w:id="136185750">
                                  <w:marLeft w:val="0"/>
                                  <w:marRight w:val="0"/>
                                  <w:marTop w:val="0"/>
                                  <w:marBottom w:val="0"/>
                                  <w:divBdr>
                                    <w:top w:val="none" w:sz="0" w:space="0" w:color="auto"/>
                                    <w:left w:val="none" w:sz="0" w:space="0" w:color="auto"/>
                                    <w:bottom w:val="none" w:sz="0" w:space="0" w:color="auto"/>
                                    <w:right w:val="none" w:sz="0" w:space="0" w:color="auto"/>
                                  </w:divBdr>
                                  <w:divsChild>
                                    <w:div w:id="555550814">
                                      <w:marLeft w:val="0"/>
                                      <w:marRight w:val="0"/>
                                      <w:marTop w:val="0"/>
                                      <w:marBottom w:val="0"/>
                                      <w:divBdr>
                                        <w:top w:val="none" w:sz="0" w:space="0" w:color="auto"/>
                                        <w:left w:val="none" w:sz="0" w:space="0" w:color="auto"/>
                                        <w:bottom w:val="none" w:sz="0" w:space="0" w:color="auto"/>
                                        <w:right w:val="none" w:sz="0" w:space="0" w:color="auto"/>
                                      </w:divBdr>
                                      <w:divsChild>
                                        <w:div w:id="2114326717">
                                          <w:marLeft w:val="0"/>
                                          <w:marRight w:val="0"/>
                                          <w:marTop w:val="0"/>
                                          <w:marBottom w:val="0"/>
                                          <w:divBdr>
                                            <w:top w:val="none" w:sz="0" w:space="0" w:color="auto"/>
                                            <w:left w:val="none" w:sz="0" w:space="0" w:color="auto"/>
                                            <w:bottom w:val="none" w:sz="0" w:space="0" w:color="auto"/>
                                            <w:right w:val="none" w:sz="0" w:space="0" w:color="auto"/>
                                          </w:divBdr>
                                          <w:divsChild>
                                            <w:div w:id="1036348410">
                                              <w:marLeft w:val="0"/>
                                              <w:marRight w:val="0"/>
                                              <w:marTop w:val="0"/>
                                              <w:marBottom w:val="0"/>
                                              <w:divBdr>
                                                <w:top w:val="none" w:sz="0" w:space="0" w:color="auto"/>
                                                <w:left w:val="none" w:sz="0" w:space="0" w:color="auto"/>
                                                <w:bottom w:val="none" w:sz="0" w:space="0" w:color="auto"/>
                                                <w:right w:val="none" w:sz="0" w:space="0" w:color="auto"/>
                                              </w:divBdr>
                                              <w:divsChild>
                                                <w:div w:id="207910962">
                                                  <w:marLeft w:val="0"/>
                                                  <w:marRight w:val="0"/>
                                                  <w:marTop w:val="0"/>
                                                  <w:marBottom w:val="0"/>
                                                  <w:divBdr>
                                                    <w:top w:val="none" w:sz="0" w:space="0" w:color="auto"/>
                                                    <w:left w:val="none" w:sz="0" w:space="0" w:color="auto"/>
                                                    <w:bottom w:val="none" w:sz="0" w:space="0" w:color="auto"/>
                                                    <w:right w:val="none" w:sz="0" w:space="0" w:color="auto"/>
                                                  </w:divBdr>
                                                  <w:divsChild>
                                                    <w:div w:id="1500729683">
                                                      <w:marLeft w:val="0"/>
                                                      <w:marRight w:val="0"/>
                                                      <w:marTop w:val="0"/>
                                                      <w:marBottom w:val="0"/>
                                                      <w:divBdr>
                                                        <w:top w:val="none" w:sz="0" w:space="0" w:color="auto"/>
                                                        <w:left w:val="none" w:sz="0" w:space="0" w:color="auto"/>
                                                        <w:bottom w:val="none" w:sz="0" w:space="0" w:color="auto"/>
                                                        <w:right w:val="none" w:sz="0" w:space="0" w:color="auto"/>
                                                      </w:divBdr>
                                                      <w:divsChild>
                                                        <w:div w:id="764571121">
                                                          <w:marLeft w:val="0"/>
                                                          <w:marRight w:val="0"/>
                                                          <w:marTop w:val="0"/>
                                                          <w:marBottom w:val="0"/>
                                                          <w:divBdr>
                                                            <w:top w:val="none" w:sz="0" w:space="0" w:color="auto"/>
                                                            <w:left w:val="none" w:sz="0" w:space="0" w:color="auto"/>
                                                            <w:bottom w:val="none" w:sz="0" w:space="0" w:color="auto"/>
                                                            <w:right w:val="none" w:sz="0" w:space="0" w:color="auto"/>
                                                          </w:divBdr>
                                                          <w:divsChild>
                                                            <w:div w:id="1726097445">
                                                              <w:marLeft w:val="0"/>
                                                              <w:marRight w:val="0"/>
                                                              <w:marTop w:val="0"/>
                                                              <w:marBottom w:val="0"/>
                                                              <w:divBdr>
                                                                <w:top w:val="none" w:sz="0" w:space="0" w:color="auto"/>
                                                                <w:left w:val="none" w:sz="0" w:space="0" w:color="auto"/>
                                                                <w:bottom w:val="none" w:sz="0" w:space="0" w:color="auto"/>
                                                                <w:right w:val="none" w:sz="0" w:space="0" w:color="auto"/>
                                                              </w:divBdr>
                                                              <w:divsChild>
                                                                <w:div w:id="270019543">
                                                                  <w:marLeft w:val="0"/>
                                                                  <w:marRight w:val="0"/>
                                                                  <w:marTop w:val="0"/>
                                                                  <w:marBottom w:val="0"/>
                                                                  <w:divBdr>
                                                                    <w:top w:val="none" w:sz="0" w:space="0" w:color="auto"/>
                                                                    <w:left w:val="none" w:sz="0" w:space="0" w:color="auto"/>
                                                                    <w:bottom w:val="none" w:sz="0" w:space="0" w:color="auto"/>
                                                                    <w:right w:val="none" w:sz="0" w:space="0" w:color="auto"/>
                                                                  </w:divBdr>
                                                                  <w:divsChild>
                                                                    <w:div w:id="1085305204">
                                                                      <w:marLeft w:val="0"/>
                                                                      <w:marRight w:val="0"/>
                                                                      <w:marTop w:val="0"/>
                                                                      <w:marBottom w:val="0"/>
                                                                      <w:divBdr>
                                                                        <w:top w:val="none" w:sz="0" w:space="0" w:color="auto"/>
                                                                        <w:left w:val="none" w:sz="0" w:space="0" w:color="auto"/>
                                                                        <w:bottom w:val="none" w:sz="0" w:space="0" w:color="auto"/>
                                                                        <w:right w:val="none" w:sz="0" w:space="0" w:color="auto"/>
                                                                      </w:divBdr>
                                                                      <w:divsChild>
                                                                        <w:div w:id="15341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7432353">
      <w:bodyDiv w:val="1"/>
      <w:marLeft w:val="0"/>
      <w:marRight w:val="0"/>
      <w:marTop w:val="0"/>
      <w:marBottom w:val="0"/>
      <w:divBdr>
        <w:top w:val="none" w:sz="0" w:space="0" w:color="auto"/>
        <w:left w:val="none" w:sz="0" w:space="0" w:color="auto"/>
        <w:bottom w:val="none" w:sz="0" w:space="0" w:color="auto"/>
        <w:right w:val="none" w:sz="0" w:space="0" w:color="auto"/>
      </w:divBdr>
    </w:div>
    <w:div w:id="1809471452">
      <w:bodyDiv w:val="1"/>
      <w:marLeft w:val="0"/>
      <w:marRight w:val="0"/>
      <w:marTop w:val="0"/>
      <w:marBottom w:val="0"/>
      <w:divBdr>
        <w:top w:val="none" w:sz="0" w:space="0" w:color="auto"/>
        <w:left w:val="none" w:sz="0" w:space="0" w:color="auto"/>
        <w:bottom w:val="none" w:sz="0" w:space="0" w:color="auto"/>
        <w:right w:val="none" w:sz="0" w:space="0" w:color="auto"/>
      </w:divBdr>
    </w:div>
    <w:div w:id="1846893647">
      <w:bodyDiv w:val="1"/>
      <w:marLeft w:val="0"/>
      <w:marRight w:val="0"/>
      <w:marTop w:val="0"/>
      <w:marBottom w:val="0"/>
      <w:divBdr>
        <w:top w:val="none" w:sz="0" w:space="0" w:color="auto"/>
        <w:left w:val="none" w:sz="0" w:space="0" w:color="auto"/>
        <w:bottom w:val="none" w:sz="0" w:space="0" w:color="auto"/>
        <w:right w:val="none" w:sz="0" w:space="0" w:color="auto"/>
      </w:divBdr>
      <w:divsChild>
        <w:div w:id="557667146">
          <w:marLeft w:val="0"/>
          <w:marRight w:val="0"/>
          <w:marTop w:val="0"/>
          <w:marBottom w:val="0"/>
          <w:divBdr>
            <w:top w:val="none" w:sz="0" w:space="0" w:color="auto"/>
            <w:left w:val="none" w:sz="0" w:space="0" w:color="auto"/>
            <w:bottom w:val="none" w:sz="0" w:space="0" w:color="auto"/>
            <w:right w:val="none" w:sz="0" w:space="0" w:color="auto"/>
          </w:divBdr>
          <w:divsChild>
            <w:div w:id="36856276">
              <w:marLeft w:val="0"/>
              <w:marRight w:val="0"/>
              <w:marTop w:val="0"/>
              <w:marBottom w:val="0"/>
              <w:divBdr>
                <w:top w:val="none" w:sz="0" w:space="0" w:color="auto"/>
                <w:left w:val="none" w:sz="0" w:space="0" w:color="auto"/>
                <w:bottom w:val="none" w:sz="0" w:space="0" w:color="auto"/>
                <w:right w:val="none" w:sz="0" w:space="0" w:color="auto"/>
              </w:divBdr>
              <w:divsChild>
                <w:div w:id="1983733370">
                  <w:marLeft w:val="0"/>
                  <w:marRight w:val="0"/>
                  <w:marTop w:val="0"/>
                  <w:marBottom w:val="0"/>
                  <w:divBdr>
                    <w:top w:val="none" w:sz="0" w:space="0" w:color="auto"/>
                    <w:left w:val="none" w:sz="0" w:space="0" w:color="auto"/>
                    <w:bottom w:val="none" w:sz="0" w:space="0" w:color="auto"/>
                    <w:right w:val="none" w:sz="0" w:space="0" w:color="auto"/>
                  </w:divBdr>
                  <w:divsChild>
                    <w:div w:id="1591889291">
                      <w:marLeft w:val="0"/>
                      <w:marRight w:val="0"/>
                      <w:marTop w:val="0"/>
                      <w:marBottom w:val="0"/>
                      <w:divBdr>
                        <w:top w:val="none" w:sz="0" w:space="0" w:color="auto"/>
                        <w:left w:val="none" w:sz="0" w:space="0" w:color="auto"/>
                        <w:bottom w:val="none" w:sz="0" w:space="0" w:color="auto"/>
                        <w:right w:val="none" w:sz="0" w:space="0" w:color="auto"/>
                      </w:divBdr>
                      <w:divsChild>
                        <w:div w:id="127751280">
                          <w:marLeft w:val="0"/>
                          <w:marRight w:val="0"/>
                          <w:marTop w:val="0"/>
                          <w:marBottom w:val="0"/>
                          <w:divBdr>
                            <w:top w:val="none" w:sz="0" w:space="0" w:color="auto"/>
                            <w:left w:val="none" w:sz="0" w:space="0" w:color="auto"/>
                            <w:bottom w:val="none" w:sz="0" w:space="0" w:color="auto"/>
                            <w:right w:val="none" w:sz="0" w:space="0" w:color="auto"/>
                          </w:divBdr>
                          <w:divsChild>
                            <w:div w:id="1841041649">
                              <w:marLeft w:val="0"/>
                              <w:marRight w:val="0"/>
                              <w:marTop w:val="0"/>
                              <w:marBottom w:val="0"/>
                              <w:divBdr>
                                <w:top w:val="none" w:sz="0" w:space="0" w:color="auto"/>
                                <w:left w:val="none" w:sz="0" w:space="0" w:color="auto"/>
                                <w:bottom w:val="none" w:sz="0" w:space="0" w:color="auto"/>
                                <w:right w:val="none" w:sz="0" w:space="0" w:color="auto"/>
                              </w:divBdr>
                              <w:divsChild>
                                <w:div w:id="1478836004">
                                  <w:marLeft w:val="0"/>
                                  <w:marRight w:val="0"/>
                                  <w:marTop w:val="0"/>
                                  <w:marBottom w:val="0"/>
                                  <w:divBdr>
                                    <w:top w:val="none" w:sz="0" w:space="0" w:color="auto"/>
                                    <w:left w:val="none" w:sz="0" w:space="0" w:color="auto"/>
                                    <w:bottom w:val="none" w:sz="0" w:space="0" w:color="auto"/>
                                    <w:right w:val="none" w:sz="0" w:space="0" w:color="auto"/>
                                  </w:divBdr>
                                  <w:divsChild>
                                    <w:div w:id="1803840762">
                                      <w:marLeft w:val="0"/>
                                      <w:marRight w:val="0"/>
                                      <w:marTop w:val="0"/>
                                      <w:marBottom w:val="0"/>
                                      <w:divBdr>
                                        <w:top w:val="none" w:sz="0" w:space="0" w:color="auto"/>
                                        <w:left w:val="none" w:sz="0" w:space="0" w:color="auto"/>
                                        <w:bottom w:val="none" w:sz="0" w:space="0" w:color="auto"/>
                                        <w:right w:val="none" w:sz="0" w:space="0" w:color="auto"/>
                                      </w:divBdr>
                                      <w:divsChild>
                                        <w:div w:id="322243544">
                                          <w:marLeft w:val="0"/>
                                          <w:marRight w:val="0"/>
                                          <w:marTop w:val="0"/>
                                          <w:marBottom w:val="0"/>
                                          <w:divBdr>
                                            <w:top w:val="none" w:sz="0" w:space="0" w:color="auto"/>
                                            <w:left w:val="none" w:sz="0" w:space="0" w:color="auto"/>
                                            <w:bottom w:val="none" w:sz="0" w:space="0" w:color="auto"/>
                                            <w:right w:val="none" w:sz="0" w:space="0" w:color="auto"/>
                                          </w:divBdr>
                                          <w:divsChild>
                                            <w:div w:id="1955599582">
                                              <w:marLeft w:val="0"/>
                                              <w:marRight w:val="0"/>
                                              <w:marTop w:val="0"/>
                                              <w:marBottom w:val="0"/>
                                              <w:divBdr>
                                                <w:top w:val="none" w:sz="0" w:space="0" w:color="auto"/>
                                                <w:left w:val="none" w:sz="0" w:space="0" w:color="auto"/>
                                                <w:bottom w:val="none" w:sz="0" w:space="0" w:color="auto"/>
                                                <w:right w:val="none" w:sz="0" w:space="0" w:color="auto"/>
                                              </w:divBdr>
                                              <w:divsChild>
                                                <w:div w:id="1416441816">
                                                  <w:marLeft w:val="0"/>
                                                  <w:marRight w:val="0"/>
                                                  <w:marTop w:val="0"/>
                                                  <w:marBottom w:val="0"/>
                                                  <w:divBdr>
                                                    <w:top w:val="none" w:sz="0" w:space="0" w:color="auto"/>
                                                    <w:left w:val="none" w:sz="0" w:space="0" w:color="auto"/>
                                                    <w:bottom w:val="none" w:sz="0" w:space="0" w:color="auto"/>
                                                    <w:right w:val="none" w:sz="0" w:space="0" w:color="auto"/>
                                                  </w:divBdr>
                                                  <w:divsChild>
                                                    <w:div w:id="380710754">
                                                      <w:marLeft w:val="0"/>
                                                      <w:marRight w:val="0"/>
                                                      <w:marTop w:val="0"/>
                                                      <w:marBottom w:val="0"/>
                                                      <w:divBdr>
                                                        <w:top w:val="none" w:sz="0" w:space="0" w:color="auto"/>
                                                        <w:left w:val="none" w:sz="0" w:space="0" w:color="auto"/>
                                                        <w:bottom w:val="none" w:sz="0" w:space="0" w:color="auto"/>
                                                        <w:right w:val="none" w:sz="0" w:space="0" w:color="auto"/>
                                                      </w:divBdr>
                                                      <w:divsChild>
                                                        <w:div w:id="2122414299">
                                                          <w:marLeft w:val="0"/>
                                                          <w:marRight w:val="0"/>
                                                          <w:marTop w:val="0"/>
                                                          <w:marBottom w:val="0"/>
                                                          <w:divBdr>
                                                            <w:top w:val="none" w:sz="0" w:space="0" w:color="auto"/>
                                                            <w:left w:val="none" w:sz="0" w:space="0" w:color="auto"/>
                                                            <w:bottom w:val="none" w:sz="0" w:space="0" w:color="auto"/>
                                                            <w:right w:val="none" w:sz="0" w:space="0" w:color="auto"/>
                                                          </w:divBdr>
                                                          <w:divsChild>
                                                            <w:div w:id="731580707">
                                                              <w:marLeft w:val="0"/>
                                                              <w:marRight w:val="0"/>
                                                              <w:marTop w:val="0"/>
                                                              <w:marBottom w:val="0"/>
                                                              <w:divBdr>
                                                                <w:top w:val="none" w:sz="0" w:space="0" w:color="auto"/>
                                                                <w:left w:val="none" w:sz="0" w:space="0" w:color="auto"/>
                                                                <w:bottom w:val="none" w:sz="0" w:space="0" w:color="auto"/>
                                                                <w:right w:val="none" w:sz="0" w:space="0" w:color="auto"/>
                                                              </w:divBdr>
                                                              <w:divsChild>
                                                                <w:div w:id="1583951046">
                                                                  <w:marLeft w:val="0"/>
                                                                  <w:marRight w:val="0"/>
                                                                  <w:marTop w:val="0"/>
                                                                  <w:marBottom w:val="0"/>
                                                                  <w:divBdr>
                                                                    <w:top w:val="none" w:sz="0" w:space="0" w:color="auto"/>
                                                                    <w:left w:val="none" w:sz="0" w:space="0" w:color="auto"/>
                                                                    <w:bottom w:val="none" w:sz="0" w:space="0" w:color="auto"/>
                                                                    <w:right w:val="none" w:sz="0" w:space="0" w:color="auto"/>
                                                                  </w:divBdr>
                                                                  <w:divsChild>
                                                                    <w:div w:id="412358119">
                                                                      <w:marLeft w:val="0"/>
                                                                      <w:marRight w:val="0"/>
                                                                      <w:marTop w:val="0"/>
                                                                      <w:marBottom w:val="0"/>
                                                                      <w:divBdr>
                                                                        <w:top w:val="none" w:sz="0" w:space="0" w:color="auto"/>
                                                                        <w:left w:val="none" w:sz="0" w:space="0" w:color="auto"/>
                                                                        <w:bottom w:val="none" w:sz="0" w:space="0" w:color="auto"/>
                                                                        <w:right w:val="none" w:sz="0" w:space="0" w:color="auto"/>
                                                                      </w:divBdr>
                                                                      <w:divsChild>
                                                                        <w:div w:id="9398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9284150">
      <w:bodyDiv w:val="1"/>
      <w:marLeft w:val="0"/>
      <w:marRight w:val="0"/>
      <w:marTop w:val="0"/>
      <w:marBottom w:val="0"/>
      <w:divBdr>
        <w:top w:val="none" w:sz="0" w:space="0" w:color="auto"/>
        <w:left w:val="none" w:sz="0" w:space="0" w:color="auto"/>
        <w:bottom w:val="none" w:sz="0" w:space="0" w:color="auto"/>
        <w:right w:val="none" w:sz="0" w:space="0" w:color="auto"/>
      </w:divBdr>
      <w:divsChild>
        <w:div w:id="2137942033">
          <w:marLeft w:val="0"/>
          <w:marRight w:val="0"/>
          <w:marTop w:val="0"/>
          <w:marBottom w:val="0"/>
          <w:divBdr>
            <w:top w:val="none" w:sz="0" w:space="0" w:color="auto"/>
            <w:left w:val="none" w:sz="0" w:space="0" w:color="auto"/>
            <w:bottom w:val="none" w:sz="0" w:space="0" w:color="auto"/>
            <w:right w:val="none" w:sz="0" w:space="0" w:color="auto"/>
          </w:divBdr>
          <w:divsChild>
            <w:div w:id="561644284">
              <w:marLeft w:val="0"/>
              <w:marRight w:val="0"/>
              <w:marTop w:val="0"/>
              <w:marBottom w:val="0"/>
              <w:divBdr>
                <w:top w:val="none" w:sz="0" w:space="0" w:color="auto"/>
                <w:left w:val="none" w:sz="0" w:space="0" w:color="auto"/>
                <w:bottom w:val="none" w:sz="0" w:space="0" w:color="auto"/>
                <w:right w:val="none" w:sz="0" w:space="0" w:color="auto"/>
              </w:divBdr>
              <w:divsChild>
                <w:div w:id="59023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2123">
      <w:bodyDiv w:val="1"/>
      <w:marLeft w:val="0"/>
      <w:marRight w:val="0"/>
      <w:marTop w:val="0"/>
      <w:marBottom w:val="0"/>
      <w:divBdr>
        <w:top w:val="none" w:sz="0" w:space="0" w:color="auto"/>
        <w:left w:val="none" w:sz="0" w:space="0" w:color="auto"/>
        <w:bottom w:val="none" w:sz="0" w:space="0" w:color="auto"/>
        <w:right w:val="none" w:sz="0" w:space="0" w:color="auto"/>
      </w:divBdr>
      <w:divsChild>
        <w:div w:id="1912349918">
          <w:marLeft w:val="0"/>
          <w:marRight w:val="0"/>
          <w:marTop w:val="0"/>
          <w:marBottom w:val="0"/>
          <w:divBdr>
            <w:top w:val="none" w:sz="0" w:space="0" w:color="auto"/>
            <w:left w:val="none" w:sz="0" w:space="0" w:color="auto"/>
            <w:bottom w:val="none" w:sz="0" w:space="0" w:color="auto"/>
            <w:right w:val="none" w:sz="0" w:space="0" w:color="auto"/>
          </w:divBdr>
          <w:divsChild>
            <w:div w:id="1941644967">
              <w:marLeft w:val="0"/>
              <w:marRight w:val="0"/>
              <w:marTop w:val="0"/>
              <w:marBottom w:val="0"/>
              <w:divBdr>
                <w:top w:val="none" w:sz="0" w:space="0" w:color="auto"/>
                <w:left w:val="none" w:sz="0" w:space="0" w:color="auto"/>
                <w:bottom w:val="none" w:sz="0" w:space="0" w:color="auto"/>
                <w:right w:val="none" w:sz="0" w:space="0" w:color="auto"/>
              </w:divBdr>
              <w:divsChild>
                <w:div w:id="340279620">
                  <w:marLeft w:val="0"/>
                  <w:marRight w:val="0"/>
                  <w:marTop w:val="0"/>
                  <w:marBottom w:val="0"/>
                  <w:divBdr>
                    <w:top w:val="none" w:sz="0" w:space="0" w:color="auto"/>
                    <w:left w:val="none" w:sz="0" w:space="0" w:color="auto"/>
                    <w:bottom w:val="none" w:sz="0" w:space="0" w:color="auto"/>
                    <w:right w:val="none" w:sz="0" w:space="0" w:color="auto"/>
                  </w:divBdr>
                  <w:divsChild>
                    <w:div w:id="231276968">
                      <w:marLeft w:val="0"/>
                      <w:marRight w:val="0"/>
                      <w:marTop w:val="0"/>
                      <w:marBottom w:val="0"/>
                      <w:divBdr>
                        <w:top w:val="none" w:sz="0" w:space="0" w:color="auto"/>
                        <w:left w:val="none" w:sz="0" w:space="0" w:color="auto"/>
                        <w:bottom w:val="none" w:sz="0" w:space="0" w:color="auto"/>
                        <w:right w:val="none" w:sz="0" w:space="0" w:color="auto"/>
                      </w:divBdr>
                      <w:divsChild>
                        <w:div w:id="969746618">
                          <w:marLeft w:val="0"/>
                          <w:marRight w:val="0"/>
                          <w:marTop w:val="0"/>
                          <w:marBottom w:val="0"/>
                          <w:divBdr>
                            <w:top w:val="none" w:sz="0" w:space="0" w:color="auto"/>
                            <w:left w:val="none" w:sz="0" w:space="0" w:color="auto"/>
                            <w:bottom w:val="none" w:sz="0" w:space="0" w:color="auto"/>
                            <w:right w:val="none" w:sz="0" w:space="0" w:color="auto"/>
                          </w:divBdr>
                          <w:divsChild>
                            <w:div w:id="784738678">
                              <w:marLeft w:val="0"/>
                              <w:marRight w:val="0"/>
                              <w:marTop w:val="0"/>
                              <w:marBottom w:val="0"/>
                              <w:divBdr>
                                <w:top w:val="none" w:sz="0" w:space="0" w:color="auto"/>
                                <w:left w:val="none" w:sz="0" w:space="0" w:color="auto"/>
                                <w:bottom w:val="none" w:sz="0" w:space="0" w:color="auto"/>
                                <w:right w:val="none" w:sz="0" w:space="0" w:color="auto"/>
                              </w:divBdr>
                              <w:divsChild>
                                <w:div w:id="1893734042">
                                  <w:marLeft w:val="0"/>
                                  <w:marRight w:val="0"/>
                                  <w:marTop w:val="0"/>
                                  <w:marBottom w:val="0"/>
                                  <w:divBdr>
                                    <w:top w:val="none" w:sz="0" w:space="0" w:color="auto"/>
                                    <w:left w:val="none" w:sz="0" w:space="0" w:color="auto"/>
                                    <w:bottom w:val="none" w:sz="0" w:space="0" w:color="auto"/>
                                    <w:right w:val="none" w:sz="0" w:space="0" w:color="auto"/>
                                  </w:divBdr>
                                  <w:divsChild>
                                    <w:div w:id="1503933954">
                                      <w:marLeft w:val="0"/>
                                      <w:marRight w:val="0"/>
                                      <w:marTop w:val="0"/>
                                      <w:marBottom w:val="0"/>
                                      <w:divBdr>
                                        <w:top w:val="none" w:sz="0" w:space="0" w:color="auto"/>
                                        <w:left w:val="none" w:sz="0" w:space="0" w:color="auto"/>
                                        <w:bottom w:val="none" w:sz="0" w:space="0" w:color="auto"/>
                                        <w:right w:val="none" w:sz="0" w:space="0" w:color="auto"/>
                                      </w:divBdr>
                                      <w:divsChild>
                                        <w:div w:id="316685986">
                                          <w:marLeft w:val="0"/>
                                          <w:marRight w:val="0"/>
                                          <w:marTop w:val="0"/>
                                          <w:marBottom w:val="0"/>
                                          <w:divBdr>
                                            <w:top w:val="none" w:sz="0" w:space="0" w:color="auto"/>
                                            <w:left w:val="none" w:sz="0" w:space="0" w:color="auto"/>
                                            <w:bottom w:val="none" w:sz="0" w:space="0" w:color="auto"/>
                                            <w:right w:val="none" w:sz="0" w:space="0" w:color="auto"/>
                                          </w:divBdr>
                                          <w:divsChild>
                                            <w:div w:id="2070303030">
                                              <w:marLeft w:val="0"/>
                                              <w:marRight w:val="0"/>
                                              <w:marTop w:val="0"/>
                                              <w:marBottom w:val="0"/>
                                              <w:divBdr>
                                                <w:top w:val="none" w:sz="0" w:space="0" w:color="auto"/>
                                                <w:left w:val="none" w:sz="0" w:space="0" w:color="auto"/>
                                                <w:bottom w:val="none" w:sz="0" w:space="0" w:color="auto"/>
                                                <w:right w:val="none" w:sz="0" w:space="0" w:color="auto"/>
                                              </w:divBdr>
                                              <w:divsChild>
                                                <w:div w:id="1951814818">
                                                  <w:marLeft w:val="0"/>
                                                  <w:marRight w:val="0"/>
                                                  <w:marTop w:val="0"/>
                                                  <w:marBottom w:val="0"/>
                                                  <w:divBdr>
                                                    <w:top w:val="none" w:sz="0" w:space="0" w:color="auto"/>
                                                    <w:left w:val="none" w:sz="0" w:space="0" w:color="auto"/>
                                                    <w:bottom w:val="none" w:sz="0" w:space="0" w:color="auto"/>
                                                    <w:right w:val="none" w:sz="0" w:space="0" w:color="auto"/>
                                                  </w:divBdr>
                                                  <w:divsChild>
                                                    <w:div w:id="1809588252">
                                                      <w:marLeft w:val="0"/>
                                                      <w:marRight w:val="0"/>
                                                      <w:marTop w:val="0"/>
                                                      <w:marBottom w:val="0"/>
                                                      <w:divBdr>
                                                        <w:top w:val="none" w:sz="0" w:space="0" w:color="auto"/>
                                                        <w:left w:val="none" w:sz="0" w:space="0" w:color="auto"/>
                                                        <w:bottom w:val="none" w:sz="0" w:space="0" w:color="auto"/>
                                                        <w:right w:val="none" w:sz="0" w:space="0" w:color="auto"/>
                                                      </w:divBdr>
                                                      <w:divsChild>
                                                        <w:div w:id="208344809">
                                                          <w:marLeft w:val="0"/>
                                                          <w:marRight w:val="0"/>
                                                          <w:marTop w:val="0"/>
                                                          <w:marBottom w:val="0"/>
                                                          <w:divBdr>
                                                            <w:top w:val="none" w:sz="0" w:space="0" w:color="auto"/>
                                                            <w:left w:val="none" w:sz="0" w:space="0" w:color="auto"/>
                                                            <w:bottom w:val="none" w:sz="0" w:space="0" w:color="auto"/>
                                                            <w:right w:val="none" w:sz="0" w:space="0" w:color="auto"/>
                                                          </w:divBdr>
                                                          <w:divsChild>
                                                            <w:div w:id="1035544459">
                                                              <w:marLeft w:val="0"/>
                                                              <w:marRight w:val="0"/>
                                                              <w:marTop w:val="0"/>
                                                              <w:marBottom w:val="0"/>
                                                              <w:divBdr>
                                                                <w:top w:val="none" w:sz="0" w:space="0" w:color="auto"/>
                                                                <w:left w:val="none" w:sz="0" w:space="0" w:color="auto"/>
                                                                <w:bottom w:val="none" w:sz="0" w:space="0" w:color="auto"/>
                                                                <w:right w:val="none" w:sz="0" w:space="0" w:color="auto"/>
                                                              </w:divBdr>
                                                              <w:divsChild>
                                                                <w:div w:id="1690446953">
                                                                  <w:marLeft w:val="0"/>
                                                                  <w:marRight w:val="0"/>
                                                                  <w:marTop w:val="0"/>
                                                                  <w:marBottom w:val="0"/>
                                                                  <w:divBdr>
                                                                    <w:top w:val="none" w:sz="0" w:space="0" w:color="auto"/>
                                                                    <w:left w:val="none" w:sz="0" w:space="0" w:color="auto"/>
                                                                    <w:bottom w:val="none" w:sz="0" w:space="0" w:color="auto"/>
                                                                    <w:right w:val="none" w:sz="0" w:space="0" w:color="auto"/>
                                                                  </w:divBdr>
                                                                  <w:divsChild>
                                                                    <w:div w:id="1197891003">
                                                                      <w:marLeft w:val="0"/>
                                                                      <w:marRight w:val="0"/>
                                                                      <w:marTop w:val="0"/>
                                                                      <w:marBottom w:val="0"/>
                                                                      <w:divBdr>
                                                                        <w:top w:val="none" w:sz="0" w:space="0" w:color="auto"/>
                                                                        <w:left w:val="none" w:sz="0" w:space="0" w:color="auto"/>
                                                                        <w:bottom w:val="none" w:sz="0" w:space="0" w:color="auto"/>
                                                                        <w:right w:val="none" w:sz="0" w:space="0" w:color="auto"/>
                                                                      </w:divBdr>
                                                                      <w:divsChild>
                                                                        <w:div w:id="15608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5708937">
      <w:bodyDiv w:val="1"/>
      <w:marLeft w:val="0"/>
      <w:marRight w:val="0"/>
      <w:marTop w:val="0"/>
      <w:marBottom w:val="0"/>
      <w:divBdr>
        <w:top w:val="none" w:sz="0" w:space="0" w:color="auto"/>
        <w:left w:val="none" w:sz="0" w:space="0" w:color="auto"/>
        <w:bottom w:val="none" w:sz="0" w:space="0" w:color="auto"/>
        <w:right w:val="none" w:sz="0" w:space="0" w:color="auto"/>
      </w:divBdr>
      <w:divsChild>
        <w:div w:id="1957835623">
          <w:marLeft w:val="0"/>
          <w:marRight w:val="0"/>
          <w:marTop w:val="0"/>
          <w:marBottom w:val="0"/>
          <w:divBdr>
            <w:top w:val="none" w:sz="0" w:space="0" w:color="auto"/>
            <w:left w:val="none" w:sz="0" w:space="0" w:color="auto"/>
            <w:bottom w:val="none" w:sz="0" w:space="0" w:color="auto"/>
            <w:right w:val="none" w:sz="0" w:space="0" w:color="auto"/>
          </w:divBdr>
          <w:divsChild>
            <w:div w:id="483283456">
              <w:marLeft w:val="0"/>
              <w:marRight w:val="0"/>
              <w:marTop w:val="0"/>
              <w:marBottom w:val="0"/>
              <w:divBdr>
                <w:top w:val="none" w:sz="0" w:space="0" w:color="auto"/>
                <w:left w:val="none" w:sz="0" w:space="0" w:color="auto"/>
                <w:bottom w:val="none" w:sz="0" w:space="0" w:color="auto"/>
                <w:right w:val="none" w:sz="0" w:space="0" w:color="auto"/>
              </w:divBdr>
              <w:divsChild>
                <w:div w:id="2022467902">
                  <w:marLeft w:val="0"/>
                  <w:marRight w:val="0"/>
                  <w:marTop w:val="0"/>
                  <w:marBottom w:val="0"/>
                  <w:divBdr>
                    <w:top w:val="none" w:sz="0" w:space="0" w:color="auto"/>
                    <w:left w:val="none" w:sz="0" w:space="0" w:color="auto"/>
                    <w:bottom w:val="none" w:sz="0" w:space="0" w:color="auto"/>
                    <w:right w:val="none" w:sz="0" w:space="0" w:color="auto"/>
                  </w:divBdr>
                  <w:divsChild>
                    <w:div w:id="145821910">
                      <w:marLeft w:val="0"/>
                      <w:marRight w:val="0"/>
                      <w:marTop w:val="0"/>
                      <w:marBottom w:val="0"/>
                      <w:divBdr>
                        <w:top w:val="none" w:sz="0" w:space="0" w:color="auto"/>
                        <w:left w:val="none" w:sz="0" w:space="0" w:color="auto"/>
                        <w:bottom w:val="none" w:sz="0" w:space="0" w:color="auto"/>
                        <w:right w:val="none" w:sz="0" w:space="0" w:color="auto"/>
                      </w:divBdr>
                      <w:divsChild>
                        <w:div w:id="1805544285">
                          <w:marLeft w:val="0"/>
                          <w:marRight w:val="0"/>
                          <w:marTop w:val="0"/>
                          <w:marBottom w:val="0"/>
                          <w:divBdr>
                            <w:top w:val="none" w:sz="0" w:space="0" w:color="auto"/>
                            <w:left w:val="none" w:sz="0" w:space="0" w:color="auto"/>
                            <w:bottom w:val="none" w:sz="0" w:space="0" w:color="auto"/>
                            <w:right w:val="none" w:sz="0" w:space="0" w:color="auto"/>
                          </w:divBdr>
                          <w:divsChild>
                            <w:div w:id="1805150241">
                              <w:marLeft w:val="0"/>
                              <w:marRight w:val="0"/>
                              <w:marTop w:val="0"/>
                              <w:marBottom w:val="0"/>
                              <w:divBdr>
                                <w:top w:val="none" w:sz="0" w:space="0" w:color="auto"/>
                                <w:left w:val="none" w:sz="0" w:space="0" w:color="auto"/>
                                <w:bottom w:val="none" w:sz="0" w:space="0" w:color="auto"/>
                                <w:right w:val="none" w:sz="0" w:space="0" w:color="auto"/>
                              </w:divBdr>
                              <w:divsChild>
                                <w:div w:id="1725248835">
                                  <w:marLeft w:val="0"/>
                                  <w:marRight w:val="0"/>
                                  <w:marTop w:val="0"/>
                                  <w:marBottom w:val="0"/>
                                  <w:divBdr>
                                    <w:top w:val="none" w:sz="0" w:space="0" w:color="auto"/>
                                    <w:left w:val="none" w:sz="0" w:space="0" w:color="auto"/>
                                    <w:bottom w:val="none" w:sz="0" w:space="0" w:color="auto"/>
                                    <w:right w:val="none" w:sz="0" w:space="0" w:color="auto"/>
                                  </w:divBdr>
                                  <w:divsChild>
                                    <w:div w:id="804588804">
                                      <w:marLeft w:val="0"/>
                                      <w:marRight w:val="0"/>
                                      <w:marTop w:val="0"/>
                                      <w:marBottom w:val="0"/>
                                      <w:divBdr>
                                        <w:top w:val="none" w:sz="0" w:space="0" w:color="auto"/>
                                        <w:left w:val="none" w:sz="0" w:space="0" w:color="auto"/>
                                        <w:bottom w:val="none" w:sz="0" w:space="0" w:color="auto"/>
                                        <w:right w:val="none" w:sz="0" w:space="0" w:color="auto"/>
                                      </w:divBdr>
                                      <w:divsChild>
                                        <w:div w:id="832839190">
                                          <w:marLeft w:val="0"/>
                                          <w:marRight w:val="0"/>
                                          <w:marTop w:val="0"/>
                                          <w:marBottom w:val="0"/>
                                          <w:divBdr>
                                            <w:top w:val="none" w:sz="0" w:space="0" w:color="auto"/>
                                            <w:left w:val="none" w:sz="0" w:space="0" w:color="auto"/>
                                            <w:bottom w:val="none" w:sz="0" w:space="0" w:color="auto"/>
                                            <w:right w:val="none" w:sz="0" w:space="0" w:color="auto"/>
                                          </w:divBdr>
                                          <w:divsChild>
                                            <w:div w:id="1707679754">
                                              <w:marLeft w:val="0"/>
                                              <w:marRight w:val="0"/>
                                              <w:marTop w:val="0"/>
                                              <w:marBottom w:val="0"/>
                                              <w:divBdr>
                                                <w:top w:val="none" w:sz="0" w:space="0" w:color="auto"/>
                                                <w:left w:val="none" w:sz="0" w:space="0" w:color="auto"/>
                                                <w:bottom w:val="none" w:sz="0" w:space="0" w:color="auto"/>
                                                <w:right w:val="none" w:sz="0" w:space="0" w:color="auto"/>
                                              </w:divBdr>
                                              <w:divsChild>
                                                <w:div w:id="237906085">
                                                  <w:marLeft w:val="0"/>
                                                  <w:marRight w:val="0"/>
                                                  <w:marTop w:val="0"/>
                                                  <w:marBottom w:val="0"/>
                                                  <w:divBdr>
                                                    <w:top w:val="none" w:sz="0" w:space="0" w:color="auto"/>
                                                    <w:left w:val="none" w:sz="0" w:space="0" w:color="auto"/>
                                                    <w:bottom w:val="none" w:sz="0" w:space="0" w:color="auto"/>
                                                    <w:right w:val="none" w:sz="0" w:space="0" w:color="auto"/>
                                                  </w:divBdr>
                                                  <w:divsChild>
                                                    <w:div w:id="438448499">
                                                      <w:marLeft w:val="0"/>
                                                      <w:marRight w:val="0"/>
                                                      <w:marTop w:val="0"/>
                                                      <w:marBottom w:val="0"/>
                                                      <w:divBdr>
                                                        <w:top w:val="none" w:sz="0" w:space="0" w:color="auto"/>
                                                        <w:left w:val="none" w:sz="0" w:space="0" w:color="auto"/>
                                                        <w:bottom w:val="none" w:sz="0" w:space="0" w:color="auto"/>
                                                        <w:right w:val="none" w:sz="0" w:space="0" w:color="auto"/>
                                                      </w:divBdr>
                                                      <w:divsChild>
                                                        <w:div w:id="1695881298">
                                                          <w:marLeft w:val="0"/>
                                                          <w:marRight w:val="0"/>
                                                          <w:marTop w:val="0"/>
                                                          <w:marBottom w:val="0"/>
                                                          <w:divBdr>
                                                            <w:top w:val="none" w:sz="0" w:space="0" w:color="auto"/>
                                                            <w:left w:val="none" w:sz="0" w:space="0" w:color="auto"/>
                                                            <w:bottom w:val="none" w:sz="0" w:space="0" w:color="auto"/>
                                                            <w:right w:val="none" w:sz="0" w:space="0" w:color="auto"/>
                                                          </w:divBdr>
                                                          <w:divsChild>
                                                            <w:div w:id="793064921">
                                                              <w:marLeft w:val="0"/>
                                                              <w:marRight w:val="0"/>
                                                              <w:marTop w:val="0"/>
                                                              <w:marBottom w:val="0"/>
                                                              <w:divBdr>
                                                                <w:top w:val="none" w:sz="0" w:space="0" w:color="auto"/>
                                                                <w:left w:val="none" w:sz="0" w:space="0" w:color="auto"/>
                                                                <w:bottom w:val="none" w:sz="0" w:space="0" w:color="auto"/>
                                                                <w:right w:val="none" w:sz="0" w:space="0" w:color="auto"/>
                                                              </w:divBdr>
                                                              <w:divsChild>
                                                                <w:div w:id="2145660982">
                                                                  <w:marLeft w:val="0"/>
                                                                  <w:marRight w:val="0"/>
                                                                  <w:marTop w:val="0"/>
                                                                  <w:marBottom w:val="0"/>
                                                                  <w:divBdr>
                                                                    <w:top w:val="none" w:sz="0" w:space="0" w:color="auto"/>
                                                                    <w:left w:val="none" w:sz="0" w:space="0" w:color="auto"/>
                                                                    <w:bottom w:val="none" w:sz="0" w:space="0" w:color="auto"/>
                                                                    <w:right w:val="none" w:sz="0" w:space="0" w:color="auto"/>
                                                                  </w:divBdr>
                                                                  <w:divsChild>
                                                                    <w:div w:id="1864391823">
                                                                      <w:marLeft w:val="0"/>
                                                                      <w:marRight w:val="0"/>
                                                                      <w:marTop w:val="0"/>
                                                                      <w:marBottom w:val="0"/>
                                                                      <w:divBdr>
                                                                        <w:top w:val="none" w:sz="0" w:space="0" w:color="auto"/>
                                                                        <w:left w:val="none" w:sz="0" w:space="0" w:color="auto"/>
                                                                        <w:bottom w:val="none" w:sz="0" w:space="0" w:color="auto"/>
                                                                        <w:right w:val="none" w:sz="0" w:space="0" w:color="auto"/>
                                                                      </w:divBdr>
                                                                      <w:divsChild>
                                                                        <w:div w:id="188620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spglobal.com/spdji/es/documents/methodologies/methodology-index-math-spanish.pdf" TargetMode="External"/><Relationship Id="rId26" Type="http://schemas.openxmlformats.org/officeDocument/2006/relationships/hyperlink" Target="https://www.spglobal.com/spdji/en/governance/methodology-and-regulatory-status/" TargetMode="External"/><Relationship Id="rId21" Type="http://schemas.openxmlformats.org/officeDocument/2006/relationships/hyperlink" Target="https://www.spglobal.com/spdji/en/" TargetMode="External"/><Relationship Id="rId34" Type="http://schemas.openxmlformats.org/officeDocument/2006/relationships/hyperlink" Target="http://www.ratingsdirect.com/"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spglobal.com/spdji/es/documents/index-policies/methodology-sp-equity-indices-policies-practices-spanish.pdf" TargetMode="External"/><Relationship Id="rId25" Type="http://schemas.openxmlformats.org/officeDocument/2006/relationships/hyperlink" Target="https://www.spglobal.com/spdji/en/" TargetMode="External"/><Relationship Id="rId33" Type="http://schemas.openxmlformats.org/officeDocument/2006/relationships/hyperlink" Target="http://www.spindices.com"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spglobal.com/spdji/en/" TargetMode="External"/><Relationship Id="rId29" Type="http://schemas.openxmlformats.org/officeDocument/2006/relationships/hyperlink" Target="https://www.spglobal.com/spdji/e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mailto:index_services@spglobal.com" TargetMode="External"/><Relationship Id="rId32" Type="http://schemas.openxmlformats.org/officeDocument/2006/relationships/hyperlink" Target="https://www.spglobal.com/spdji/en/education/article/faq-esg-back-testing-backward-data-assumption-overview/"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spglobal.com/spdji/en/" TargetMode="External"/><Relationship Id="rId28" Type="http://schemas.openxmlformats.org/officeDocument/2006/relationships/hyperlink" Target="https://www.spglobal.com/spdji/en/" TargetMode="External"/><Relationship Id="rId36" Type="http://schemas.openxmlformats.org/officeDocument/2006/relationships/hyperlink" Target="http://www.standardandpoors.com/usratingsfees" TargetMode="External"/><Relationship Id="rId10" Type="http://schemas.openxmlformats.org/officeDocument/2006/relationships/endnotes" Target="endnotes.xml"/><Relationship Id="rId19" Type="http://schemas.openxmlformats.org/officeDocument/2006/relationships/hyperlink" Target="https://www.spglobal.com/spdji/es/documents/index-policies/methodology-gics-spanish.pdf" TargetMode="External"/><Relationship Id="rId31" Type="http://schemas.openxmlformats.org/officeDocument/2006/relationships/hyperlink" Target="http://www.spdj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spglobal.com/spdji/en/" TargetMode="External"/><Relationship Id="rId27" Type="http://schemas.openxmlformats.org/officeDocument/2006/relationships/hyperlink" Target="http://www.spglobal/spdji.com/contact-us" TargetMode="External"/><Relationship Id="rId30" Type="http://schemas.openxmlformats.org/officeDocument/2006/relationships/image" Target="media/image2.png"/><Relationship Id="rId35" Type="http://schemas.openxmlformats.org/officeDocument/2006/relationships/hyperlink" Target="http://www.globalcreditportal.com/"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footer3.xml.rels><?xml version='1.0' encoding='UTF-8' standalone='yes'?>
<Relationships xmlns="http://schemas.openxmlformats.org/package/2006/relationships"><Relationship Id="rId1" Type="http://schemas.openxmlformats.org/officeDocument/2006/relationships/hyperlink" Target="http://www.spdji.co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35dbf3f-554c-4544-a470-482eb3f71ce6" xsi:nil="true"/>
    <lcf76f155ced4ddcb4097134ff3c332f xmlns="8a4a5796-092a-4a1b-89d3-71cf1ba6cb35">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6946F40D43BA141AA60615A9E73118A" ma:contentTypeVersion="13" ma:contentTypeDescription="Create a new document." ma:contentTypeScope="" ma:versionID="2612abd6a6bafc25e1b370545667ad98">
  <xsd:schema xmlns:xsd="http://www.w3.org/2001/XMLSchema" xmlns:xs="http://www.w3.org/2001/XMLSchema" xmlns:p="http://schemas.microsoft.com/office/2006/metadata/properties" xmlns:ns2="8a4a5796-092a-4a1b-89d3-71cf1ba6cb35" xmlns:ns3="935dbf3f-554c-4544-a470-482eb3f71ce6" targetNamespace="http://schemas.microsoft.com/office/2006/metadata/properties" ma:root="true" ma:fieldsID="175fc7bc48ec0224114588204d0eaf87" ns2:_="" ns3:_="">
    <xsd:import namespace="8a4a5796-092a-4a1b-89d3-71cf1ba6cb35"/>
    <xsd:import namespace="935dbf3f-554c-4544-a470-482eb3f71ce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4a5796-092a-4a1b-89d3-71cf1ba6cb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6f79bde-b34b-4e33-a562-f79c102b9a25"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5dbf3f-554c-4544-a470-482eb3f71ce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b4c1c29-78fe-4e5f-80d8-ce224c4e057c}" ma:internalName="TaxCatchAll" ma:showField="CatchAllData" ma:web="935dbf3f-554c-4544-a470-482eb3f71c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41B2A-C1CB-4F30-B437-55881E9F58F8}">
  <ds:schemaRefs>
    <ds:schemaRef ds:uri="http://schemas.microsoft.com/office/2006/metadata/properties"/>
    <ds:schemaRef ds:uri="http://schemas.microsoft.com/office/infopath/2007/PartnerControls"/>
    <ds:schemaRef ds:uri="935dbf3f-554c-4544-a470-482eb3f71ce6"/>
    <ds:schemaRef ds:uri="8a4a5796-092a-4a1b-89d3-71cf1ba6cb35"/>
  </ds:schemaRefs>
</ds:datastoreItem>
</file>

<file path=customXml/itemProps2.xml><?xml version="1.0" encoding="utf-8"?>
<ds:datastoreItem xmlns:ds="http://schemas.openxmlformats.org/officeDocument/2006/customXml" ds:itemID="{2EA0C21D-1D9F-408D-ADDC-7BF4D18423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4a5796-092a-4a1b-89d3-71cf1ba6cb35"/>
    <ds:schemaRef ds:uri="935dbf3f-554c-4544-a470-482eb3f71c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2D2AC6-4472-455D-B8A8-F4D484BA673D}">
  <ds:schemaRefs>
    <ds:schemaRef ds:uri="http://schemas.microsoft.com/sharepoint/v3/contenttype/forms"/>
  </ds:schemaRefs>
</ds:datastoreItem>
</file>

<file path=customXml/itemProps4.xml><?xml version="1.0" encoding="utf-8"?>
<ds:datastoreItem xmlns:ds="http://schemas.openxmlformats.org/officeDocument/2006/customXml" ds:itemID="{1387930A-DBD2-4952-92A6-305BB4344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8243</Words>
  <Characters>46988</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Table of Contents</vt:lpstr>
    </vt:vector>
  </TitlesOfParts>
  <Company>Standard and Poor's</Company>
  <LinksUpToDate>false</LinksUpToDate>
  <CharactersWithSpaces>55121</CharactersWithSpaces>
  <SharedDoc>false</SharedDoc>
  <HLinks>
    <vt:vector size="342" baseType="variant">
      <vt:variant>
        <vt:i4>1376306</vt:i4>
      </vt:variant>
      <vt:variant>
        <vt:i4>338</vt:i4>
      </vt:variant>
      <vt:variant>
        <vt:i4>0</vt:i4>
      </vt:variant>
      <vt:variant>
        <vt:i4>5</vt:i4>
      </vt:variant>
      <vt:variant>
        <vt:lpwstr/>
      </vt:variant>
      <vt:variant>
        <vt:lpwstr>_Toc182748555</vt:lpwstr>
      </vt:variant>
      <vt:variant>
        <vt:i4>1376306</vt:i4>
      </vt:variant>
      <vt:variant>
        <vt:i4>332</vt:i4>
      </vt:variant>
      <vt:variant>
        <vt:i4>0</vt:i4>
      </vt:variant>
      <vt:variant>
        <vt:i4>5</vt:i4>
      </vt:variant>
      <vt:variant>
        <vt:lpwstr/>
      </vt:variant>
      <vt:variant>
        <vt:lpwstr>_Toc182748554</vt:lpwstr>
      </vt:variant>
      <vt:variant>
        <vt:i4>1376306</vt:i4>
      </vt:variant>
      <vt:variant>
        <vt:i4>326</vt:i4>
      </vt:variant>
      <vt:variant>
        <vt:i4>0</vt:i4>
      </vt:variant>
      <vt:variant>
        <vt:i4>5</vt:i4>
      </vt:variant>
      <vt:variant>
        <vt:lpwstr/>
      </vt:variant>
      <vt:variant>
        <vt:lpwstr>_Toc182748553</vt:lpwstr>
      </vt:variant>
      <vt:variant>
        <vt:i4>1376306</vt:i4>
      </vt:variant>
      <vt:variant>
        <vt:i4>320</vt:i4>
      </vt:variant>
      <vt:variant>
        <vt:i4>0</vt:i4>
      </vt:variant>
      <vt:variant>
        <vt:i4>5</vt:i4>
      </vt:variant>
      <vt:variant>
        <vt:lpwstr/>
      </vt:variant>
      <vt:variant>
        <vt:lpwstr>_Toc182748552</vt:lpwstr>
      </vt:variant>
      <vt:variant>
        <vt:i4>1376306</vt:i4>
      </vt:variant>
      <vt:variant>
        <vt:i4>314</vt:i4>
      </vt:variant>
      <vt:variant>
        <vt:i4>0</vt:i4>
      </vt:variant>
      <vt:variant>
        <vt:i4>5</vt:i4>
      </vt:variant>
      <vt:variant>
        <vt:lpwstr/>
      </vt:variant>
      <vt:variant>
        <vt:lpwstr>_Toc182748551</vt:lpwstr>
      </vt:variant>
      <vt:variant>
        <vt:i4>1376306</vt:i4>
      </vt:variant>
      <vt:variant>
        <vt:i4>308</vt:i4>
      </vt:variant>
      <vt:variant>
        <vt:i4>0</vt:i4>
      </vt:variant>
      <vt:variant>
        <vt:i4>5</vt:i4>
      </vt:variant>
      <vt:variant>
        <vt:lpwstr/>
      </vt:variant>
      <vt:variant>
        <vt:lpwstr>_Toc182748550</vt:lpwstr>
      </vt:variant>
      <vt:variant>
        <vt:i4>1310770</vt:i4>
      </vt:variant>
      <vt:variant>
        <vt:i4>302</vt:i4>
      </vt:variant>
      <vt:variant>
        <vt:i4>0</vt:i4>
      </vt:variant>
      <vt:variant>
        <vt:i4>5</vt:i4>
      </vt:variant>
      <vt:variant>
        <vt:lpwstr/>
      </vt:variant>
      <vt:variant>
        <vt:lpwstr>_Toc182748549</vt:lpwstr>
      </vt:variant>
      <vt:variant>
        <vt:i4>1310770</vt:i4>
      </vt:variant>
      <vt:variant>
        <vt:i4>296</vt:i4>
      </vt:variant>
      <vt:variant>
        <vt:i4>0</vt:i4>
      </vt:variant>
      <vt:variant>
        <vt:i4>5</vt:i4>
      </vt:variant>
      <vt:variant>
        <vt:lpwstr/>
      </vt:variant>
      <vt:variant>
        <vt:lpwstr>_Toc182748548</vt:lpwstr>
      </vt:variant>
      <vt:variant>
        <vt:i4>1310770</vt:i4>
      </vt:variant>
      <vt:variant>
        <vt:i4>290</vt:i4>
      </vt:variant>
      <vt:variant>
        <vt:i4>0</vt:i4>
      </vt:variant>
      <vt:variant>
        <vt:i4>5</vt:i4>
      </vt:variant>
      <vt:variant>
        <vt:lpwstr/>
      </vt:variant>
      <vt:variant>
        <vt:lpwstr>_Toc182748547</vt:lpwstr>
      </vt:variant>
      <vt:variant>
        <vt:i4>1310770</vt:i4>
      </vt:variant>
      <vt:variant>
        <vt:i4>284</vt:i4>
      </vt:variant>
      <vt:variant>
        <vt:i4>0</vt:i4>
      </vt:variant>
      <vt:variant>
        <vt:i4>5</vt:i4>
      </vt:variant>
      <vt:variant>
        <vt:lpwstr/>
      </vt:variant>
      <vt:variant>
        <vt:lpwstr>_Toc182748546</vt:lpwstr>
      </vt:variant>
      <vt:variant>
        <vt:i4>1310770</vt:i4>
      </vt:variant>
      <vt:variant>
        <vt:i4>278</vt:i4>
      </vt:variant>
      <vt:variant>
        <vt:i4>0</vt:i4>
      </vt:variant>
      <vt:variant>
        <vt:i4>5</vt:i4>
      </vt:variant>
      <vt:variant>
        <vt:lpwstr/>
      </vt:variant>
      <vt:variant>
        <vt:lpwstr>_Toc182748545</vt:lpwstr>
      </vt:variant>
      <vt:variant>
        <vt:i4>1310770</vt:i4>
      </vt:variant>
      <vt:variant>
        <vt:i4>272</vt:i4>
      </vt:variant>
      <vt:variant>
        <vt:i4>0</vt:i4>
      </vt:variant>
      <vt:variant>
        <vt:i4>5</vt:i4>
      </vt:variant>
      <vt:variant>
        <vt:lpwstr/>
      </vt:variant>
      <vt:variant>
        <vt:lpwstr>_Toc182748544</vt:lpwstr>
      </vt:variant>
      <vt:variant>
        <vt:i4>1310770</vt:i4>
      </vt:variant>
      <vt:variant>
        <vt:i4>266</vt:i4>
      </vt:variant>
      <vt:variant>
        <vt:i4>0</vt:i4>
      </vt:variant>
      <vt:variant>
        <vt:i4>5</vt:i4>
      </vt:variant>
      <vt:variant>
        <vt:lpwstr/>
      </vt:variant>
      <vt:variant>
        <vt:lpwstr>_Toc182748543</vt:lpwstr>
      </vt:variant>
      <vt:variant>
        <vt:i4>1310770</vt:i4>
      </vt:variant>
      <vt:variant>
        <vt:i4>260</vt:i4>
      </vt:variant>
      <vt:variant>
        <vt:i4>0</vt:i4>
      </vt:variant>
      <vt:variant>
        <vt:i4>5</vt:i4>
      </vt:variant>
      <vt:variant>
        <vt:lpwstr/>
      </vt:variant>
      <vt:variant>
        <vt:lpwstr>_Toc182748542</vt:lpwstr>
      </vt:variant>
      <vt:variant>
        <vt:i4>1310770</vt:i4>
      </vt:variant>
      <vt:variant>
        <vt:i4>254</vt:i4>
      </vt:variant>
      <vt:variant>
        <vt:i4>0</vt:i4>
      </vt:variant>
      <vt:variant>
        <vt:i4>5</vt:i4>
      </vt:variant>
      <vt:variant>
        <vt:lpwstr/>
      </vt:variant>
      <vt:variant>
        <vt:lpwstr>_Toc182748541</vt:lpwstr>
      </vt:variant>
      <vt:variant>
        <vt:i4>1310770</vt:i4>
      </vt:variant>
      <vt:variant>
        <vt:i4>248</vt:i4>
      </vt:variant>
      <vt:variant>
        <vt:i4>0</vt:i4>
      </vt:variant>
      <vt:variant>
        <vt:i4>5</vt:i4>
      </vt:variant>
      <vt:variant>
        <vt:lpwstr/>
      </vt:variant>
      <vt:variant>
        <vt:lpwstr>_Toc182748540</vt:lpwstr>
      </vt:variant>
      <vt:variant>
        <vt:i4>1245234</vt:i4>
      </vt:variant>
      <vt:variant>
        <vt:i4>242</vt:i4>
      </vt:variant>
      <vt:variant>
        <vt:i4>0</vt:i4>
      </vt:variant>
      <vt:variant>
        <vt:i4>5</vt:i4>
      </vt:variant>
      <vt:variant>
        <vt:lpwstr/>
      </vt:variant>
      <vt:variant>
        <vt:lpwstr>_Toc182748539</vt:lpwstr>
      </vt:variant>
      <vt:variant>
        <vt:i4>1245234</vt:i4>
      </vt:variant>
      <vt:variant>
        <vt:i4>236</vt:i4>
      </vt:variant>
      <vt:variant>
        <vt:i4>0</vt:i4>
      </vt:variant>
      <vt:variant>
        <vt:i4>5</vt:i4>
      </vt:variant>
      <vt:variant>
        <vt:lpwstr/>
      </vt:variant>
      <vt:variant>
        <vt:lpwstr>_Toc182748538</vt:lpwstr>
      </vt:variant>
      <vt:variant>
        <vt:i4>1245234</vt:i4>
      </vt:variant>
      <vt:variant>
        <vt:i4>230</vt:i4>
      </vt:variant>
      <vt:variant>
        <vt:i4>0</vt:i4>
      </vt:variant>
      <vt:variant>
        <vt:i4>5</vt:i4>
      </vt:variant>
      <vt:variant>
        <vt:lpwstr/>
      </vt:variant>
      <vt:variant>
        <vt:lpwstr>_Toc182748537</vt:lpwstr>
      </vt:variant>
      <vt:variant>
        <vt:i4>1245234</vt:i4>
      </vt:variant>
      <vt:variant>
        <vt:i4>224</vt:i4>
      </vt:variant>
      <vt:variant>
        <vt:i4>0</vt:i4>
      </vt:variant>
      <vt:variant>
        <vt:i4>5</vt:i4>
      </vt:variant>
      <vt:variant>
        <vt:lpwstr/>
      </vt:variant>
      <vt:variant>
        <vt:lpwstr>_Toc182748536</vt:lpwstr>
      </vt:variant>
      <vt:variant>
        <vt:i4>1245234</vt:i4>
      </vt:variant>
      <vt:variant>
        <vt:i4>218</vt:i4>
      </vt:variant>
      <vt:variant>
        <vt:i4>0</vt:i4>
      </vt:variant>
      <vt:variant>
        <vt:i4>5</vt:i4>
      </vt:variant>
      <vt:variant>
        <vt:lpwstr/>
      </vt:variant>
      <vt:variant>
        <vt:lpwstr>_Toc182748535</vt:lpwstr>
      </vt:variant>
      <vt:variant>
        <vt:i4>1245234</vt:i4>
      </vt:variant>
      <vt:variant>
        <vt:i4>212</vt:i4>
      </vt:variant>
      <vt:variant>
        <vt:i4>0</vt:i4>
      </vt:variant>
      <vt:variant>
        <vt:i4>5</vt:i4>
      </vt:variant>
      <vt:variant>
        <vt:lpwstr/>
      </vt:variant>
      <vt:variant>
        <vt:lpwstr>_Toc182748534</vt:lpwstr>
      </vt:variant>
      <vt:variant>
        <vt:i4>1245234</vt:i4>
      </vt:variant>
      <vt:variant>
        <vt:i4>206</vt:i4>
      </vt:variant>
      <vt:variant>
        <vt:i4>0</vt:i4>
      </vt:variant>
      <vt:variant>
        <vt:i4>5</vt:i4>
      </vt:variant>
      <vt:variant>
        <vt:lpwstr/>
      </vt:variant>
      <vt:variant>
        <vt:lpwstr>_Toc182748533</vt:lpwstr>
      </vt:variant>
      <vt:variant>
        <vt:i4>1245234</vt:i4>
      </vt:variant>
      <vt:variant>
        <vt:i4>200</vt:i4>
      </vt:variant>
      <vt:variant>
        <vt:i4>0</vt:i4>
      </vt:variant>
      <vt:variant>
        <vt:i4>5</vt:i4>
      </vt:variant>
      <vt:variant>
        <vt:lpwstr/>
      </vt:variant>
      <vt:variant>
        <vt:lpwstr>_Toc182748532</vt:lpwstr>
      </vt:variant>
      <vt:variant>
        <vt:i4>1245234</vt:i4>
      </vt:variant>
      <vt:variant>
        <vt:i4>194</vt:i4>
      </vt:variant>
      <vt:variant>
        <vt:i4>0</vt:i4>
      </vt:variant>
      <vt:variant>
        <vt:i4>5</vt:i4>
      </vt:variant>
      <vt:variant>
        <vt:lpwstr/>
      </vt:variant>
      <vt:variant>
        <vt:lpwstr>_Toc182748531</vt:lpwstr>
      </vt:variant>
      <vt:variant>
        <vt:i4>1245234</vt:i4>
      </vt:variant>
      <vt:variant>
        <vt:i4>188</vt:i4>
      </vt:variant>
      <vt:variant>
        <vt:i4>0</vt:i4>
      </vt:variant>
      <vt:variant>
        <vt:i4>5</vt:i4>
      </vt:variant>
      <vt:variant>
        <vt:lpwstr/>
      </vt:variant>
      <vt:variant>
        <vt:lpwstr>_Toc182748530</vt:lpwstr>
      </vt:variant>
      <vt:variant>
        <vt:i4>1179698</vt:i4>
      </vt:variant>
      <vt:variant>
        <vt:i4>182</vt:i4>
      </vt:variant>
      <vt:variant>
        <vt:i4>0</vt:i4>
      </vt:variant>
      <vt:variant>
        <vt:i4>5</vt:i4>
      </vt:variant>
      <vt:variant>
        <vt:lpwstr/>
      </vt:variant>
      <vt:variant>
        <vt:lpwstr>_Toc182748529</vt:lpwstr>
      </vt:variant>
      <vt:variant>
        <vt:i4>1179698</vt:i4>
      </vt:variant>
      <vt:variant>
        <vt:i4>176</vt:i4>
      </vt:variant>
      <vt:variant>
        <vt:i4>0</vt:i4>
      </vt:variant>
      <vt:variant>
        <vt:i4>5</vt:i4>
      </vt:variant>
      <vt:variant>
        <vt:lpwstr/>
      </vt:variant>
      <vt:variant>
        <vt:lpwstr>_Toc182748528</vt:lpwstr>
      </vt:variant>
      <vt:variant>
        <vt:i4>1179698</vt:i4>
      </vt:variant>
      <vt:variant>
        <vt:i4>170</vt:i4>
      </vt:variant>
      <vt:variant>
        <vt:i4>0</vt:i4>
      </vt:variant>
      <vt:variant>
        <vt:i4>5</vt:i4>
      </vt:variant>
      <vt:variant>
        <vt:lpwstr/>
      </vt:variant>
      <vt:variant>
        <vt:lpwstr>_Toc182748527</vt:lpwstr>
      </vt:variant>
      <vt:variant>
        <vt:i4>1179698</vt:i4>
      </vt:variant>
      <vt:variant>
        <vt:i4>164</vt:i4>
      </vt:variant>
      <vt:variant>
        <vt:i4>0</vt:i4>
      </vt:variant>
      <vt:variant>
        <vt:i4>5</vt:i4>
      </vt:variant>
      <vt:variant>
        <vt:lpwstr/>
      </vt:variant>
      <vt:variant>
        <vt:lpwstr>_Toc182748526</vt:lpwstr>
      </vt:variant>
      <vt:variant>
        <vt:i4>1179698</vt:i4>
      </vt:variant>
      <vt:variant>
        <vt:i4>158</vt:i4>
      </vt:variant>
      <vt:variant>
        <vt:i4>0</vt:i4>
      </vt:variant>
      <vt:variant>
        <vt:i4>5</vt:i4>
      </vt:variant>
      <vt:variant>
        <vt:lpwstr/>
      </vt:variant>
      <vt:variant>
        <vt:lpwstr>_Toc182748525</vt:lpwstr>
      </vt:variant>
      <vt:variant>
        <vt:i4>1179698</vt:i4>
      </vt:variant>
      <vt:variant>
        <vt:i4>152</vt:i4>
      </vt:variant>
      <vt:variant>
        <vt:i4>0</vt:i4>
      </vt:variant>
      <vt:variant>
        <vt:i4>5</vt:i4>
      </vt:variant>
      <vt:variant>
        <vt:lpwstr/>
      </vt:variant>
      <vt:variant>
        <vt:lpwstr>_Toc182748524</vt:lpwstr>
      </vt:variant>
      <vt:variant>
        <vt:i4>1179698</vt:i4>
      </vt:variant>
      <vt:variant>
        <vt:i4>146</vt:i4>
      </vt:variant>
      <vt:variant>
        <vt:i4>0</vt:i4>
      </vt:variant>
      <vt:variant>
        <vt:i4>5</vt:i4>
      </vt:variant>
      <vt:variant>
        <vt:lpwstr/>
      </vt:variant>
      <vt:variant>
        <vt:lpwstr>_Toc182748523</vt:lpwstr>
      </vt:variant>
      <vt:variant>
        <vt:i4>1179698</vt:i4>
      </vt:variant>
      <vt:variant>
        <vt:i4>140</vt:i4>
      </vt:variant>
      <vt:variant>
        <vt:i4>0</vt:i4>
      </vt:variant>
      <vt:variant>
        <vt:i4>5</vt:i4>
      </vt:variant>
      <vt:variant>
        <vt:lpwstr/>
      </vt:variant>
      <vt:variant>
        <vt:lpwstr>_Toc182748522</vt:lpwstr>
      </vt:variant>
      <vt:variant>
        <vt:i4>1179698</vt:i4>
      </vt:variant>
      <vt:variant>
        <vt:i4>134</vt:i4>
      </vt:variant>
      <vt:variant>
        <vt:i4>0</vt:i4>
      </vt:variant>
      <vt:variant>
        <vt:i4>5</vt:i4>
      </vt:variant>
      <vt:variant>
        <vt:lpwstr/>
      </vt:variant>
      <vt:variant>
        <vt:lpwstr>_Toc182748521</vt:lpwstr>
      </vt:variant>
      <vt:variant>
        <vt:i4>1179698</vt:i4>
      </vt:variant>
      <vt:variant>
        <vt:i4>128</vt:i4>
      </vt:variant>
      <vt:variant>
        <vt:i4>0</vt:i4>
      </vt:variant>
      <vt:variant>
        <vt:i4>5</vt:i4>
      </vt:variant>
      <vt:variant>
        <vt:lpwstr/>
      </vt:variant>
      <vt:variant>
        <vt:lpwstr>_Toc182748520</vt:lpwstr>
      </vt:variant>
      <vt:variant>
        <vt:i4>1114162</vt:i4>
      </vt:variant>
      <vt:variant>
        <vt:i4>122</vt:i4>
      </vt:variant>
      <vt:variant>
        <vt:i4>0</vt:i4>
      </vt:variant>
      <vt:variant>
        <vt:i4>5</vt:i4>
      </vt:variant>
      <vt:variant>
        <vt:lpwstr/>
      </vt:variant>
      <vt:variant>
        <vt:lpwstr>_Toc182748519</vt:lpwstr>
      </vt:variant>
      <vt:variant>
        <vt:i4>1114162</vt:i4>
      </vt:variant>
      <vt:variant>
        <vt:i4>116</vt:i4>
      </vt:variant>
      <vt:variant>
        <vt:i4>0</vt:i4>
      </vt:variant>
      <vt:variant>
        <vt:i4>5</vt:i4>
      </vt:variant>
      <vt:variant>
        <vt:lpwstr/>
      </vt:variant>
      <vt:variant>
        <vt:lpwstr>_Toc182748518</vt:lpwstr>
      </vt:variant>
      <vt:variant>
        <vt:i4>1114162</vt:i4>
      </vt:variant>
      <vt:variant>
        <vt:i4>110</vt:i4>
      </vt:variant>
      <vt:variant>
        <vt:i4>0</vt:i4>
      </vt:variant>
      <vt:variant>
        <vt:i4>5</vt:i4>
      </vt:variant>
      <vt:variant>
        <vt:lpwstr/>
      </vt:variant>
      <vt:variant>
        <vt:lpwstr>_Toc182748517</vt:lpwstr>
      </vt:variant>
      <vt:variant>
        <vt:i4>1114162</vt:i4>
      </vt:variant>
      <vt:variant>
        <vt:i4>104</vt:i4>
      </vt:variant>
      <vt:variant>
        <vt:i4>0</vt:i4>
      </vt:variant>
      <vt:variant>
        <vt:i4>5</vt:i4>
      </vt:variant>
      <vt:variant>
        <vt:lpwstr/>
      </vt:variant>
      <vt:variant>
        <vt:lpwstr>_Toc182748516</vt:lpwstr>
      </vt:variant>
      <vt:variant>
        <vt:i4>1114162</vt:i4>
      </vt:variant>
      <vt:variant>
        <vt:i4>98</vt:i4>
      </vt:variant>
      <vt:variant>
        <vt:i4>0</vt:i4>
      </vt:variant>
      <vt:variant>
        <vt:i4>5</vt:i4>
      </vt:variant>
      <vt:variant>
        <vt:lpwstr/>
      </vt:variant>
      <vt:variant>
        <vt:lpwstr>_Toc182748515</vt:lpwstr>
      </vt:variant>
      <vt:variant>
        <vt:i4>1114162</vt:i4>
      </vt:variant>
      <vt:variant>
        <vt:i4>92</vt:i4>
      </vt:variant>
      <vt:variant>
        <vt:i4>0</vt:i4>
      </vt:variant>
      <vt:variant>
        <vt:i4>5</vt:i4>
      </vt:variant>
      <vt:variant>
        <vt:lpwstr/>
      </vt:variant>
      <vt:variant>
        <vt:lpwstr>_Toc182748514</vt:lpwstr>
      </vt:variant>
      <vt:variant>
        <vt:i4>1114162</vt:i4>
      </vt:variant>
      <vt:variant>
        <vt:i4>86</vt:i4>
      </vt:variant>
      <vt:variant>
        <vt:i4>0</vt:i4>
      </vt:variant>
      <vt:variant>
        <vt:i4>5</vt:i4>
      </vt:variant>
      <vt:variant>
        <vt:lpwstr/>
      </vt:variant>
      <vt:variant>
        <vt:lpwstr>_Toc182748513</vt:lpwstr>
      </vt:variant>
      <vt:variant>
        <vt:i4>1114162</vt:i4>
      </vt:variant>
      <vt:variant>
        <vt:i4>80</vt:i4>
      </vt:variant>
      <vt:variant>
        <vt:i4>0</vt:i4>
      </vt:variant>
      <vt:variant>
        <vt:i4>5</vt:i4>
      </vt:variant>
      <vt:variant>
        <vt:lpwstr/>
      </vt:variant>
      <vt:variant>
        <vt:lpwstr>_Toc182748512</vt:lpwstr>
      </vt:variant>
      <vt:variant>
        <vt:i4>1114162</vt:i4>
      </vt:variant>
      <vt:variant>
        <vt:i4>74</vt:i4>
      </vt:variant>
      <vt:variant>
        <vt:i4>0</vt:i4>
      </vt:variant>
      <vt:variant>
        <vt:i4>5</vt:i4>
      </vt:variant>
      <vt:variant>
        <vt:lpwstr/>
      </vt:variant>
      <vt:variant>
        <vt:lpwstr>_Toc182748511</vt:lpwstr>
      </vt:variant>
      <vt:variant>
        <vt:i4>1114162</vt:i4>
      </vt:variant>
      <vt:variant>
        <vt:i4>68</vt:i4>
      </vt:variant>
      <vt:variant>
        <vt:i4>0</vt:i4>
      </vt:variant>
      <vt:variant>
        <vt:i4>5</vt:i4>
      </vt:variant>
      <vt:variant>
        <vt:lpwstr/>
      </vt:variant>
      <vt:variant>
        <vt:lpwstr>_Toc182748510</vt:lpwstr>
      </vt:variant>
      <vt:variant>
        <vt:i4>1048626</vt:i4>
      </vt:variant>
      <vt:variant>
        <vt:i4>62</vt:i4>
      </vt:variant>
      <vt:variant>
        <vt:i4>0</vt:i4>
      </vt:variant>
      <vt:variant>
        <vt:i4>5</vt:i4>
      </vt:variant>
      <vt:variant>
        <vt:lpwstr/>
      </vt:variant>
      <vt:variant>
        <vt:lpwstr>_Toc182748509</vt:lpwstr>
      </vt:variant>
      <vt:variant>
        <vt:i4>1048626</vt:i4>
      </vt:variant>
      <vt:variant>
        <vt:i4>56</vt:i4>
      </vt:variant>
      <vt:variant>
        <vt:i4>0</vt:i4>
      </vt:variant>
      <vt:variant>
        <vt:i4>5</vt:i4>
      </vt:variant>
      <vt:variant>
        <vt:lpwstr/>
      </vt:variant>
      <vt:variant>
        <vt:lpwstr>_Toc182748508</vt:lpwstr>
      </vt:variant>
      <vt:variant>
        <vt:i4>1048626</vt:i4>
      </vt:variant>
      <vt:variant>
        <vt:i4>50</vt:i4>
      </vt:variant>
      <vt:variant>
        <vt:i4>0</vt:i4>
      </vt:variant>
      <vt:variant>
        <vt:i4>5</vt:i4>
      </vt:variant>
      <vt:variant>
        <vt:lpwstr/>
      </vt:variant>
      <vt:variant>
        <vt:lpwstr>_Toc182748507</vt:lpwstr>
      </vt:variant>
      <vt:variant>
        <vt:i4>1048626</vt:i4>
      </vt:variant>
      <vt:variant>
        <vt:i4>44</vt:i4>
      </vt:variant>
      <vt:variant>
        <vt:i4>0</vt:i4>
      </vt:variant>
      <vt:variant>
        <vt:i4>5</vt:i4>
      </vt:variant>
      <vt:variant>
        <vt:lpwstr/>
      </vt:variant>
      <vt:variant>
        <vt:lpwstr>_Toc182748506</vt:lpwstr>
      </vt:variant>
      <vt:variant>
        <vt:i4>1048626</vt:i4>
      </vt:variant>
      <vt:variant>
        <vt:i4>38</vt:i4>
      </vt:variant>
      <vt:variant>
        <vt:i4>0</vt:i4>
      </vt:variant>
      <vt:variant>
        <vt:i4>5</vt:i4>
      </vt:variant>
      <vt:variant>
        <vt:lpwstr/>
      </vt:variant>
      <vt:variant>
        <vt:lpwstr>_Toc182748505</vt:lpwstr>
      </vt:variant>
      <vt:variant>
        <vt:i4>1048626</vt:i4>
      </vt:variant>
      <vt:variant>
        <vt:i4>32</vt:i4>
      </vt:variant>
      <vt:variant>
        <vt:i4>0</vt:i4>
      </vt:variant>
      <vt:variant>
        <vt:i4>5</vt:i4>
      </vt:variant>
      <vt:variant>
        <vt:lpwstr/>
      </vt:variant>
      <vt:variant>
        <vt:lpwstr>_Toc182748504</vt:lpwstr>
      </vt:variant>
      <vt:variant>
        <vt:i4>1048626</vt:i4>
      </vt:variant>
      <vt:variant>
        <vt:i4>26</vt:i4>
      </vt:variant>
      <vt:variant>
        <vt:i4>0</vt:i4>
      </vt:variant>
      <vt:variant>
        <vt:i4>5</vt:i4>
      </vt:variant>
      <vt:variant>
        <vt:lpwstr/>
      </vt:variant>
      <vt:variant>
        <vt:lpwstr>_Toc182748503</vt:lpwstr>
      </vt:variant>
      <vt:variant>
        <vt:i4>1048626</vt:i4>
      </vt:variant>
      <vt:variant>
        <vt:i4>20</vt:i4>
      </vt:variant>
      <vt:variant>
        <vt:i4>0</vt:i4>
      </vt:variant>
      <vt:variant>
        <vt:i4>5</vt:i4>
      </vt:variant>
      <vt:variant>
        <vt:lpwstr/>
      </vt:variant>
      <vt:variant>
        <vt:lpwstr>_Toc182748502</vt:lpwstr>
      </vt:variant>
      <vt:variant>
        <vt:i4>1048626</vt:i4>
      </vt:variant>
      <vt:variant>
        <vt:i4>14</vt:i4>
      </vt:variant>
      <vt:variant>
        <vt:i4>0</vt:i4>
      </vt:variant>
      <vt:variant>
        <vt:i4>5</vt:i4>
      </vt:variant>
      <vt:variant>
        <vt:lpwstr/>
      </vt:variant>
      <vt:variant>
        <vt:lpwstr>_Toc182748501</vt:lpwstr>
      </vt:variant>
      <vt:variant>
        <vt:i4>1048626</vt:i4>
      </vt:variant>
      <vt:variant>
        <vt:i4>8</vt:i4>
      </vt:variant>
      <vt:variant>
        <vt:i4>0</vt:i4>
      </vt:variant>
      <vt:variant>
        <vt:i4>5</vt:i4>
      </vt:variant>
      <vt:variant>
        <vt:lpwstr/>
      </vt:variant>
      <vt:variant>
        <vt:lpwstr>_Toc182748500</vt:lpwstr>
      </vt:variant>
      <vt:variant>
        <vt:i4>1638451</vt:i4>
      </vt:variant>
      <vt:variant>
        <vt:i4>2</vt:i4>
      </vt:variant>
      <vt:variant>
        <vt:i4>0</vt:i4>
      </vt:variant>
      <vt:variant>
        <vt:i4>5</vt:i4>
      </vt:variant>
      <vt:variant>
        <vt:lpwstr/>
      </vt:variant>
      <vt:variant>
        <vt:lpwstr>_Toc182748499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Wendy Chan</dc:creator>
  <cp:lastModifiedBy>Hughes, Jack (Analytical)</cp:lastModifiedBy>
  <cp:revision>2</cp:revision>
  <cp:lastPrinted>2025-05-19T13:51:00Z</cp:lastPrinted>
  <dcterms:created xsi:type="dcterms:W3CDTF">2025-05-30T18:04:00Z</dcterms:created>
  <dcterms:modified xsi:type="dcterms:W3CDTF">2025-05-30T18:04:00Z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0x01010016946F40D43BA141AA60615A9E73118A</vt:lpwstr>
  </property>
  <property fmtid="{D5CDD505-2E9C-101B-9397-08002B2CF9AE}" pid="3" name="Order">
    <vt:r8>1721000</vt:r8>
  </property>
  <property fmtid="{D5CDD505-2E9C-101B-9397-08002B2CF9AE}" pid="4" name="MSIP_Label_1e4321fe-1db3-4305-a2cc-aad91140672d_Enabled">
    <vt:lpwstr>true</vt:lpwstr>
  </property>
  <property fmtid="{D5CDD505-2E9C-101B-9397-08002B2CF9AE}" pid="5" name="MSIP_Label_1e4321fe-1db3-4305-a2cc-aad91140672d_SetDate">
    <vt:lpwstr>2023-12-15T00:34:44Z</vt:lpwstr>
  </property>
  <property fmtid="{D5CDD505-2E9C-101B-9397-08002B2CF9AE}" pid="6" name="MSIP_Label_1e4321fe-1db3-4305-a2cc-aad91140672d_Method">
    <vt:lpwstr>Privileged</vt:lpwstr>
  </property>
  <property fmtid="{D5CDD505-2E9C-101B-9397-08002B2CF9AE}" pid="7" name="MSIP_Label_1e4321fe-1db3-4305-a2cc-aad91140672d_Name">
    <vt:lpwstr>External</vt:lpwstr>
  </property>
  <property fmtid="{D5CDD505-2E9C-101B-9397-08002B2CF9AE}" pid="8" name="MSIP_Label_1e4321fe-1db3-4305-a2cc-aad91140672d_SiteId">
    <vt:lpwstr>8f3e36ea-8039-4b40-81a7-7dc0599e8645</vt:lpwstr>
  </property>
  <property fmtid="{D5CDD505-2E9C-101B-9397-08002B2CF9AE}" pid="9" name="MSIP_Label_1e4321fe-1db3-4305-a2cc-aad91140672d_ActionId">
    <vt:lpwstr>a75965df-ab4d-48c8-9d8d-24514e706a46</vt:lpwstr>
  </property>
  <property fmtid="{D5CDD505-2E9C-101B-9397-08002B2CF9AE}" pid="10" name="MSIP_Label_1e4321fe-1db3-4305-a2cc-aad91140672d_ContentBits">
    <vt:lpwstr>0</vt:lpwstr>
  </property>
  <property fmtid="{D5CDD505-2E9C-101B-9397-08002B2CF9AE}" pid="11" name="MediaServiceImageTags">
    <vt:lpwstr/>
  </property>
</Properties>
</file>