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D815" w14:textId="77777777" w:rsidR="00F1351A" w:rsidRDefault="00F1351A" w:rsidP="007A1071">
      <w:pPr>
        <w:pStyle w:val="Title"/>
        <w:rPr>
          <w:color w:val="FFFFFF" w:themeColor="background1"/>
        </w:rPr>
      </w:pPr>
    </w:p>
    <w:sdt>
      <w:sdtPr>
        <w:alias w:val="Click icon to replace picture"/>
        <w:tag w:val="Click icon to replace picture"/>
        <w:id w:val="1735506185"/>
        <w:picture/>
      </w:sdtPr>
      <w:sdtEndPr/>
      <w:sdtContent>
        <w:p w14:paraId="3F78A852" w14:textId="77777777" w:rsidR="00F1351A" w:rsidRDefault="00F1351A" w:rsidP="00F1351A">
          <w:pPr>
            <w:jc w:val="center"/>
          </w:pPr>
          <w:r>
            <w:rPr>
              <w:noProof/>
              <w:lang w:val="en-GB" w:eastAsia="en-GB"/>
            </w:rPr>
            <w:drawing>
              <wp:inline distT="0" distB="0" distL="0" distR="0" wp14:anchorId="625A9F02" wp14:editId="3F67B63A">
                <wp:extent cx="6193058" cy="412870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99624.png"/>
                        <pic:cNvPicPr/>
                      </pic:nvPicPr>
                      <pic:blipFill>
                        <a:blip r:embed="rId11">
                          <a:extLst>
                            <a:ext uri="{28A0092B-C50C-407E-A947-70E740481C1C}">
                              <a14:useLocalDpi xmlns:a14="http://schemas.microsoft.com/office/drawing/2010/main" val="0"/>
                            </a:ext>
                          </a:extLst>
                        </a:blip>
                        <a:stretch>
                          <a:fillRect/>
                        </a:stretch>
                      </pic:blipFill>
                      <pic:spPr>
                        <a:xfrm>
                          <a:off x="0" y="0"/>
                          <a:ext cx="6212549" cy="4141699"/>
                        </a:xfrm>
                        <a:prstGeom prst="rect">
                          <a:avLst/>
                        </a:prstGeom>
                      </pic:spPr>
                    </pic:pic>
                  </a:graphicData>
                </a:graphic>
              </wp:inline>
            </w:drawing>
          </w:r>
        </w:p>
      </w:sdtContent>
    </w:sdt>
    <w:p w14:paraId="12DE3406" w14:textId="77777777" w:rsidR="00F1351A" w:rsidRDefault="00F1351A" w:rsidP="00F1351A"/>
    <w:p w14:paraId="717E82AC" w14:textId="7C53ED96" w:rsidR="00F1351A" w:rsidRDefault="000C73E5" w:rsidP="00F1351A">
      <w:pPr>
        <w:pStyle w:val="Title"/>
        <w:ind w:left="1134"/>
        <w:rPr>
          <w:color w:val="FFFFFF" w:themeColor="background1"/>
        </w:rPr>
      </w:pPr>
      <w:sdt>
        <w:sdtPr>
          <w:rPr>
            <w:color w:val="FFFFFF" w:themeColor="background1"/>
          </w:rPr>
          <w:alias w:val="Report Title"/>
          <w:tag w:val="Report Title"/>
          <w:id w:val="-1769611973"/>
          <w:placeholder>
            <w:docPart w:val="AB0F3F37D6084A1BB43C2F45E2A91BC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A0C58">
            <w:rPr>
              <w:color w:val="FFFFFF" w:themeColor="background1"/>
            </w:rPr>
            <w:t>Admissions Policy 202</w:t>
          </w:r>
          <w:r w:rsidR="006F3E90">
            <w:rPr>
              <w:color w:val="FFFFFF" w:themeColor="background1"/>
            </w:rPr>
            <w:t>4</w:t>
          </w:r>
          <w:r w:rsidR="009A0C58">
            <w:rPr>
              <w:color w:val="FFFFFF" w:themeColor="background1"/>
            </w:rPr>
            <w:t>/2</w:t>
          </w:r>
          <w:r w:rsidR="006F3E90">
            <w:rPr>
              <w:color w:val="FFFFFF" w:themeColor="background1"/>
            </w:rPr>
            <w:t>5</w:t>
          </w:r>
        </w:sdtContent>
      </w:sdt>
    </w:p>
    <w:p w14:paraId="4D95E29E" w14:textId="77777777" w:rsidR="007828C8" w:rsidRDefault="007828C8" w:rsidP="002B5CEA">
      <w:pPr>
        <w:pStyle w:val="URL"/>
        <w:tabs>
          <w:tab w:val="left" w:pos="4320"/>
        </w:tabs>
        <w:spacing w:line="240" w:lineRule="auto"/>
      </w:pPr>
      <w:bookmarkStart w:id="0" w:name="_Toc51769877"/>
    </w:p>
    <w:p w14:paraId="14EA6774" w14:textId="519D9C0A" w:rsidR="002B5CEA" w:rsidRDefault="002B5CEA" w:rsidP="002B5CEA">
      <w:pPr>
        <w:pStyle w:val="URL"/>
        <w:tabs>
          <w:tab w:val="left" w:pos="4320"/>
        </w:tabs>
        <w:spacing w:line="240" w:lineRule="auto"/>
      </w:pPr>
    </w:p>
    <w:p w14:paraId="3D2F63D7" w14:textId="77777777" w:rsidR="004D36FA" w:rsidRDefault="004D36FA" w:rsidP="002B5CEA">
      <w:pPr>
        <w:pStyle w:val="URL"/>
        <w:tabs>
          <w:tab w:val="left" w:pos="4320"/>
        </w:tabs>
        <w:spacing w:line="240" w:lineRule="auto"/>
      </w:pPr>
    </w:p>
    <w:p w14:paraId="00BC7C1D" w14:textId="36650A37" w:rsidR="004D36FA" w:rsidRDefault="004D36FA" w:rsidP="002B5CEA">
      <w:pPr>
        <w:pStyle w:val="URL"/>
        <w:tabs>
          <w:tab w:val="left" w:pos="4320"/>
        </w:tabs>
        <w:spacing w:line="240" w:lineRule="auto"/>
      </w:pPr>
    </w:p>
    <w:p w14:paraId="149AE058" w14:textId="08C6B6A0" w:rsidR="002B5CEA" w:rsidRDefault="002B5CEA" w:rsidP="002B5CEA">
      <w:pPr>
        <w:pStyle w:val="URL"/>
        <w:tabs>
          <w:tab w:val="left" w:pos="4320"/>
        </w:tabs>
        <w:spacing w:line="240" w:lineRule="auto"/>
      </w:pPr>
    </w:p>
    <w:p w14:paraId="4A58CCA6" w14:textId="77777777" w:rsidR="002A6D85" w:rsidRDefault="002A6D85" w:rsidP="002B5CEA">
      <w:pPr>
        <w:pStyle w:val="URL"/>
        <w:tabs>
          <w:tab w:val="left" w:pos="4320"/>
        </w:tabs>
        <w:spacing w:line="240" w:lineRule="auto"/>
      </w:pPr>
    </w:p>
    <w:p w14:paraId="6296097A" w14:textId="77777777" w:rsidR="002B5CEA" w:rsidRDefault="002B5CEA" w:rsidP="002B5CEA">
      <w:pPr>
        <w:pStyle w:val="URL"/>
        <w:tabs>
          <w:tab w:val="left" w:pos="4320"/>
        </w:tabs>
        <w:spacing w:line="240" w:lineRule="auto"/>
        <w:ind w:left="1134"/>
      </w:pPr>
    </w:p>
    <w:p w14:paraId="0E49C729" w14:textId="5F2EADB8" w:rsidR="002B5CEA" w:rsidRDefault="002B5CEA" w:rsidP="002B5CEA">
      <w:pPr>
        <w:pStyle w:val="URL"/>
        <w:tabs>
          <w:tab w:val="left" w:pos="4320"/>
        </w:tabs>
        <w:spacing w:line="240" w:lineRule="auto"/>
        <w:ind w:left="1134"/>
      </w:pPr>
    </w:p>
    <w:p w14:paraId="4C4362D2" w14:textId="5032DE57" w:rsidR="004D36FA" w:rsidRPr="004D36FA" w:rsidRDefault="004D36FA" w:rsidP="004D36FA">
      <w:pPr>
        <w:tabs>
          <w:tab w:val="left" w:pos="9028"/>
        </w:tabs>
      </w:pPr>
      <w:r>
        <w:tab/>
      </w:r>
    </w:p>
    <w:p w14:paraId="20190435" w14:textId="076622C7" w:rsidR="004D36FA" w:rsidRPr="004D36FA" w:rsidRDefault="004D36FA" w:rsidP="004D36FA">
      <w:pPr>
        <w:sectPr w:rsidR="004D36FA" w:rsidRPr="004D36FA" w:rsidSect="004D36FA">
          <w:headerReference w:type="default" r:id="rId12"/>
          <w:footerReference w:type="default" r:id="rId13"/>
          <w:headerReference w:type="first" r:id="rId14"/>
          <w:footerReference w:type="first" r:id="rId15"/>
          <w:pgSz w:w="11907" w:h="16840" w:code="1"/>
          <w:pgMar w:top="1985" w:right="1077" w:bottom="567" w:left="1077" w:header="851" w:footer="0" w:gutter="0"/>
          <w:cols w:space="720"/>
          <w:titlePg/>
          <w:docGrid w:linePitch="360"/>
        </w:sectPr>
      </w:pPr>
    </w:p>
    <w:bookmarkEnd w:id="0"/>
    <w:p w14:paraId="216BC968" w14:textId="77777777" w:rsidR="009A0C58" w:rsidRPr="00853DD5" w:rsidRDefault="009A0C58" w:rsidP="009A0C58">
      <w:pPr>
        <w:pStyle w:val="Heading1"/>
        <w:jc w:val="center"/>
        <w:rPr>
          <w:rFonts w:ascii="Source Sans Pro" w:hAnsi="Source Sans Pro"/>
          <w:b w:val="0"/>
          <w:color w:val="auto"/>
        </w:rPr>
      </w:pPr>
      <w:r w:rsidRPr="00853DD5">
        <w:rPr>
          <w:rFonts w:ascii="Source Sans Pro" w:hAnsi="Source Sans Pro"/>
          <w:color w:val="auto"/>
        </w:rPr>
        <w:lastRenderedPageBreak/>
        <w:t>Admissions Policy</w:t>
      </w:r>
    </w:p>
    <w:p w14:paraId="3F1A6C3B" w14:textId="77777777" w:rsidR="009A0C58" w:rsidRPr="005A7883" w:rsidRDefault="009A0C58" w:rsidP="009A0C58">
      <w:pPr>
        <w:rPr>
          <w:rFonts w:asciiTheme="minorHAnsi" w:hAnsiTheme="minorHAnsi" w:cstheme="minorHAnsi"/>
        </w:rPr>
      </w:pPr>
    </w:p>
    <w:p w14:paraId="73B6D7EA" w14:textId="77777777" w:rsidR="009A0C58" w:rsidRDefault="009A0C58" w:rsidP="009A0C58">
      <w:pPr>
        <w:jc w:val="both"/>
        <w:rPr>
          <w:rFonts w:asciiTheme="minorHAnsi" w:hAnsiTheme="minorHAnsi" w:cstheme="minorHAnsi"/>
          <w:b/>
        </w:rPr>
      </w:pPr>
    </w:p>
    <w:p w14:paraId="48862CF6"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SCOPE OF POLICY</w:t>
      </w:r>
    </w:p>
    <w:p w14:paraId="5E77A412" w14:textId="77777777" w:rsidR="009A0C58" w:rsidRDefault="009A0C58" w:rsidP="009A0C58">
      <w:pPr>
        <w:jc w:val="both"/>
        <w:rPr>
          <w:rFonts w:asciiTheme="minorHAnsi" w:hAnsiTheme="minorHAnsi" w:cstheme="minorHAnsi"/>
        </w:rPr>
      </w:pPr>
    </w:p>
    <w:p w14:paraId="2EDE240D" w14:textId="4CAF895B" w:rsidR="009A0C58" w:rsidRPr="00186524" w:rsidRDefault="009A0C58" w:rsidP="00DA1E8E">
      <w:pPr>
        <w:rPr>
          <w:rFonts w:asciiTheme="minorHAnsi" w:hAnsiTheme="minorHAnsi" w:cstheme="minorHAnsi"/>
        </w:rPr>
      </w:pPr>
      <w:r w:rsidRPr="00186524">
        <w:rPr>
          <w:rFonts w:asciiTheme="minorHAnsi" w:hAnsiTheme="minorHAnsi" w:cstheme="minorHAnsi"/>
        </w:rPr>
        <w:t xml:space="preserve">This policy applies to admission to all </w:t>
      </w:r>
      <w:r>
        <w:rPr>
          <w:rFonts w:asciiTheme="minorHAnsi" w:hAnsiTheme="minorHAnsi" w:cstheme="minorHAnsi"/>
        </w:rPr>
        <w:t>undergraduate, postgraduate (taught and research)</w:t>
      </w:r>
      <w:r w:rsidRPr="00186524">
        <w:rPr>
          <w:rFonts w:asciiTheme="minorHAnsi" w:hAnsiTheme="minorHAnsi" w:cstheme="minorHAnsi"/>
        </w:rPr>
        <w:t xml:space="preserve"> </w:t>
      </w:r>
      <w:proofErr w:type="spellStart"/>
      <w:r w:rsidRPr="00186524">
        <w:rPr>
          <w:rFonts w:asciiTheme="minorHAnsi" w:hAnsiTheme="minorHAnsi" w:cstheme="minorHAnsi"/>
        </w:rPr>
        <w:t>programmes</w:t>
      </w:r>
      <w:proofErr w:type="spellEnd"/>
      <w:r w:rsidRPr="00186524">
        <w:rPr>
          <w:rFonts w:asciiTheme="minorHAnsi" w:hAnsiTheme="minorHAnsi" w:cstheme="minorHAnsi"/>
        </w:rPr>
        <w:t xml:space="preserve"> at Queen Mary University of London, </w:t>
      </w:r>
      <w:r w:rsidR="00D33A0D">
        <w:t xml:space="preserve">except undergraduate Medicine and Dentistry </w:t>
      </w:r>
      <w:proofErr w:type="spellStart"/>
      <w:r w:rsidR="00D33A0D">
        <w:t>programmes</w:t>
      </w:r>
      <w:proofErr w:type="spellEnd"/>
      <w:r w:rsidR="00D33A0D">
        <w:t>, which are subject to separate policies</w:t>
      </w:r>
      <w:r w:rsidR="00D33A0D">
        <w:rPr>
          <w:vertAlign w:val="superscript"/>
        </w:rPr>
        <w:t>1</w:t>
      </w:r>
      <w:r w:rsidR="00D33A0D">
        <w:t xml:space="preserve">. </w:t>
      </w:r>
      <w:proofErr w:type="spellStart"/>
      <w:r w:rsidRPr="00186524">
        <w:rPr>
          <w:rFonts w:asciiTheme="minorHAnsi" w:hAnsiTheme="minorHAnsi" w:cstheme="minorHAnsi"/>
        </w:rPr>
        <w:t>Programmes</w:t>
      </w:r>
      <w:proofErr w:type="spellEnd"/>
      <w:r w:rsidRPr="00186524">
        <w:rPr>
          <w:rFonts w:asciiTheme="minorHAnsi" w:hAnsiTheme="minorHAnsi" w:cstheme="minorHAnsi"/>
        </w:rPr>
        <w:t xml:space="preserve"> delivered where the Queen Mary central Admissions team is responsible for administration of the admissions process, are within the scope of this policy.</w:t>
      </w:r>
    </w:p>
    <w:p w14:paraId="1B19D493" w14:textId="77777777" w:rsidR="009A0C58" w:rsidRPr="00186524" w:rsidRDefault="009A0C58" w:rsidP="009A0C58">
      <w:pPr>
        <w:jc w:val="both"/>
        <w:rPr>
          <w:rFonts w:asciiTheme="minorHAnsi" w:hAnsiTheme="minorHAnsi" w:cstheme="minorHAnsi"/>
        </w:rPr>
      </w:pPr>
    </w:p>
    <w:p w14:paraId="48FCDAAD"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RESPONSIBILITY FOR POLICY</w:t>
      </w:r>
    </w:p>
    <w:p w14:paraId="275DFF6F" w14:textId="77777777" w:rsidR="009A0C58" w:rsidRDefault="009A0C58" w:rsidP="009A0C58">
      <w:pPr>
        <w:jc w:val="both"/>
        <w:rPr>
          <w:rFonts w:asciiTheme="minorHAnsi" w:hAnsiTheme="minorHAnsi" w:cstheme="minorHAnsi"/>
        </w:rPr>
      </w:pPr>
    </w:p>
    <w:p w14:paraId="5C1CFDF8"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The Admissions Policy is approved by Senate. Review and monitoring of its implementation is undertaken by the Recruitment and Admissions Strategy Board, which is chaired by the Vice-Principal (Education) and reports to the Queen Mary Senior Executive.</w:t>
      </w:r>
    </w:p>
    <w:p w14:paraId="5F47F938" w14:textId="77777777" w:rsidR="009A0C58" w:rsidRPr="00186524" w:rsidRDefault="009A0C58" w:rsidP="009A0C58">
      <w:pPr>
        <w:jc w:val="both"/>
        <w:rPr>
          <w:rFonts w:asciiTheme="minorHAnsi" w:hAnsiTheme="minorHAnsi" w:cstheme="minorHAnsi"/>
        </w:rPr>
      </w:pPr>
    </w:p>
    <w:p w14:paraId="6730C949"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ADMISSIONS PRINCIPLES</w:t>
      </w:r>
    </w:p>
    <w:p w14:paraId="55A6DD98" w14:textId="77777777" w:rsidR="009A0C58" w:rsidRDefault="009A0C58" w:rsidP="009A0C58">
      <w:pPr>
        <w:jc w:val="both"/>
        <w:rPr>
          <w:rFonts w:asciiTheme="minorHAnsi" w:hAnsiTheme="minorHAnsi" w:cstheme="minorHAnsi"/>
        </w:rPr>
      </w:pPr>
    </w:p>
    <w:p w14:paraId="7D8FF585" w14:textId="6009EF3C" w:rsidR="009A0C58" w:rsidRDefault="009A0C58" w:rsidP="009A0C58">
      <w:pPr>
        <w:jc w:val="both"/>
        <w:rPr>
          <w:rFonts w:asciiTheme="minorHAnsi" w:hAnsiTheme="minorHAnsi" w:cstheme="minorHAnsi"/>
        </w:rPr>
      </w:pPr>
      <w:r>
        <w:rPr>
          <w:rFonts w:asciiTheme="minorHAnsi" w:hAnsiTheme="minorHAnsi" w:cstheme="minorHAnsi"/>
        </w:rPr>
        <w:t xml:space="preserve">Queen Mary University of London is a leading research-intensive University with a history that stretches back to 1785, and our founding institutions were established to provide “hope and opportunity”. True to our founder’s vision and </w:t>
      </w:r>
      <w:r w:rsidRPr="003021B8">
        <w:t>Queen Mary 2030 st</w:t>
      </w:r>
      <w:r>
        <w:rPr>
          <w:rFonts w:asciiTheme="minorHAnsi" w:hAnsiTheme="minorHAnsi" w:cstheme="minorHAnsi"/>
        </w:rPr>
        <w:t>rategy, we continue to open doors of opportunity to students with academic ability</w:t>
      </w:r>
      <w:r w:rsidR="00D56EFF">
        <w:rPr>
          <w:rFonts w:asciiTheme="minorHAnsi" w:hAnsiTheme="minorHAnsi" w:cstheme="minorHAnsi"/>
        </w:rPr>
        <w:t xml:space="preserve">, </w:t>
      </w:r>
      <w:r>
        <w:rPr>
          <w:rFonts w:asciiTheme="minorHAnsi" w:hAnsiTheme="minorHAnsi" w:cstheme="minorHAnsi"/>
        </w:rPr>
        <w:t xml:space="preserve">potential to succeed and create an inclusive environment where they can flourish. </w:t>
      </w:r>
      <w:r w:rsidRPr="00186524">
        <w:rPr>
          <w:rFonts w:asciiTheme="minorHAnsi" w:hAnsiTheme="minorHAnsi" w:cstheme="minorHAnsi"/>
        </w:rPr>
        <w:t>Queen Mary is a global university with proud East London roots</w:t>
      </w:r>
      <w:r w:rsidR="00D56EFF">
        <w:rPr>
          <w:rFonts w:asciiTheme="minorHAnsi" w:hAnsiTheme="minorHAnsi" w:cstheme="minorHAnsi"/>
        </w:rPr>
        <w:t>,</w:t>
      </w:r>
      <w:r w:rsidRPr="00186524">
        <w:rPr>
          <w:rFonts w:asciiTheme="minorHAnsi" w:hAnsiTheme="minorHAnsi" w:cstheme="minorHAnsi"/>
        </w:rPr>
        <w:t xml:space="preserve"> world-class </w:t>
      </w:r>
      <w:proofErr w:type="gramStart"/>
      <w:r w:rsidRPr="00186524">
        <w:rPr>
          <w:rFonts w:asciiTheme="minorHAnsi" w:hAnsiTheme="minorHAnsi" w:cstheme="minorHAnsi"/>
        </w:rPr>
        <w:t>education</w:t>
      </w:r>
      <w:proofErr w:type="gramEnd"/>
      <w:r w:rsidRPr="00186524">
        <w:rPr>
          <w:rFonts w:asciiTheme="minorHAnsi" w:hAnsiTheme="minorHAnsi" w:cstheme="minorHAnsi"/>
        </w:rPr>
        <w:t xml:space="preserve"> and </w:t>
      </w:r>
      <w:proofErr w:type="gramStart"/>
      <w:r w:rsidRPr="00186524">
        <w:rPr>
          <w:rFonts w:asciiTheme="minorHAnsi" w:hAnsiTheme="minorHAnsi" w:cstheme="minorHAnsi"/>
        </w:rPr>
        <w:t>an outstanding</w:t>
      </w:r>
      <w:proofErr w:type="gramEnd"/>
      <w:r w:rsidRPr="00186524">
        <w:rPr>
          <w:rFonts w:asciiTheme="minorHAnsi" w:hAnsiTheme="minorHAnsi" w:cstheme="minorHAnsi"/>
        </w:rPr>
        <w:t xml:space="preserve"> student experience, co-created with our students. Our staff and students represent over 1</w:t>
      </w:r>
      <w:r>
        <w:rPr>
          <w:rFonts w:asciiTheme="minorHAnsi" w:hAnsiTheme="minorHAnsi" w:cstheme="minorHAnsi"/>
        </w:rPr>
        <w:t>7</w:t>
      </w:r>
      <w:r w:rsidRPr="00186524">
        <w:rPr>
          <w:rFonts w:asciiTheme="minorHAnsi" w:hAnsiTheme="minorHAnsi" w:cstheme="minorHAnsi"/>
        </w:rPr>
        <w:t xml:space="preserve">0 </w:t>
      </w:r>
      <w:proofErr w:type="gramStart"/>
      <w:r w:rsidRPr="00186524">
        <w:rPr>
          <w:rFonts w:asciiTheme="minorHAnsi" w:hAnsiTheme="minorHAnsi" w:cstheme="minorHAnsi"/>
        </w:rPr>
        <w:t>nationalities</w:t>
      </w:r>
      <w:proofErr w:type="gramEnd"/>
      <w:r w:rsidRPr="00186524">
        <w:rPr>
          <w:rFonts w:asciiTheme="minorHAnsi" w:hAnsiTheme="minorHAnsi" w:cstheme="minorHAnsi"/>
        </w:rPr>
        <w:t xml:space="preserve"> and, among the Russell Group of universities, we are leading the way in inclusivity</w:t>
      </w:r>
      <w:r w:rsidRPr="00186524">
        <w:rPr>
          <w:rStyle w:val="FootnoteReference"/>
          <w:rFonts w:asciiTheme="minorHAnsi" w:hAnsiTheme="minorHAnsi" w:cstheme="minorHAnsi"/>
        </w:rPr>
        <w:footnoteReference w:id="1"/>
      </w:r>
      <w:r w:rsidRPr="00186524">
        <w:rPr>
          <w:rFonts w:asciiTheme="minorHAnsi" w:hAnsiTheme="minorHAnsi" w:cstheme="minorHAnsi"/>
        </w:rPr>
        <w:t xml:space="preserve">. </w:t>
      </w:r>
    </w:p>
    <w:p w14:paraId="782BBCB1" w14:textId="77777777" w:rsidR="00D56EFF" w:rsidRDefault="00D56EFF" w:rsidP="009A0C58">
      <w:pPr>
        <w:jc w:val="both"/>
        <w:rPr>
          <w:rFonts w:asciiTheme="minorHAnsi" w:hAnsiTheme="minorHAnsi" w:cstheme="minorHAnsi"/>
        </w:rPr>
      </w:pPr>
    </w:p>
    <w:p w14:paraId="16CADF56" w14:textId="77777777" w:rsidR="009A0C58" w:rsidRDefault="009A0C58" w:rsidP="009A0C58">
      <w:pPr>
        <w:jc w:val="both"/>
        <w:rPr>
          <w:rFonts w:asciiTheme="minorHAnsi" w:hAnsiTheme="minorHAnsi" w:cstheme="minorHAnsi"/>
        </w:rPr>
      </w:pPr>
      <w:r w:rsidRPr="00186524">
        <w:rPr>
          <w:rFonts w:asciiTheme="minorHAnsi" w:hAnsiTheme="minorHAnsi" w:cstheme="minorHAnsi"/>
        </w:rPr>
        <w:t>We are committed to provid</w:t>
      </w:r>
      <w:r>
        <w:rPr>
          <w:rFonts w:asciiTheme="minorHAnsi" w:hAnsiTheme="minorHAnsi" w:cstheme="minorHAnsi"/>
        </w:rPr>
        <w:t>e</w:t>
      </w:r>
      <w:r w:rsidRPr="00186524">
        <w:rPr>
          <w:rFonts w:asciiTheme="minorHAnsi" w:hAnsiTheme="minorHAnsi" w:cstheme="minorHAnsi"/>
        </w:rPr>
        <w:t xml:space="preserve"> a fair, efficient and professional admissions service</w:t>
      </w:r>
      <w:r>
        <w:rPr>
          <w:rFonts w:asciiTheme="minorHAnsi" w:hAnsiTheme="minorHAnsi" w:cstheme="minorHAnsi"/>
        </w:rPr>
        <w:t xml:space="preserve"> which complies with legislative and regulatory requirements, aligns with sector good practice, and we aim to demonstrate principles consistent with the </w:t>
      </w:r>
      <w:hyperlink r:id="rId16" w:history="1">
        <w:r w:rsidRPr="00B3188A">
          <w:rPr>
            <w:rStyle w:val="Hyperlink"/>
            <w:rFonts w:asciiTheme="minorHAnsi" w:hAnsiTheme="minorHAnsi" w:cstheme="minorHAnsi"/>
          </w:rPr>
          <w:t>Universities UK and Guild HE Fair admissions code of practice</w:t>
        </w:r>
      </w:hyperlink>
      <w:r>
        <w:rPr>
          <w:rFonts w:asciiTheme="minorHAnsi" w:hAnsiTheme="minorHAnsi" w:cstheme="minorHAnsi"/>
        </w:rPr>
        <w:t>.</w:t>
      </w:r>
      <w:r w:rsidRPr="00186524">
        <w:rPr>
          <w:rFonts w:asciiTheme="minorHAnsi" w:hAnsiTheme="minorHAnsi" w:cstheme="minorHAnsi"/>
        </w:rPr>
        <w:t xml:space="preserve"> </w:t>
      </w:r>
    </w:p>
    <w:p w14:paraId="7FE6AEFE" w14:textId="77777777" w:rsidR="009A0C58" w:rsidRPr="00186524" w:rsidRDefault="009A0C58" w:rsidP="009A0C58">
      <w:pPr>
        <w:jc w:val="both"/>
        <w:rPr>
          <w:rFonts w:asciiTheme="minorHAnsi" w:hAnsiTheme="minorHAnsi" w:cstheme="minorHAnsi"/>
        </w:rPr>
      </w:pPr>
    </w:p>
    <w:p w14:paraId="4FD454C9" w14:textId="77777777" w:rsidR="009A0C58" w:rsidRPr="00186524" w:rsidRDefault="009A0C58" w:rsidP="009A0C58">
      <w:pPr>
        <w:jc w:val="both"/>
        <w:rPr>
          <w:rFonts w:asciiTheme="minorHAnsi" w:hAnsiTheme="minorHAnsi" w:cstheme="minorHAnsi"/>
          <w:b/>
        </w:rPr>
      </w:pPr>
    </w:p>
    <w:p w14:paraId="1FC58F71"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INFORMATION FOR ENQUIRERS AND APPLICANTS</w:t>
      </w:r>
    </w:p>
    <w:p w14:paraId="791CB585" w14:textId="77777777" w:rsidR="009A0C58" w:rsidRDefault="009A0C58" w:rsidP="009A0C58">
      <w:pPr>
        <w:jc w:val="both"/>
        <w:rPr>
          <w:rFonts w:asciiTheme="minorHAnsi" w:hAnsiTheme="minorHAnsi" w:cstheme="minorHAnsi"/>
        </w:rPr>
      </w:pPr>
    </w:p>
    <w:p w14:paraId="5D6C967E" w14:textId="3873EE90"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Queen Mary is committed to providing comprehensive, accurate and timely information about </w:t>
      </w:r>
      <w:proofErr w:type="spellStart"/>
      <w:r w:rsidRPr="00186524">
        <w:rPr>
          <w:rFonts w:asciiTheme="minorHAnsi" w:hAnsiTheme="minorHAnsi" w:cstheme="minorHAnsi"/>
        </w:rPr>
        <w:t>programmes</w:t>
      </w:r>
      <w:proofErr w:type="spellEnd"/>
      <w:r w:rsidRPr="00186524">
        <w:rPr>
          <w:rFonts w:asciiTheme="minorHAnsi" w:hAnsiTheme="minorHAnsi" w:cstheme="minorHAnsi"/>
        </w:rPr>
        <w:t xml:space="preserve"> and entry requirements i</w:t>
      </w:r>
      <w:r w:rsidR="00D56EFF">
        <w:rPr>
          <w:rFonts w:asciiTheme="minorHAnsi" w:hAnsiTheme="minorHAnsi" w:cstheme="minorHAnsi"/>
        </w:rPr>
        <w:t>s</w:t>
      </w:r>
      <w:r w:rsidRPr="00186524">
        <w:rPr>
          <w:rFonts w:asciiTheme="minorHAnsi" w:hAnsiTheme="minorHAnsi" w:cstheme="minorHAnsi"/>
        </w:rPr>
        <w:t xml:space="preserve"> printed </w:t>
      </w:r>
      <w:r w:rsidR="00D56EFF">
        <w:rPr>
          <w:rFonts w:asciiTheme="minorHAnsi" w:hAnsiTheme="minorHAnsi" w:cstheme="minorHAnsi"/>
        </w:rPr>
        <w:t xml:space="preserve">in </w:t>
      </w:r>
      <w:r w:rsidRPr="00186524">
        <w:rPr>
          <w:rFonts w:asciiTheme="minorHAnsi" w:hAnsiTheme="minorHAnsi" w:cstheme="minorHAnsi"/>
        </w:rPr>
        <w:t xml:space="preserve">prospectuses and our online course finder: </w:t>
      </w:r>
    </w:p>
    <w:p w14:paraId="29D63E42" w14:textId="77777777" w:rsidR="009A0C58" w:rsidRPr="00186524" w:rsidRDefault="000C73E5" w:rsidP="009A0C58">
      <w:pPr>
        <w:spacing w:before="100" w:beforeAutospacing="1" w:after="100" w:afterAutospacing="1" w:line="240" w:lineRule="auto"/>
        <w:jc w:val="both"/>
        <w:rPr>
          <w:rFonts w:asciiTheme="minorHAnsi" w:eastAsia="Times New Roman" w:hAnsiTheme="minorHAnsi" w:cstheme="minorHAnsi"/>
          <w:color w:val="0D2460" w:themeColor="accent1" w:themeShade="BF"/>
          <w:lang w:eastAsia="en-GB"/>
        </w:rPr>
      </w:pPr>
      <w:hyperlink r:id="rId17" w:history="1">
        <w:r w:rsidR="009A0C58" w:rsidRPr="00186524">
          <w:rPr>
            <w:rStyle w:val="Hyperlink"/>
            <w:rFonts w:asciiTheme="minorHAnsi" w:eastAsia="Times New Roman" w:hAnsiTheme="minorHAnsi" w:cstheme="minorHAnsi"/>
            <w:color w:val="0D2460" w:themeColor="accent1" w:themeShade="BF"/>
            <w:lang w:eastAsia="en-GB"/>
          </w:rPr>
          <w:t>Undergraduate</w:t>
        </w:r>
      </w:hyperlink>
    </w:p>
    <w:p w14:paraId="1B1F45B1" w14:textId="77777777" w:rsidR="009A0C58" w:rsidRPr="00186524" w:rsidRDefault="000C73E5" w:rsidP="009A0C58">
      <w:pPr>
        <w:spacing w:before="100" w:beforeAutospacing="1" w:after="100" w:afterAutospacing="1" w:line="240" w:lineRule="auto"/>
        <w:jc w:val="both"/>
        <w:rPr>
          <w:rFonts w:asciiTheme="minorHAnsi" w:eastAsia="Times New Roman" w:hAnsiTheme="minorHAnsi" w:cstheme="minorHAnsi"/>
          <w:color w:val="0D2460" w:themeColor="accent1" w:themeShade="BF"/>
          <w:lang w:eastAsia="en-GB"/>
        </w:rPr>
      </w:pPr>
      <w:hyperlink r:id="rId18" w:history="1">
        <w:r w:rsidR="009A0C58" w:rsidRPr="00186524">
          <w:rPr>
            <w:rStyle w:val="Hyperlink"/>
            <w:rFonts w:asciiTheme="minorHAnsi" w:eastAsia="Times New Roman" w:hAnsiTheme="minorHAnsi" w:cstheme="minorHAnsi"/>
            <w:color w:val="0D2460" w:themeColor="accent1" w:themeShade="BF"/>
            <w:lang w:eastAsia="en-GB"/>
          </w:rPr>
          <w:t>Taught Postgraduate</w:t>
        </w:r>
      </w:hyperlink>
    </w:p>
    <w:p w14:paraId="19C1575E" w14:textId="77777777" w:rsidR="009A0C58" w:rsidRPr="00186524" w:rsidRDefault="000C73E5" w:rsidP="009A0C58">
      <w:pPr>
        <w:jc w:val="both"/>
        <w:rPr>
          <w:rStyle w:val="Hyperlink"/>
          <w:rFonts w:asciiTheme="minorHAnsi" w:eastAsia="Times New Roman" w:hAnsiTheme="minorHAnsi" w:cstheme="minorHAnsi"/>
          <w:color w:val="0D2460" w:themeColor="accent1" w:themeShade="BF"/>
          <w:lang w:eastAsia="en-GB"/>
        </w:rPr>
      </w:pPr>
      <w:hyperlink r:id="rId19" w:history="1">
        <w:r w:rsidR="009A0C58" w:rsidRPr="00186524">
          <w:rPr>
            <w:rStyle w:val="Hyperlink"/>
            <w:rFonts w:asciiTheme="minorHAnsi" w:eastAsia="Times New Roman" w:hAnsiTheme="minorHAnsi" w:cstheme="minorHAnsi"/>
            <w:color w:val="0D2460" w:themeColor="accent1" w:themeShade="BF"/>
            <w:lang w:eastAsia="en-GB"/>
          </w:rPr>
          <w:t>Research Postgraduate</w:t>
        </w:r>
      </w:hyperlink>
    </w:p>
    <w:p w14:paraId="0DD58728" w14:textId="77777777" w:rsidR="00D56EFF" w:rsidRDefault="00D56EFF" w:rsidP="009A0C58">
      <w:pPr>
        <w:jc w:val="both"/>
        <w:rPr>
          <w:rFonts w:asciiTheme="minorHAnsi" w:hAnsiTheme="minorHAnsi" w:cstheme="minorHAnsi"/>
        </w:rPr>
      </w:pPr>
    </w:p>
    <w:p w14:paraId="2941703D" w14:textId="5293DEC2"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We aim to provide up-to-date information in all our publications, but as printed prospectuses are published long in advance of the start of </w:t>
      </w:r>
      <w:proofErr w:type="spellStart"/>
      <w:r w:rsidRPr="00186524">
        <w:rPr>
          <w:rFonts w:asciiTheme="minorHAnsi" w:hAnsiTheme="minorHAnsi" w:cstheme="minorHAnsi"/>
        </w:rPr>
        <w:t>programmes</w:t>
      </w:r>
      <w:proofErr w:type="spellEnd"/>
      <w:r w:rsidRPr="00186524">
        <w:rPr>
          <w:rFonts w:asciiTheme="minorHAnsi" w:hAnsiTheme="minorHAnsi" w:cstheme="minorHAnsi"/>
        </w:rPr>
        <w:t xml:space="preserve">, we recommend that applicants check details of entry requirements on our website before </w:t>
      </w:r>
      <w:proofErr w:type="gramStart"/>
      <w:r w:rsidRPr="00186524">
        <w:rPr>
          <w:rFonts w:asciiTheme="minorHAnsi" w:hAnsiTheme="minorHAnsi" w:cstheme="minorHAnsi"/>
        </w:rPr>
        <w:t>submitting an application</w:t>
      </w:r>
      <w:proofErr w:type="gramEnd"/>
      <w:r w:rsidRPr="00186524">
        <w:rPr>
          <w:rFonts w:asciiTheme="minorHAnsi" w:hAnsiTheme="minorHAnsi" w:cstheme="minorHAnsi"/>
        </w:rPr>
        <w:t>.</w:t>
      </w:r>
    </w:p>
    <w:p w14:paraId="4E7BABC0" w14:textId="77777777" w:rsidR="009A0C58" w:rsidRPr="00186524" w:rsidRDefault="009A0C58" w:rsidP="009A0C58">
      <w:pPr>
        <w:jc w:val="both"/>
        <w:rPr>
          <w:rFonts w:asciiTheme="minorHAnsi" w:hAnsiTheme="minorHAnsi" w:cstheme="minorHAnsi"/>
          <w:b/>
        </w:rPr>
      </w:pPr>
    </w:p>
    <w:p w14:paraId="7978CB8C" w14:textId="384816B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lastRenderedPageBreak/>
        <w:t>ENTRY REQUIREMENT</w:t>
      </w:r>
      <w:r w:rsidR="000C73E5">
        <w:rPr>
          <w:rFonts w:asciiTheme="minorHAnsi" w:hAnsiTheme="minorHAnsi" w:cstheme="minorHAnsi"/>
          <w:b/>
        </w:rPr>
        <w:t>S</w:t>
      </w:r>
    </w:p>
    <w:p w14:paraId="2A25C228" w14:textId="77777777" w:rsidR="009A0C58" w:rsidRDefault="009A0C58" w:rsidP="009A0C58">
      <w:pPr>
        <w:jc w:val="both"/>
        <w:rPr>
          <w:rFonts w:asciiTheme="minorHAnsi" w:hAnsiTheme="minorHAnsi" w:cstheme="minorHAnsi"/>
        </w:rPr>
      </w:pPr>
    </w:p>
    <w:p w14:paraId="05963B99" w14:textId="7279498C" w:rsidR="009A0C58" w:rsidRPr="00186524" w:rsidRDefault="009A0C58" w:rsidP="009A0C58">
      <w:pPr>
        <w:jc w:val="both"/>
        <w:rPr>
          <w:rFonts w:asciiTheme="minorHAnsi" w:hAnsiTheme="minorHAnsi" w:cstheme="minorHAnsi"/>
        </w:rPr>
      </w:pPr>
      <w:r>
        <w:rPr>
          <w:rFonts w:asciiTheme="minorHAnsi" w:hAnsiTheme="minorHAnsi" w:cstheme="minorHAnsi"/>
        </w:rPr>
        <w:t xml:space="preserve">Queen Mary welcomes applications from students with the academic ability and potential to succeed and all </w:t>
      </w:r>
      <w:r w:rsidRPr="00186524">
        <w:rPr>
          <w:rFonts w:asciiTheme="minorHAnsi" w:hAnsiTheme="minorHAnsi" w:cstheme="minorHAnsi"/>
        </w:rPr>
        <w:t xml:space="preserve">applicants must meet academic and English language entry requirements </w:t>
      </w:r>
      <w:proofErr w:type="gramStart"/>
      <w:r w:rsidRPr="00186524">
        <w:rPr>
          <w:rFonts w:asciiTheme="minorHAnsi" w:hAnsiTheme="minorHAnsi" w:cstheme="minorHAnsi"/>
        </w:rPr>
        <w:t>in order to</w:t>
      </w:r>
      <w:proofErr w:type="gramEnd"/>
      <w:r w:rsidRPr="00186524">
        <w:rPr>
          <w:rFonts w:asciiTheme="minorHAnsi" w:hAnsiTheme="minorHAnsi" w:cstheme="minorHAnsi"/>
        </w:rPr>
        <w:t xml:space="preserve"> be admitted to the university. Some </w:t>
      </w:r>
      <w:proofErr w:type="spellStart"/>
      <w:r w:rsidRPr="00186524">
        <w:rPr>
          <w:rFonts w:asciiTheme="minorHAnsi" w:hAnsiTheme="minorHAnsi" w:cstheme="minorHAnsi"/>
        </w:rPr>
        <w:t>programmes</w:t>
      </w:r>
      <w:proofErr w:type="spellEnd"/>
      <w:r w:rsidRPr="00186524">
        <w:rPr>
          <w:rFonts w:asciiTheme="minorHAnsi" w:hAnsiTheme="minorHAnsi" w:cstheme="minorHAnsi"/>
        </w:rPr>
        <w:t xml:space="preserve"> have specific non-academic entry requirements</w:t>
      </w:r>
      <w:r>
        <w:rPr>
          <w:rFonts w:asciiTheme="minorHAnsi" w:hAnsiTheme="minorHAnsi" w:cstheme="minorHAnsi"/>
        </w:rPr>
        <w:t xml:space="preserve"> and the Universities general entry requirements are published in the </w:t>
      </w:r>
      <w:hyperlink r:id="rId20" w:history="1">
        <w:r w:rsidRPr="00083454">
          <w:rPr>
            <w:rStyle w:val="Hyperlink"/>
            <w:rFonts w:asciiTheme="minorHAnsi" w:hAnsiTheme="minorHAnsi" w:cstheme="minorHAnsi"/>
          </w:rPr>
          <w:t>undergraduate</w:t>
        </w:r>
      </w:hyperlink>
      <w:r>
        <w:rPr>
          <w:rFonts w:asciiTheme="minorHAnsi" w:hAnsiTheme="minorHAnsi" w:cstheme="minorHAnsi"/>
        </w:rPr>
        <w:t xml:space="preserve"> and </w:t>
      </w:r>
      <w:hyperlink r:id="rId21" w:history="1">
        <w:r w:rsidRPr="00010924">
          <w:rPr>
            <w:rStyle w:val="Hyperlink"/>
            <w:rFonts w:asciiTheme="minorHAnsi" w:hAnsiTheme="minorHAnsi" w:cstheme="minorHAnsi"/>
          </w:rPr>
          <w:t>postgraduate</w:t>
        </w:r>
      </w:hyperlink>
      <w:r>
        <w:rPr>
          <w:rFonts w:asciiTheme="minorHAnsi" w:hAnsiTheme="minorHAnsi" w:cstheme="minorHAnsi"/>
        </w:rPr>
        <w:t xml:space="preserve"> prospectuses and via our course finder pages</w:t>
      </w:r>
      <w:r w:rsidR="00D56EFF">
        <w:rPr>
          <w:rFonts w:asciiTheme="minorHAnsi" w:hAnsiTheme="minorHAnsi" w:cstheme="minorHAnsi"/>
        </w:rPr>
        <w:t>.</w:t>
      </w:r>
    </w:p>
    <w:p w14:paraId="6F78FF7F" w14:textId="77777777" w:rsidR="009A0C58" w:rsidRDefault="009A0C58" w:rsidP="009A0C58">
      <w:pPr>
        <w:jc w:val="both"/>
        <w:rPr>
          <w:rFonts w:asciiTheme="minorHAnsi" w:hAnsiTheme="minorHAnsi" w:cstheme="minorHAnsi"/>
          <w:b/>
        </w:rPr>
      </w:pPr>
    </w:p>
    <w:p w14:paraId="0FEE9DB5" w14:textId="77777777" w:rsidR="009A0C58" w:rsidRPr="003021B8" w:rsidRDefault="009A0C58" w:rsidP="009A0C58">
      <w:pPr>
        <w:jc w:val="both"/>
        <w:rPr>
          <w:rFonts w:asciiTheme="minorHAnsi" w:hAnsiTheme="minorHAnsi" w:cstheme="minorHAnsi"/>
          <w:bCs/>
        </w:rPr>
      </w:pPr>
      <w:r w:rsidRPr="003021B8">
        <w:rPr>
          <w:rFonts w:asciiTheme="minorHAnsi" w:hAnsiTheme="minorHAnsi" w:cstheme="minorHAnsi"/>
          <w:bCs/>
        </w:rPr>
        <w:t xml:space="preserve">All applications are considered in a robust and holistic manner and satisfying the typical general entry requirement does not </w:t>
      </w:r>
      <w:r>
        <w:rPr>
          <w:rFonts w:asciiTheme="minorHAnsi" w:hAnsiTheme="minorHAnsi" w:cstheme="minorHAnsi"/>
          <w:bCs/>
        </w:rPr>
        <w:t xml:space="preserve">automatically </w:t>
      </w:r>
      <w:r w:rsidRPr="003021B8">
        <w:rPr>
          <w:rFonts w:asciiTheme="minorHAnsi" w:hAnsiTheme="minorHAnsi" w:cstheme="minorHAnsi"/>
          <w:bCs/>
        </w:rPr>
        <w:t>guarantee an offer of admission</w:t>
      </w:r>
      <w:r>
        <w:rPr>
          <w:rFonts w:asciiTheme="minorHAnsi" w:hAnsiTheme="minorHAnsi" w:cstheme="minorHAnsi"/>
          <w:bCs/>
        </w:rPr>
        <w:t xml:space="preserve"> especially on oversubscribed or competitive </w:t>
      </w:r>
      <w:proofErr w:type="spellStart"/>
      <w:r>
        <w:rPr>
          <w:rFonts w:asciiTheme="minorHAnsi" w:hAnsiTheme="minorHAnsi" w:cstheme="minorHAnsi"/>
          <w:bCs/>
        </w:rPr>
        <w:t>programmes</w:t>
      </w:r>
      <w:proofErr w:type="spellEnd"/>
    </w:p>
    <w:p w14:paraId="5024D1E4" w14:textId="77777777" w:rsidR="009A0C58" w:rsidRDefault="009A0C58" w:rsidP="009A0C58">
      <w:pPr>
        <w:jc w:val="both"/>
        <w:rPr>
          <w:rFonts w:asciiTheme="minorHAnsi" w:hAnsiTheme="minorHAnsi" w:cstheme="minorHAnsi"/>
          <w:u w:val="single"/>
        </w:rPr>
      </w:pPr>
    </w:p>
    <w:p w14:paraId="4536DA47" w14:textId="77777777" w:rsidR="009A0C58" w:rsidRPr="00186524" w:rsidRDefault="009A0C58" w:rsidP="009A0C58">
      <w:pPr>
        <w:jc w:val="both"/>
        <w:rPr>
          <w:rFonts w:asciiTheme="minorHAnsi" w:hAnsiTheme="minorHAnsi" w:cstheme="minorHAnsi"/>
          <w:b/>
        </w:rPr>
      </w:pPr>
      <w:proofErr w:type="spellStart"/>
      <w:r w:rsidRPr="00186524">
        <w:rPr>
          <w:rFonts w:asciiTheme="minorHAnsi" w:hAnsiTheme="minorHAnsi" w:cstheme="minorHAnsi"/>
          <w:b/>
        </w:rPr>
        <w:t>Programme</w:t>
      </w:r>
      <w:proofErr w:type="spellEnd"/>
      <w:r w:rsidRPr="00186524">
        <w:rPr>
          <w:rFonts w:asciiTheme="minorHAnsi" w:hAnsiTheme="minorHAnsi" w:cstheme="minorHAnsi"/>
          <w:b/>
        </w:rPr>
        <w:t xml:space="preserve"> level entry requirements</w:t>
      </w:r>
    </w:p>
    <w:p w14:paraId="6460B89F" w14:textId="491D2DB2" w:rsidR="009A0C58" w:rsidRPr="00186524" w:rsidRDefault="009A0C58" w:rsidP="009A0C58">
      <w:pPr>
        <w:jc w:val="both"/>
        <w:rPr>
          <w:rFonts w:asciiTheme="minorHAnsi" w:hAnsiTheme="minorHAnsi" w:cstheme="minorHAnsi"/>
        </w:rPr>
      </w:pPr>
      <w:proofErr w:type="spellStart"/>
      <w:r w:rsidRPr="00186524">
        <w:rPr>
          <w:rFonts w:asciiTheme="minorHAnsi" w:hAnsiTheme="minorHAnsi" w:cstheme="minorHAnsi"/>
        </w:rPr>
        <w:t>Programme</w:t>
      </w:r>
      <w:proofErr w:type="spellEnd"/>
      <w:r w:rsidRPr="00186524">
        <w:rPr>
          <w:rFonts w:asciiTheme="minorHAnsi" w:hAnsiTheme="minorHAnsi" w:cstheme="minorHAnsi"/>
        </w:rPr>
        <w:t xml:space="preserve"> level entry requirements are initially approved by the relevant board of the Senate</w:t>
      </w:r>
      <w:r w:rsidR="0014334C">
        <w:rPr>
          <w:rFonts w:asciiTheme="minorHAnsi" w:hAnsiTheme="minorHAnsi" w:cstheme="minorHAnsi"/>
        </w:rPr>
        <w:t xml:space="preserve"> and</w:t>
      </w:r>
      <w:r w:rsidRPr="00186524">
        <w:rPr>
          <w:rFonts w:asciiTheme="minorHAnsi" w:hAnsiTheme="minorHAnsi" w:cstheme="minorHAnsi"/>
        </w:rPr>
        <w:t xml:space="preserve"> may be amended annually under the oversight of the Recruitment and Admissions Strategy Board. They are published annually on the Queen Mary course finder by the start of the relevant admissions cycle. Specific subjects, qualifications and minimum grades may be specified for individual </w:t>
      </w:r>
      <w:proofErr w:type="spellStart"/>
      <w:r w:rsidRPr="00186524">
        <w:rPr>
          <w:rFonts w:asciiTheme="minorHAnsi" w:hAnsiTheme="minorHAnsi" w:cstheme="minorHAnsi"/>
        </w:rPr>
        <w:t>programmes</w:t>
      </w:r>
      <w:proofErr w:type="spellEnd"/>
      <w:r w:rsidRPr="00186524">
        <w:rPr>
          <w:rFonts w:asciiTheme="minorHAnsi" w:hAnsiTheme="minorHAnsi" w:cstheme="minorHAnsi"/>
        </w:rPr>
        <w:t>.</w:t>
      </w:r>
      <w:r w:rsidR="00B47504" w:rsidRPr="00B47504">
        <w:t xml:space="preserve"> </w:t>
      </w:r>
    </w:p>
    <w:p w14:paraId="6D979C00" w14:textId="77777777" w:rsidR="009A0C58" w:rsidRDefault="009A0C58" w:rsidP="009A0C58">
      <w:pPr>
        <w:jc w:val="both"/>
        <w:rPr>
          <w:rFonts w:asciiTheme="minorHAnsi" w:hAnsiTheme="minorHAnsi" w:cstheme="minorHAnsi"/>
          <w:b/>
        </w:rPr>
      </w:pPr>
    </w:p>
    <w:p w14:paraId="6C48AFF2"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Exceptions</w:t>
      </w:r>
    </w:p>
    <w:p w14:paraId="3B92D22C" w14:textId="77777777" w:rsidR="009A0C58" w:rsidRDefault="009A0C58" w:rsidP="009A0C58">
      <w:pPr>
        <w:jc w:val="both"/>
        <w:rPr>
          <w:rFonts w:asciiTheme="minorHAnsi" w:hAnsiTheme="minorHAnsi" w:cstheme="minorHAnsi"/>
        </w:rPr>
      </w:pPr>
      <w:r>
        <w:rPr>
          <w:rFonts w:asciiTheme="minorHAnsi" w:hAnsiTheme="minorHAnsi" w:cstheme="minorHAnsi"/>
        </w:rPr>
        <w:t xml:space="preserve">Queen Mary operates a </w:t>
      </w:r>
      <w:proofErr w:type="spellStart"/>
      <w:r>
        <w:rPr>
          <w:rFonts w:asciiTheme="minorHAnsi" w:hAnsiTheme="minorHAnsi" w:cstheme="minorHAnsi"/>
        </w:rPr>
        <w:t>centralised</w:t>
      </w:r>
      <w:proofErr w:type="spellEnd"/>
      <w:r>
        <w:rPr>
          <w:rFonts w:asciiTheme="minorHAnsi" w:hAnsiTheme="minorHAnsi" w:cstheme="minorHAnsi"/>
        </w:rPr>
        <w:t xml:space="preserve"> admissions process for majority of its </w:t>
      </w:r>
      <w:proofErr w:type="spellStart"/>
      <w:r>
        <w:rPr>
          <w:rFonts w:asciiTheme="minorHAnsi" w:hAnsiTheme="minorHAnsi" w:cstheme="minorHAnsi"/>
        </w:rPr>
        <w:t>programmes</w:t>
      </w:r>
      <w:proofErr w:type="spellEnd"/>
      <w:r>
        <w:rPr>
          <w:rFonts w:asciiTheme="minorHAnsi" w:hAnsiTheme="minorHAnsi" w:cstheme="minorHAnsi"/>
        </w:rPr>
        <w:t xml:space="preserve"> and admissions staff are responsible for processing decisions in line with agreed criteria confirmed with the academic schools. For some </w:t>
      </w:r>
      <w:proofErr w:type="spellStart"/>
      <w:r>
        <w:rPr>
          <w:rFonts w:asciiTheme="minorHAnsi" w:hAnsiTheme="minorHAnsi" w:cstheme="minorHAnsi"/>
        </w:rPr>
        <w:t>programmes</w:t>
      </w:r>
      <w:proofErr w:type="spellEnd"/>
      <w:r>
        <w:rPr>
          <w:rFonts w:asciiTheme="minorHAnsi" w:hAnsiTheme="minorHAnsi" w:cstheme="minorHAnsi"/>
        </w:rPr>
        <w:t>, admissions staff conduct an initial assessment and refer recommendations to the academic school for a final decision.</w:t>
      </w:r>
    </w:p>
    <w:p w14:paraId="0A95B42F" w14:textId="77777777" w:rsidR="009A0C58" w:rsidRDefault="009A0C58" w:rsidP="009A0C58">
      <w:pPr>
        <w:jc w:val="both"/>
        <w:rPr>
          <w:rFonts w:asciiTheme="minorHAnsi" w:hAnsiTheme="minorHAnsi" w:cstheme="minorHAnsi"/>
          <w:b/>
        </w:rPr>
      </w:pPr>
      <w:r w:rsidRPr="00186524">
        <w:rPr>
          <w:rFonts w:asciiTheme="minorHAnsi" w:hAnsiTheme="minorHAnsi" w:cstheme="minorHAnsi"/>
        </w:rPr>
        <w:t>In exceptional cases</w:t>
      </w:r>
      <w:r>
        <w:rPr>
          <w:rFonts w:asciiTheme="minorHAnsi" w:hAnsiTheme="minorHAnsi" w:cstheme="minorHAnsi"/>
        </w:rPr>
        <w:t>, the Director of Admissions or</w:t>
      </w:r>
      <w:r w:rsidRPr="00186524">
        <w:rPr>
          <w:rFonts w:asciiTheme="minorHAnsi" w:hAnsiTheme="minorHAnsi" w:cstheme="minorHAnsi"/>
        </w:rPr>
        <w:t xml:space="preserve">, the Dean for Education for the relevant Faculty may approve the admission of an undergraduate or taught postgraduate applicant who has not met the general and/or </w:t>
      </w:r>
      <w:proofErr w:type="spellStart"/>
      <w:r w:rsidRPr="00186524">
        <w:rPr>
          <w:rFonts w:asciiTheme="minorHAnsi" w:hAnsiTheme="minorHAnsi" w:cstheme="minorHAnsi"/>
        </w:rPr>
        <w:t>programme</w:t>
      </w:r>
      <w:proofErr w:type="spellEnd"/>
      <w:r w:rsidRPr="00186524">
        <w:rPr>
          <w:rFonts w:asciiTheme="minorHAnsi" w:hAnsiTheme="minorHAnsi" w:cstheme="minorHAnsi"/>
        </w:rPr>
        <w:t xml:space="preserve"> level entry requirements. In the case of applications for postgraduate research </w:t>
      </w:r>
      <w:proofErr w:type="spellStart"/>
      <w:r w:rsidRPr="00186524">
        <w:rPr>
          <w:rFonts w:asciiTheme="minorHAnsi" w:hAnsiTheme="minorHAnsi" w:cstheme="minorHAnsi"/>
        </w:rPr>
        <w:t>programmes</w:t>
      </w:r>
      <w:proofErr w:type="spellEnd"/>
      <w:r w:rsidRPr="00186524">
        <w:rPr>
          <w:rFonts w:asciiTheme="minorHAnsi" w:hAnsiTheme="minorHAnsi" w:cstheme="minorHAnsi"/>
        </w:rPr>
        <w:t xml:space="preserve">, approval of such exceptions is the responsibility of the </w:t>
      </w:r>
      <w:r w:rsidRPr="003021B8">
        <w:rPr>
          <w:rFonts w:asciiTheme="minorHAnsi" w:hAnsiTheme="minorHAnsi" w:cstheme="minorHAnsi"/>
          <w:color w:val="242424"/>
          <w:shd w:val="clear" w:color="auto" w:fill="FFFFFF"/>
        </w:rPr>
        <w:t>Faculty Deputy Dean for Postgraduate Research on the recommendation of the Director of Graduate Studies.</w:t>
      </w:r>
      <w:r>
        <w:rPr>
          <w:rFonts w:ascii="Segoe UI" w:hAnsi="Segoe UI" w:cs="Segoe UI"/>
          <w:color w:val="242424"/>
          <w:sz w:val="21"/>
          <w:szCs w:val="21"/>
          <w:shd w:val="clear" w:color="auto" w:fill="FFFFFF"/>
        </w:rPr>
        <w:t xml:space="preserve"> </w:t>
      </w:r>
    </w:p>
    <w:p w14:paraId="5BB93987" w14:textId="77777777" w:rsidR="00044AA5" w:rsidRDefault="00044AA5" w:rsidP="009A0C58">
      <w:pPr>
        <w:jc w:val="both"/>
        <w:rPr>
          <w:rFonts w:asciiTheme="minorHAnsi" w:hAnsiTheme="minorHAnsi" w:cstheme="minorHAnsi"/>
          <w:b/>
        </w:rPr>
      </w:pPr>
    </w:p>
    <w:p w14:paraId="2C2E2C84" w14:textId="6BE0DBA3"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English language requirements</w:t>
      </w:r>
    </w:p>
    <w:p w14:paraId="026E9BB3" w14:textId="1F2CF17C" w:rsidR="009A0C58" w:rsidRDefault="009A0C58" w:rsidP="009A0C58">
      <w:pPr>
        <w:jc w:val="both"/>
        <w:rPr>
          <w:rFonts w:asciiTheme="minorHAnsi" w:hAnsiTheme="minorHAnsi" w:cstheme="minorHAnsi"/>
        </w:rPr>
      </w:pPr>
      <w:r w:rsidRPr="00186524">
        <w:rPr>
          <w:rFonts w:asciiTheme="minorHAnsi" w:hAnsiTheme="minorHAnsi" w:cstheme="minorHAnsi"/>
        </w:rPr>
        <w:t xml:space="preserve">In accordance with Queen Mary’s </w:t>
      </w:r>
      <w:r w:rsidRPr="00186524">
        <w:rPr>
          <w:rFonts w:asciiTheme="minorHAnsi" w:hAnsiTheme="minorHAnsi" w:cstheme="minorHAnsi"/>
          <w:i/>
        </w:rPr>
        <w:t>English language polic</w:t>
      </w:r>
      <w:r>
        <w:rPr>
          <w:rFonts w:asciiTheme="minorHAnsi" w:hAnsiTheme="minorHAnsi" w:cstheme="minorHAnsi"/>
          <w:i/>
        </w:rPr>
        <w:t>ies</w:t>
      </w:r>
      <w:r w:rsidRPr="00186524">
        <w:rPr>
          <w:rStyle w:val="FootnoteReference"/>
          <w:rFonts w:asciiTheme="minorHAnsi" w:hAnsiTheme="minorHAnsi" w:cstheme="minorHAnsi"/>
          <w:i/>
        </w:rPr>
        <w:footnoteReference w:id="2"/>
      </w:r>
      <w:r w:rsidRPr="00186524">
        <w:rPr>
          <w:rFonts w:asciiTheme="minorHAnsi" w:hAnsiTheme="minorHAnsi" w:cstheme="minorHAnsi"/>
        </w:rPr>
        <w:t xml:space="preserve">, applicants whose first language is not English will be required to provide evidence that their English language ability is of a sufficiently high standard to cope with the academic demands of the </w:t>
      </w:r>
      <w:proofErr w:type="spellStart"/>
      <w:r w:rsidRPr="00186524">
        <w:rPr>
          <w:rFonts w:asciiTheme="minorHAnsi" w:hAnsiTheme="minorHAnsi" w:cstheme="minorHAnsi"/>
        </w:rPr>
        <w:t>programme</w:t>
      </w:r>
      <w:proofErr w:type="spellEnd"/>
      <w:r w:rsidRPr="00186524">
        <w:rPr>
          <w:rFonts w:asciiTheme="minorHAnsi" w:hAnsiTheme="minorHAnsi" w:cstheme="minorHAnsi"/>
        </w:rPr>
        <w:t xml:space="preserve"> for which they have applied.  </w:t>
      </w:r>
    </w:p>
    <w:p w14:paraId="1A38DCF1" w14:textId="77777777" w:rsidR="00044AA5" w:rsidRPr="00186524" w:rsidRDefault="00044AA5" w:rsidP="009A0C58">
      <w:pPr>
        <w:jc w:val="both"/>
        <w:rPr>
          <w:rFonts w:asciiTheme="minorHAnsi" w:hAnsiTheme="minorHAnsi" w:cstheme="minorHAnsi"/>
        </w:rPr>
      </w:pPr>
    </w:p>
    <w:p w14:paraId="6857CA09" w14:textId="77777777" w:rsidR="009A0C58" w:rsidRPr="00186524" w:rsidRDefault="009A0C58" w:rsidP="009A0C58">
      <w:pPr>
        <w:jc w:val="both"/>
        <w:rPr>
          <w:rFonts w:asciiTheme="minorHAnsi" w:hAnsiTheme="minorHAnsi" w:cstheme="minorHAnsi"/>
        </w:rPr>
      </w:pPr>
      <w:proofErr w:type="spellStart"/>
      <w:r w:rsidRPr="00186524">
        <w:rPr>
          <w:rFonts w:asciiTheme="minorHAnsi" w:hAnsiTheme="minorHAnsi" w:cstheme="minorHAnsi"/>
        </w:rPr>
        <w:t>Programme</w:t>
      </w:r>
      <w:proofErr w:type="spellEnd"/>
      <w:r w:rsidRPr="00186524">
        <w:rPr>
          <w:rFonts w:asciiTheme="minorHAnsi" w:hAnsiTheme="minorHAnsi" w:cstheme="minorHAnsi"/>
        </w:rPr>
        <w:t>-specific English language requirements are published on the Queen Mary website</w:t>
      </w:r>
      <w:r w:rsidRPr="00186524">
        <w:rPr>
          <w:rStyle w:val="FootnoteReference"/>
          <w:rFonts w:asciiTheme="minorHAnsi" w:hAnsiTheme="minorHAnsi" w:cstheme="minorHAnsi"/>
        </w:rPr>
        <w:footnoteReference w:id="3"/>
      </w:r>
      <w:r w:rsidRPr="00186524">
        <w:rPr>
          <w:rFonts w:asciiTheme="minorHAnsi" w:hAnsiTheme="minorHAnsi" w:cstheme="minorHAnsi"/>
        </w:rPr>
        <w:t xml:space="preserve">. Applicants who fall marginally short of </w:t>
      </w:r>
      <w:proofErr w:type="spellStart"/>
      <w:r w:rsidRPr="00186524">
        <w:rPr>
          <w:rFonts w:asciiTheme="minorHAnsi" w:hAnsiTheme="minorHAnsi" w:cstheme="minorHAnsi"/>
        </w:rPr>
        <w:t>programme</w:t>
      </w:r>
      <w:proofErr w:type="spellEnd"/>
      <w:r w:rsidRPr="00186524">
        <w:rPr>
          <w:rFonts w:asciiTheme="minorHAnsi" w:hAnsiTheme="minorHAnsi" w:cstheme="minorHAnsi"/>
        </w:rPr>
        <w:t xml:space="preserve"> English language requirements will normally be permitted to undertake a Queen Mary pre-sessional English </w:t>
      </w:r>
      <w:proofErr w:type="spellStart"/>
      <w:r w:rsidRPr="00186524">
        <w:rPr>
          <w:rFonts w:asciiTheme="minorHAnsi" w:hAnsiTheme="minorHAnsi" w:cstheme="minorHAnsi"/>
        </w:rPr>
        <w:t>programme</w:t>
      </w:r>
      <w:proofErr w:type="spellEnd"/>
      <w:r w:rsidRPr="00186524">
        <w:rPr>
          <w:rFonts w:asciiTheme="minorHAnsi" w:hAnsiTheme="minorHAnsi" w:cstheme="minorHAnsi"/>
        </w:rPr>
        <w:t xml:space="preserve"> </w:t>
      </w:r>
      <w:proofErr w:type="gramStart"/>
      <w:r w:rsidRPr="00186524">
        <w:rPr>
          <w:rFonts w:asciiTheme="minorHAnsi" w:hAnsiTheme="minorHAnsi" w:cstheme="minorHAnsi"/>
        </w:rPr>
        <w:t>in order to</w:t>
      </w:r>
      <w:proofErr w:type="gramEnd"/>
      <w:r w:rsidRPr="00186524">
        <w:rPr>
          <w:rFonts w:asciiTheme="minorHAnsi" w:hAnsiTheme="minorHAnsi" w:cstheme="minorHAnsi"/>
        </w:rPr>
        <w:t xml:space="preserve"> meet the required English language level. </w:t>
      </w:r>
    </w:p>
    <w:p w14:paraId="0AEEBB54" w14:textId="77777777" w:rsidR="009A0C58" w:rsidRDefault="009A0C58" w:rsidP="009A0C58">
      <w:pPr>
        <w:jc w:val="both"/>
        <w:rPr>
          <w:rFonts w:asciiTheme="minorHAnsi" w:hAnsiTheme="minorHAnsi" w:cstheme="minorHAnsi"/>
          <w:b/>
        </w:rPr>
      </w:pPr>
    </w:p>
    <w:p w14:paraId="039539E5"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Acceptability and verification of qualifications</w:t>
      </w:r>
    </w:p>
    <w:p w14:paraId="0EDAB866"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Queen Mary accepts a wide range of academic and English language qualifications from UK and international applicants. Central Admissions assesses the equivalence of international (including European) qualifications to standard UK qualifications at the relevant level in accordance with independent national guidance provided by UCAS, ECCTIS</w:t>
      </w:r>
      <w:r w:rsidRPr="00186524">
        <w:rPr>
          <w:rStyle w:val="FootnoteReference"/>
          <w:rFonts w:asciiTheme="minorHAnsi" w:hAnsiTheme="minorHAnsi" w:cstheme="minorHAnsi"/>
        </w:rPr>
        <w:footnoteReference w:id="4"/>
      </w:r>
      <w:r w:rsidRPr="00186524">
        <w:rPr>
          <w:rFonts w:asciiTheme="minorHAnsi" w:hAnsiTheme="minorHAnsi" w:cstheme="minorHAnsi"/>
        </w:rPr>
        <w:t xml:space="preserve"> and other </w:t>
      </w:r>
      <w:proofErr w:type="spellStart"/>
      <w:r w:rsidRPr="00186524">
        <w:rPr>
          <w:rFonts w:asciiTheme="minorHAnsi" w:hAnsiTheme="minorHAnsi" w:cstheme="minorHAnsi"/>
        </w:rPr>
        <w:t>recognised</w:t>
      </w:r>
      <w:proofErr w:type="spellEnd"/>
      <w:r w:rsidRPr="00186524">
        <w:rPr>
          <w:rFonts w:asciiTheme="minorHAnsi" w:hAnsiTheme="minorHAnsi" w:cstheme="minorHAnsi"/>
        </w:rPr>
        <w:t xml:space="preserve"> sources. Admissions is responsible for determining international </w:t>
      </w:r>
      <w:r w:rsidRPr="00186524">
        <w:rPr>
          <w:rFonts w:asciiTheme="minorHAnsi" w:hAnsiTheme="minorHAnsi" w:cstheme="minorHAnsi"/>
        </w:rPr>
        <w:lastRenderedPageBreak/>
        <w:t xml:space="preserve">equivalencies; Queen Mary Global Engagement Office staff provide expertise and guidance to support the assessment of international equivalencies. </w:t>
      </w:r>
    </w:p>
    <w:p w14:paraId="77E0C8FD"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Queen Mary </w:t>
      </w:r>
      <w:r>
        <w:rPr>
          <w:rFonts w:asciiTheme="minorHAnsi" w:hAnsiTheme="minorHAnsi" w:cstheme="minorHAnsi"/>
        </w:rPr>
        <w:t>reserves the right to</w:t>
      </w:r>
      <w:r w:rsidRPr="00186524">
        <w:rPr>
          <w:rFonts w:asciiTheme="minorHAnsi" w:hAnsiTheme="minorHAnsi" w:cstheme="minorHAnsi"/>
        </w:rPr>
        <w:t xml:space="preserve"> verify the result of any relevant qualification declared or submitted by an applicant before permitting them to </w:t>
      </w:r>
      <w:proofErr w:type="spellStart"/>
      <w:r w:rsidRPr="00186524">
        <w:rPr>
          <w:rFonts w:asciiTheme="minorHAnsi" w:hAnsiTheme="minorHAnsi" w:cstheme="minorHAnsi"/>
        </w:rPr>
        <w:t>enrol</w:t>
      </w:r>
      <w:proofErr w:type="spellEnd"/>
      <w:r w:rsidRPr="00186524">
        <w:rPr>
          <w:rFonts w:asciiTheme="minorHAnsi" w:hAnsiTheme="minorHAnsi" w:cstheme="minorHAnsi"/>
        </w:rPr>
        <w:t xml:space="preserve"> at the university. Where original qualification documents are not in English, we normally require a certified translation in addition to the original language document. </w:t>
      </w:r>
    </w:p>
    <w:p w14:paraId="058B8B00" w14:textId="77777777" w:rsidR="009A0C58" w:rsidRDefault="009A0C58" w:rsidP="009A0C58">
      <w:pPr>
        <w:jc w:val="both"/>
        <w:rPr>
          <w:rFonts w:asciiTheme="minorHAnsi" w:hAnsiTheme="minorHAnsi" w:cstheme="minorHAnsi"/>
          <w:b/>
        </w:rPr>
      </w:pPr>
    </w:p>
    <w:p w14:paraId="5560207E"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MAKING AN APPLICATION</w:t>
      </w:r>
    </w:p>
    <w:p w14:paraId="63CB6307" w14:textId="77777777" w:rsidR="009A0C58" w:rsidRDefault="009A0C58" w:rsidP="009A0C58">
      <w:pPr>
        <w:jc w:val="both"/>
        <w:rPr>
          <w:rFonts w:asciiTheme="minorHAnsi" w:hAnsiTheme="minorHAnsi" w:cstheme="minorHAnsi"/>
          <w:b/>
        </w:rPr>
      </w:pPr>
    </w:p>
    <w:p w14:paraId="0CA2FAE8"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Process and deadlines</w:t>
      </w:r>
    </w:p>
    <w:p w14:paraId="4DA2B1BD" w14:textId="77777777" w:rsidR="009A0C58" w:rsidRDefault="009A0C58" w:rsidP="009A0C58">
      <w:pPr>
        <w:jc w:val="both"/>
        <w:rPr>
          <w:rFonts w:asciiTheme="minorHAnsi" w:hAnsiTheme="minorHAnsi" w:cstheme="minorHAnsi"/>
        </w:rPr>
      </w:pPr>
    </w:p>
    <w:p w14:paraId="75898E67" w14:textId="77777777" w:rsidR="009A0C58" w:rsidRPr="00186524" w:rsidRDefault="009A0C58" w:rsidP="009A0C58">
      <w:pPr>
        <w:jc w:val="both"/>
        <w:rPr>
          <w:rFonts w:asciiTheme="minorHAnsi" w:hAnsiTheme="minorHAnsi" w:cstheme="minorHAnsi"/>
        </w:rPr>
      </w:pPr>
      <w:r>
        <w:rPr>
          <w:rFonts w:asciiTheme="minorHAnsi" w:hAnsiTheme="minorHAnsi" w:cstheme="minorHAnsi"/>
        </w:rPr>
        <w:t xml:space="preserve">Details on how to apply can be found on our </w:t>
      </w:r>
      <w:hyperlink r:id="rId22" w:anchor="primary-nav-study" w:history="1">
        <w:r w:rsidRPr="00FB7D22">
          <w:rPr>
            <w:rStyle w:val="Hyperlink"/>
            <w:rFonts w:asciiTheme="minorHAnsi" w:hAnsiTheme="minorHAnsi" w:cstheme="minorHAnsi"/>
          </w:rPr>
          <w:t>website</w:t>
        </w:r>
      </w:hyperlink>
      <w:r>
        <w:rPr>
          <w:rFonts w:asciiTheme="minorHAnsi" w:hAnsiTheme="minorHAnsi" w:cstheme="minorHAnsi"/>
        </w:rPr>
        <w:t xml:space="preserve">. </w:t>
      </w:r>
      <w:r w:rsidRPr="00186524">
        <w:rPr>
          <w:rFonts w:asciiTheme="minorHAnsi" w:hAnsiTheme="minorHAnsi" w:cstheme="minorHAnsi"/>
        </w:rPr>
        <w:t xml:space="preserve">Applications made via UCAS are bound by the rules, regulations and deadlines published by UCAS. General guidelines about deadlines for taught postgraduate </w:t>
      </w:r>
      <w:proofErr w:type="spellStart"/>
      <w:r w:rsidRPr="00186524">
        <w:rPr>
          <w:rFonts w:asciiTheme="minorHAnsi" w:hAnsiTheme="minorHAnsi" w:cstheme="minorHAnsi"/>
        </w:rPr>
        <w:t>programmes</w:t>
      </w:r>
      <w:proofErr w:type="spellEnd"/>
      <w:r w:rsidRPr="00186524">
        <w:rPr>
          <w:rFonts w:asciiTheme="minorHAnsi" w:hAnsiTheme="minorHAnsi" w:cstheme="minorHAnsi"/>
        </w:rPr>
        <w:t xml:space="preserve"> are published on the Queen Mary website</w:t>
      </w:r>
      <w:r w:rsidRPr="00186524">
        <w:rPr>
          <w:rStyle w:val="FootnoteReference"/>
          <w:rFonts w:asciiTheme="minorHAnsi" w:hAnsiTheme="minorHAnsi" w:cstheme="minorHAnsi"/>
        </w:rPr>
        <w:footnoteReference w:id="5"/>
      </w:r>
      <w:r w:rsidRPr="00186524">
        <w:rPr>
          <w:rFonts w:asciiTheme="minorHAnsi" w:hAnsiTheme="minorHAnsi" w:cstheme="minorHAnsi"/>
        </w:rPr>
        <w:t xml:space="preserve">. Deadlines for direct application </w:t>
      </w:r>
      <w:proofErr w:type="spellStart"/>
      <w:r w:rsidRPr="00186524">
        <w:rPr>
          <w:rFonts w:asciiTheme="minorHAnsi" w:hAnsiTheme="minorHAnsi" w:cstheme="minorHAnsi"/>
        </w:rPr>
        <w:t>programmes</w:t>
      </w:r>
      <w:proofErr w:type="spellEnd"/>
      <w:r w:rsidRPr="00186524">
        <w:rPr>
          <w:rFonts w:asciiTheme="minorHAnsi" w:hAnsiTheme="minorHAnsi" w:cstheme="minorHAnsi"/>
        </w:rPr>
        <w:t xml:space="preserve"> may vary and details are published on individual </w:t>
      </w:r>
      <w:proofErr w:type="spellStart"/>
      <w:r w:rsidRPr="00186524">
        <w:rPr>
          <w:rFonts w:asciiTheme="minorHAnsi" w:hAnsiTheme="minorHAnsi" w:cstheme="minorHAnsi"/>
        </w:rPr>
        <w:t>programme</w:t>
      </w:r>
      <w:proofErr w:type="spellEnd"/>
      <w:r w:rsidRPr="00186524">
        <w:rPr>
          <w:rFonts w:asciiTheme="minorHAnsi" w:hAnsiTheme="minorHAnsi" w:cstheme="minorHAnsi"/>
        </w:rPr>
        <w:t xml:space="preserve"> entries in the Queen Mary course finder. We reserve the right to close a </w:t>
      </w:r>
      <w:proofErr w:type="spellStart"/>
      <w:r w:rsidRPr="00186524">
        <w:rPr>
          <w:rFonts w:asciiTheme="minorHAnsi" w:hAnsiTheme="minorHAnsi" w:cstheme="minorHAnsi"/>
        </w:rPr>
        <w:t>programme</w:t>
      </w:r>
      <w:proofErr w:type="spellEnd"/>
      <w:r w:rsidRPr="00186524">
        <w:rPr>
          <w:rFonts w:asciiTheme="minorHAnsi" w:hAnsiTheme="minorHAnsi" w:cstheme="minorHAnsi"/>
        </w:rPr>
        <w:t xml:space="preserve">, where demand for the </w:t>
      </w:r>
      <w:proofErr w:type="spellStart"/>
      <w:r w:rsidRPr="00186524">
        <w:rPr>
          <w:rFonts w:asciiTheme="minorHAnsi" w:hAnsiTheme="minorHAnsi" w:cstheme="minorHAnsi"/>
        </w:rPr>
        <w:t>programme</w:t>
      </w:r>
      <w:proofErr w:type="spellEnd"/>
      <w:r w:rsidRPr="00186524">
        <w:rPr>
          <w:rFonts w:asciiTheme="minorHAnsi" w:hAnsiTheme="minorHAnsi" w:cstheme="minorHAnsi"/>
        </w:rPr>
        <w:t xml:space="preserve"> means no further places can be offered. In such cases we undertake to provide a reasonable period of notice, normally at least one week, of the decision to close.</w:t>
      </w:r>
    </w:p>
    <w:p w14:paraId="3928F117" w14:textId="77777777" w:rsidR="009A0C58" w:rsidRDefault="009A0C58" w:rsidP="009A0C58">
      <w:pPr>
        <w:jc w:val="both"/>
        <w:rPr>
          <w:rFonts w:asciiTheme="minorHAnsi" w:hAnsiTheme="minorHAnsi" w:cstheme="minorHAnsi"/>
        </w:rPr>
      </w:pPr>
    </w:p>
    <w:p w14:paraId="72B5D9F1"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Only complete applications that include all required information and relevant supporting evidence will be considered. Admissions will request missing information where applications are incomplete; where applications remain incomplete, they may be rejected by Admissions.</w:t>
      </w:r>
    </w:p>
    <w:p w14:paraId="4576E38B" w14:textId="77777777" w:rsidR="009A0C58" w:rsidRDefault="009A0C58" w:rsidP="009A0C58">
      <w:pPr>
        <w:jc w:val="both"/>
        <w:rPr>
          <w:rFonts w:asciiTheme="minorHAnsi" w:hAnsiTheme="minorHAnsi" w:cstheme="minorHAnsi"/>
          <w:b/>
        </w:rPr>
      </w:pPr>
    </w:p>
    <w:p w14:paraId="7D042209"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Student Transfer</w:t>
      </w:r>
    </w:p>
    <w:p w14:paraId="229AAB9B" w14:textId="77777777" w:rsidR="009A0C58" w:rsidRPr="00186524" w:rsidRDefault="009A0C58" w:rsidP="009A0C58">
      <w:pPr>
        <w:jc w:val="both"/>
        <w:rPr>
          <w:rFonts w:asciiTheme="minorHAnsi" w:hAnsiTheme="minorHAnsi" w:cstheme="minorHAnsi"/>
          <w:i/>
        </w:rPr>
      </w:pPr>
      <w:r w:rsidRPr="00186524">
        <w:rPr>
          <w:rFonts w:asciiTheme="minorHAnsi" w:hAnsiTheme="minorHAnsi" w:cstheme="minorHAnsi"/>
        </w:rPr>
        <w:t xml:space="preserve">We may consider applications for advanced entry, for example, to join the second year of an undergraduate </w:t>
      </w:r>
      <w:proofErr w:type="spellStart"/>
      <w:r w:rsidRPr="00186524">
        <w:rPr>
          <w:rFonts w:asciiTheme="minorHAnsi" w:hAnsiTheme="minorHAnsi" w:cstheme="minorHAnsi"/>
        </w:rPr>
        <w:t>programme</w:t>
      </w:r>
      <w:proofErr w:type="spellEnd"/>
      <w:r w:rsidRPr="00186524">
        <w:rPr>
          <w:rFonts w:asciiTheme="minorHAnsi" w:hAnsiTheme="minorHAnsi" w:cstheme="minorHAnsi"/>
        </w:rPr>
        <w:t xml:space="preserve">, subject to the </w:t>
      </w:r>
      <w:hyperlink r:id="rId23" w:history="1">
        <w:r w:rsidRPr="00FB5DE9">
          <w:rPr>
            <w:rStyle w:val="Hyperlink"/>
            <w:rFonts w:asciiTheme="minorHAnsi" w:hAnsiTheme="minorHAnsi" w:cstheme="minorHAnsi"/>
          </w:rPr>
          <w:t>policy of the academic School or Institute</w:t>
        </w:r>
      </w:hyperlink>
      <w:r w:rsidRPr="00186524">
        <w:rPr>
          <w:rFonts w:asciiTheme="minorHAnsi" w:hAnsiTheme="minorHAnsi" w:cstheme="minorHAnsi"/>
        </w:rPr>
        <w:t xml:space="preserve"> concerned. Such applications will be considered under the Queen Mary </w:t>
      </w:r>
      <w:r w:rsidRPr="00186524">
        <w:rPr>
          <w:rFonts w:asciiTheme="minorHAnsi" w:hAnsiTheme="minorHAnsi" w:cstheme="minorHAnsi"/>
          <w:i/>
        </w:rPr>
        <w:t>Student Transfer Policy</w:t>
      </w:r>
      <w:r w:rsidRPr="00186524">
        <w:rPr>
          <w:rStyle w:val="FootnoteReference"/>
          <w:rFonts w:asciiTheme="minorHAnsi" w:hAnsiTheme="minorHAnsi" w:cstheme="minorHAnsi"/>
          <w:i/>
        </w:rPr>
        <w:footnoteReference w:id="6"/>
      </w:r>
      <w:r w:rsidRPr="00186524">
        <w:rPr>
          <w:rFonts w:asciiTheme="minorHAnsi" w:hAnsiTheme="minorHAnsi" w:cstheme="minorHAnsi"/>
          <w:i/>
        </w:rPr>
        <w:t>.</w:t>
      </w:r>
    </w:p>
    <w:p w14:paraId="22B6285C" w14:textId="77777777" w:rsidR="009A0C58" w:rsidRDefault="009A0C58" w:rsidP="009A0C58">
      <w:pPr>
        <w:jc w:val="both"/>
        <w:rPr>
          <w:rFonts w:asciiTheme="minorHAnsi" w:hAnsiTheme="minorHAnsi" w:cstheme="minorHAnsi"/>
          <w:b/>
        </w:rPr>
      </w:pPr>
    </w:p>
    <w:p w14:paraId="41371D1A"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Accreditation of Prior Learning</w:t>
      </w:r>
    </w:p>
    <w:p w14:paraId="7A643373"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We may consider applications for recognition of certificated learning in the form of higher education credits already attained, or experiential learning as part of a Queen Mary </w:t>
      </w:r>
      <w:proofErr w:type="spellStart"/>
      <w:r w:rsidRPr="00186524">
        <w:rPr>
          <w:rFonts w:asciiTheme="minorHAnsi" w:hAnsiTheme="minorHAnsi" w:cstheme="minorHAnsi"/>
        </w:rPr>
        <w:t>programme</w:t>
      </w:r>
      <w:proofErr w:type="spellEnd"/>
      <w:r w:rsidRPr="00186524">
        <w:rPr>
          <w:rFonts w:asciiTheme="minorHAnsi" w:hAnsiTheme="minorHAnsi" w:cstheme="minorHAnsi"/>
        </w:rPr>
        <w:t xml:space="preserve"> on a case-by-case basis. Such applications will be considered under the Queen Mary </w:t>
      </w:r>
      <w:r w:rsidRPr="00186524">
        <w:rPr>
          <w:rFonts w:asciiTheme="minorHAnsi" w:hAnsiTheme="minorHAnsi" w:cstheme="minorHAnsi"/>
          <w:i/>
        </w:rPr>
        <w:t>Accreditation of Prior Learning Policy</w:t>
      </w:r>
      <w:r w:rsidRPr="00186524">
        <w:rPr>
          <w:rFonts w:asciiTheme="minorHAnsi" w:hAnsiTheme="minorHAnsi" w:cstheme="minorHAnsi"/>
        </w:rPr>
        <w:t xml:space="preserve">. </w:t>
      </w:r>
      <w:r w:rsidRPr="00186524">
        <w:rPr>
          <w:rStyle w:val="FootnoteReference"/>
          <w:rFonts w:asciiTheme="minorHAnsi" w:hAnsiTheme="minorHAnsi" w:cstheme="minorHAnsi"/>
        </w:rPr>
        <w:footnoteReference w:id="7"/>
      </w:r>
      <w:r w:rsidRPr="00186524">
        <w:rPr>
          <w:rFonts w:asciiTheme="minorHAnsi" w:hAnsiTheme="minorHAnsi" w:cstheme="minorHAnsi"/>
        </w:rPr>
        <w:t>.</w:t>
      </w:r>
    </w:p>
    <w:p w14:paraId="7116CE24" w14:textId="77777777" w:rsidR="009A0C58" w:rsidRDefault="009A0C58" w:rsidP="009A0C58">
      <w:pPr>
        <w:jc w:val="both"/>
        <w:rPr>
          <w:rFonts w:asciiTheme="minorHAnsi" w:hAnsiTheme="minorHAnsi" w:cstheme="minorHAnsi"/>
          <w:b/>
        </w:rPr>
      </w:pPr>
    </w:p>
    <w:p w14:paraId="12EF3597"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Deferred entry</w:t>
      </w:r>
    </w:p>
    <w:p w14:paraId="7DE794BA" w14:textId="0D2130BB"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Applicants must normally meet all academic entry requirements in the year of application to be granted deferred entry. Deferred entry offers for postgraduate </w:t>
      </w:r>
      <w:proofErr w:type="spellStart"/>
      <w:r w:rsidRPr="00186524">
        <w:rPr>
          <w:rFonts w:asciiTheme="minorHAnsi" w:hAnsiTheme="minorHAnsi" w:cstheme="minorHAnsi"/>
        </w:rPr>
        <w:t>programmes</w:t>
      </w:r>
      <w:proofErr w:type="spellEnd"/>
      <w:r w:rsidRPr="00186524">
        <w:rPr>
          <w:rFonts w:asciiTheme="minorHAnsi" w:hAnsiTheme="minorHAnsi" w:cstheme="minorHAnsi"/>
        </w:rPr>
        <w:t xml:space="preserve"> may include English language conditions. Applicants holding an offer may request to defer their entry. Queen Mary will normally only agree to defer entry for one year. </w:t>
      </w:r>
    </w:p>
    <w:p w14:paraId="3841B096" w14:textId="77777777" w:rsidR="009A0C58" w:rsidRDefault="009A0C58" w:rsidP="009A0C58">
      <w:pPr>
        <w:jc w:val="both"/>
        <w:rPr>
          <w:rFonts w:asciiTheme="minorHAnsi" w:hAnsiTheme="minorHAnsi" w:cstheme="minorHAnsi"/>
          <w:b/>
        </w:rPr>
      </w:pPr>
    </w:p>
    <w:p w14:paraId="4B203EA3"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Plagiarism and falsified applications</w:t>
      </w:r>
    </w:p>
    <w:p w14:paraId="2F0FCC62"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Queen Mary reserves the right to withdraw an offer of admission where an applicant is found to have supplied false information, including falsified references, </w:t>
      </w:r>
      <w:proofErr w:type="spellStart"/>
      <w:r w:rsidRPr="00186524">
        <w:rPr>
          <w:rFonts w:asciiTheme="minorHAnsi" w:hAnsiTheme="minorHAnsi" w:cstheme="minorHAnsi"/>
        </w:rPr>
        <w:t>plagiarised</w:t>
      </w:r>
      <w:proofErr w:type="spellEnd"/>
      <w:r w:rsidRPr="00186524">
        <w:rPr>
          <w:rFonts w:asciiTheme="minorHAnsi" w:hAnsiTheme="minorHAnsi" w:cstheme="minorHAnsi"/>
        </w:rPr>
        <w:t xml:space="preserve"> content, or omitted relevant information from their application. </w:t>
      </w:r>
    </w:p>
    <w:p w14:paraId="0C2084ED"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UCAS routinely scans personal statements for plagiarism and Queen Mary may withdraw offers made to applicants found to have supplied a personal statement with a high percentage similarity according to the UCAS </w:t>
      </w:r>
      <w:r w:rsidRPr="00186524">
        <w:rPr>
          <w:rFonts w:asciiTheme="minorHAnsi" w:hAnsiTheme="minorHAnsi" w:cstheme="minorHAnsi"/>
          <w:i/>
        </w:rPr>
        <w:t xml:space="preserve">Similarity Detection Service. </w:t>
      </w:r>
      <w:r w:rsidRPr="00186524">
        <w:rPr>
          <w:rFonts w:asciiTheme="minorHAnsi" w:hAnsiTheme="minorHAnsi" w:cstheme="minorHAnsi"/>
        </w:rPr>
        <w:t xml:space="preserve">Depending on the percentage similarity detected, admissions selectors may request a new personal statement from the applicant. </w:t>
      </w:r>
    </w:p>
    <w:p w14:paraId="569829D9"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lastRenderedPageBreak/>
        <w:t>No further application will be considered from an applicant who has been found to have supplied false information.</w:t>
      </w:r>
      <w:r>
        <w:rPr>
          <w:rFonts w:asciiTheme="minorHAnsi" w:hAnsiTheme="minorHAnsi" w:cstheme="minorHAnsi"/>
        </w:rPr>
        <w:t xml:space="preserve"> If an applicant is found to have provided fraudulent documents after the point of enrolment, this could result in being withdrawn from the course.</w:t>
      </w:r>
    </w:p>
    <w:p w14:paraId="268A5B0D" w14:textId="77777777" w:rsidR="009A0C58" w:rsidRDefault="009A0C58" w:rsidP="009A0C58">
      <w:pPr>
        <w:jc w:val="both"/>
        <w:rPr>
          <w:rFonts w:asciiTheme="minorHAnsi" w:hAnsiTheme="minorHAnsi" w:cstheme="minorHAnsi"/>
          <w:b/>
        </w:rPr>
      </w:pPr>
    </w:p>
    <w:p w14:paraId="24D3C6CF"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Re-admission of students</w:t>
      </w:r>
    </w:p>
    <w:p w14:paraId="6B7EB8CE"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Applications from students who have previously withdrawn or been required to withdraw from study at Queen Mary and who are applying for re-admission will be considered in accordance with university regulations</w:t>
      </w:r>
      <w:r w:rsidRPr="00186524">
        <w:rPr>
          <w:rStyle w:val="FootnoteReference"/>
          <w:rFonts w:asciiTheme="minorHAnsi" w:hAnsiTheme="minorHAnsi" w:cstheme="minorHAnsi"/>
        </w:rPr>
        <w:footnoteReference w:id="8"/>
      </w:r>
      <w:r w:rsidRPr="00186524">
        <w:rPr>
          <w:rFonts w:asciiTheme="minorHAnsi" w:hAnsiTheme="minorHAnsi" w:cstheme="minorHAnsi"/>
        </w:rPr>
        <w:t>.</w:t>
      </w:r>
    </w:p>
    <w:p w14:paraId="7784AD38" w14:textId="77777777" w:rsidR="009A0C58" w:rsidRDefault="009A0C58" w:rsidP="009A0C58">
      <w:pPr>
        <w:jc w:val="both"/>
        <w:rPr>
          <w:rFonts w:asciiTheme="minorHAnsi" w:hAnsiTheme="minorHAnsi" w:cstheme="minorHAnsi"/>
          <w:b/>
        </w:rPr>
      </w:pPr>
    </w:p>
    <w:p w14:paraId="37F63D3F"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Concurrent studies</w:t>
      </w:r>
    </w:p>
    <w:p w14:paraId="7C98761F"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Applications from students who wish to study at Queen Mary at the same time as studying on another </w:t>
      </w:r>
      <w:proofErr w:type="spellStart"/>
      <w:r w:rsidRPr="00186524">
        <w:rPr>
          <w:rFonts w:asciiTheme="minorHAnsi" w:hAnsiTheme="minorHAnsi" w:cstheme="minorHAnsi"/>
        </w:rPr>
        <w:t>programme</w:t>
      </w:r>
      <w:proofErr w:type="spellEnd"/>
      <w:r w:rsidRPr="00186524">
        <w:rPr>
          <w:rFonts w:asciiTheme="minorHAnsi" w:hAnsiTheme="minorHAnsi" w:cstheme="minorHAnsi"/>
        </w:rPr>
        <w:t xml:space="preserve"> either at Queen Mary or at another higher education institution will be considered in accordance with university regulations relating to concurrent studies</w:t>
      </w:r>
      <w:r w:rsidRPr="00186524">
        <w:rPr>
          <w:rStyle w:val="FootnoteReference"/>
          <w:rFonts w:asciiTheme="minorHAnsi" w:hAnsiTheme="minorHAnsi" w:cstheme="minorHAnsi"/>
        </w:rPr>
        <w:footnoteReference w:id="9"/>
      </w:r>
      <w:r w:rsidRPr="00186524">
        <w:rPr>
          <w:rFonts w:asciiTheme="minorHAnsi" w:hAnsiTheme="minorHAnsi" w:cstheme="minorHAnsi"/>
        </w:rPr>
        <w:t>. Permission to undertake concurrent study is not normally permitted and is granted only in specific, exceptional circumstances.</w:t>
      </w:r>
    </w:p>
    <w:p w14:paraId="7FF8741A" w14:textId="77777777" w:rsidR="009A0C58" w:rsidRDefault="009A0C58" w:rsidP="009A0C58">
      <w:pPr>
        <w:jc w:val="both"/>
        <w:rPr>
          <w:rFonts w:asciiTheme="minorHAnsi" w:hAnsiTheme="minorHAnsi" w:cstheme="minorHAnsi"/>
          <w:b/>
        </w:rPr>
      </w:pPr>
    </w:p>
    <w:p w14:paraId="6DCBE32E"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ASSESSMENT AND SELECTION</w:t>
      </w:r>
    </w:p>
    <w:p w14:paraId="41D75C96" w14:textId="77777777" w:rsidR="009A0C58" w:rsidRDefault="009A0C58" w:rsidP="009A0C58">
      <w:pPr>
        <w:jc w:val="both"/>
        <w:rPr>
          <w:rFonts w:asciiTheme="minorHAnsi" w:hAnsiTheme="minorHAnsi" w:cstheme="minorHAnsi"/>
          <w:b/>
        </w:rPr>
      </w:pPr>
    </w:p>
    <w:p w14:paraId="7E07D083"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Regulatory and legislative compliance</w:t>
      </w:r>
    </w:p>
    <w:p w14:paraId="0CD7329F"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Assessment and selection of applications is carried out in line with all relevant regulatory and legislative requirements, including equal opportunities, data protection and consumer protection legislation. Offers of admission are governed by a set of </w:t>
      </w:r>
      <w:hyperlink r:id="rId24" w:history="1">
        <w:r w:rsidRPr="004E74A9">
          <w:rPr>
            <w:rStyle w:val="Hyperlink"/>
            <w:rFonts w:asciiTheme="minorHAnsi" w:hAnsiTheme="minorHAnsi" w:cstheme="minorHAnsi"/>
          </w:rPr>
          <w:t>terms and conditions</w:t>
        </w:r>
      </w:hyperlink>
      <w:r w:rsidRPr="00186524">
        <w:rPr>
          <w:rFonts w:asciiTheme="minorHAnsi" w:hAnsiTheme="minorHAnsi" w:cstheme="minorHAnsi"/>
        </w:rPr>
        <w:t xml:space="preserve"> that are reviewed and published annually by Queen Mary</w:t>
      </w:r>
      <w:r w:rsidRPr="00186524">
        <w:rPr>
          <w:rStyle w:val="FootnoteReference"/>
          <w:rFonts w:asciiTheme="minorHAnsi" w:hAnsiTheme="minorHAnsi" w:cstheme="minorHAnsi"/>
        </w:rPr>
        <w:footnoteReference w:id="10"/>
      </w:r>
      <w:r w:rsidRPr="00186524">
        <w:rPr>
          <w:rFonts w:asciiTheme="minorHAnsi" w:hAnsiTheme="minorHAnsi" w:cstheme="minorHAnsi"/>
        </w:rPr>
        <w:t>.</w:t>
      </w:r>
    </w:p>
    <w:p w14:paraId="36BDA925" w14:textId="77777777" w:rsidR="009A0C58" w:rsidRPr="00186524" w:rsidRDefault="009A0C58" w:rsidP="009A0C58">
      <w:pPr>
        <w:jc w:val="both"/>
        <w:rPr>
          <w:rFonts w:asciiTheme="minorHAnsi" w:hAnsiTheme="minorHAnsi" w:cstheme="minorHAnsi"/>
          <w:u w:val="single"/>
        </w:rPr>
      </w:pPr>
    </w:p>
    <w:p w14:paraId="250ED0CD"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u w:val="single"/>
        </w:rPr>
        <w:t>Admission of minors</w:t>
      </w:r>
    </w:p>
    <w:p w14:paraId="446D1294"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Queen Mary is an adult environment, and our students are normally 18 or above at the time they start their course. We treat all our students as mature individuals and expect them to have the necessary skills to study and live independently alongside people of all ages and from a variety of backgrounds. </w:t>
      </w:r>
    </w:p>
    <w:p w14:paraId="276E83E5"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Queen Mary will consider applications from students who will be under the age of 18 at the point of first enrolment at the university. Such applications will be considered in line with our </w:t>
      </w:r>
      <w:r w:rsidRPr="00186524">
        <w:rPr>
          <w:rFonts w:asciiTheme="minorHAnsi" w:hAnsiTheme="minorHAnsi" w:cstheme="minorHAnsi"/>
          <w:i/>
        </w:rPr>
        <w:t>Admissions policy for students under the age of 18 years</w:t>
      </w:r>
      <w:r w:rsidRPr="00186524">
        <w:rPr>
          <w:rStyle w:val="FootnoteReference"/>
          <w:rFonts w:asciiTheme="minorHAnsi" w:hAnsiTheme="minorHAnsi" w:cstheme="minorHAnsi"/>
          <w:i/>
        </w:rPr>
        <w:footnoteReference w:id="11"/>
      </w:r>
      <w:r w:rsidRPr="00186524">
        <w:rPr>
          <w:rFonts w:asciiTheme="minorHAnsi" w:hAnsiTheme="minorHAnsi" w:cstheme="minorHAnsi"/>
          <w:i/>
        </w:rPr>
        <w:t>.</w:t>
      </w:r>
    </w:p>
    <w:p w14:paraId="55C6B0A5" w14:textId="77777777" w:rsidR="009A0C58" w:rsidRDefault="009A0C58" w:rsidP="009A0C58">
      <w:pPr>
        <w:jc w:val="both"/>
        <w:rPr>
          <w:rFonts w:asciiTheme="minorHAnsi" w:hAnsiTheme="minorHAnsi" w:cstheme="minorHAnsi"/>
          <w:u w:val="single"/>
        </w:rPr>
      </w:pPr>
    </w:p>
    <w:p w14:paraId="42739C95"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u w:val="single"/>
        </w:rPr>
        <w:t xml:space="preserve">Criminal convictions, fitness to </w:t>
      </w:r>
      <w:proofErr w:type="spellStart"/>
      <w:r w:rsidRPr="00186524">
        <w:rPr>
          <w:rFonts w:asciiTheme="minorHAnsi" w:hAnsiTheme="minorHAnsi" w:cstheme="minorHAnsi"/>
          <w:u w:val="single"/>
        </w:rPr>
        <w:t>practise</w:t>
      </w:r>
      <w:proofErr w:type="spellEnd"/>
      <w:r w:rsidRPr="00186524">
        <w:rPr>
          <w:rFonts w:asciiTheme="minorHAnsi" w:hAnsiTheme="minorHAnsi" w:cstheme="minorHAnsi"/>
          <w:u w:val="single"/>
        </w:rPr>
        <w:t xml:space="preserve"> and occupational health checks</w:t>
      </w:r>
    </w:p>
    <w:p w14:paraId="684AD685"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Applicants will be required to declare information about criminal convictions at the point of application where this is relevant to the </w:t>
      </w:r>
      <w:proofErr w:type="spellStart"/>
      <w:r w:rsidRPr="00186524">
        <w:rPr>
          <w:rFonts w:asciiTheme="minorHAnsi" w:hAnsiTheme="minorHAnsi" w:cstheme="minorHAnsi"/>
        </w:rPr>
        <w:t>programme</w:t>
      </w:r>
      <w:proofErr w:type="spellEnd"/>
      <w:r w:rsidRPr="00186524">
        <w:rPr>
          <w:rFonts w:asciiTheme="minorHAnsi" w:hAnsiTheme="minorHAnsi" w:cstheme="minorHAnsi"/>
        </w:rPr>
        <w:t xml:space="preserve"> of study for which they are applying. In other cases, applicants will be asked to declare information about criminal convictions that are relevant and unspent when they firmly accept an offer to study at Queen Mary and again prior to enrolment at Queen Mary. For specific </w:t>
      </w:r>
      <w:proofErr w:type="spellStart"/>
      <w:r w:rsidRPr="00186524">
        <w:rPr>
          <w:rFonts w:asciiTheme="minorHAnsi" w:hAnsiTheme="minorHAnsi" w:cstheme="minorHAnsi"/>
        </w:rPr>
        <w:t>programmes</w:t>
      </w:r>
      <w:proofErr w:type="spellEnd"/>
      <w:r w:rsidRPr="00186524">
        <w:rPr>
          <w:rFonts w:asciiTheme="minorHAnsi" w:hAnsiTheme="minorHAnsi" w:cstheme="minorHAnsi"/>
        </w:rPr>
        <w:t xml:space="preserve">, applicants will be required to undergo a </w:t>
      </w:r>
      <w:r w:rsidRPr="00186524">
        <w:rPr>
          <w:rFonts w:asciiTheme="minorHAnsi" w:hAnsiTheme="minorHAnsi" w:cstheme="minorHAnsi"/>
          <w:i/>
        </w:rPr>
        <w:t xml:space="preserve">Disclosure and Barring Service (DBS) </w:t>
      </w:r>
      <w:r w:rsidRPr="00186524">
        <w:rPr>
          <w:rFonts w:asciiTheme="minorHAnsi" w:hAnsiTheme="minorHAnsi" w:cstheme="minorHAnsi"/>
        </w:rPr>
        <w:t xml:space="preserve">check and an occupational health assessment before they are permitted to </w:t>
      </w:r>
      <w:proofErr w:type="spellStart"/>
      <w:r w:rsidRPr="00186524">
        <w:rPr>
          <w:rFonts w:asciiTheme="minorHAnsi" w:hAnsiTheme="minorHAnsi" w:cstheme="minorHAnsi"/>
        </w:rPr>
        <w:t>enrol</w:t>
      </w:r>
      <w:proofErr w:type="spellEnd"/>
      <w:r w:rsidRPr="00186524">
        <w:rPr>
          <w:rFonts w:asciiTheme="minorHAnsi" w:hAnsiTheme="minorHAnsi" w:cstheme="minorHAnsi"/>
        </w:rPr>
        <w:t>.</w:t>
      </w:r>
    </w:p>
    <w:p w14:paraId="1A1496B8" w14:textId="77777777" w:rsidR="009A0C58" w:rsidRDefault="009A0C58" w:rsidP="009A0C58">
      <w:pPr>
        <w:jc w:val="both"/>
        <w:rPr>
          <w:rFonts w:asciiTheme="minorHAnsi" w:hAnsiTheme="minorHAnsi" w:cstheme="minorHAnsi"/>
        </w:rPr>
      </w:pPr>
    </w:p>
    <w:p w14:paraId="22E6C1A0" w14:textId="77777777" w:rsidR="009A0C58" w:rsidRPr="00186524" w:rsidRDefault="009A0C58" w:rsidP="009A0C58">
      <w:pPr>
        <w:jc w:val="both"/>
        <w:rPr>
          <w:rFonts w:asciiTheme="minorHAnsi" w:hAnsiTheme="minorHAnsi" w:cstheme="minorHAnsi"/>
          <w:i/>
        </w:rPr>
      </w:pPr>
      <w:r w:rsidRPr="00186524">
        <w:rPr>
          <w:rFonts w:asciiTheme="minorHAnsi" w:hAnsiTheme="minorHAnsi" w:cstheme="minorHAnsi"/>
        </w:rPr>
        <w:t xml:space="preserve">Declarations of criminal convictions by applicants will be considered in line with our </w:t>
      </w:r>
      <w:r w:rsidRPr="00186524">
        <w:rPr>
          <w:rFonts w:asciiTheme="minorHAnsi" w:hAnsiTheme="minorHAnsi" w:cstheme="minorHAnsi"/>
          <w:i/>
        </w:rPr>
        <w:t>Admissions criminal convictions policy</w:t>
      </w:r>
      <w:r w:rsidRPr="00186524">
        <w:rPr>
          <w:rStyle w:val="FootnoteReference"/>
          <w:rFonts w:asciiTheme="minorHAnsi" w:hAnsiTheme="minorHAnsi" w:cstheme="minorHAnsi"/>
          <w:i/>
        </w:rPr>
        <w:footnoteReference w:id="12"/>
      </w:r>
    </w:p>
    <w:p w14:paraId="099ED41F" w14:textId="4D572A02" w:rsidR="009A0C58" w:rsidRDefault="009A0C58" w:rsidP="009A0C58">
      <w:pPr>
        <w:jc w:val="both"/>
        <w:rPr>
          <w:rFonts w:asciiTheme="minorHAnsi" w:hAnsiTheme="minorHAnsi" w:cstheme="minorHAnsi"/>
          <w:u w:val="single"/>
        </w:rPr>
      </w:pPr>
    </w:p>
    <w:p w14:paraId="23F371C9" w14:textId="4D60E471" w:rsidR="00044AA5" w:rsidRDefault="00044AA5" w:rsidP="009A0C58">
      <w:pPr>
        <w:jc w:val="both"/>
        <w:rPr>
          <w:rFonts w:asciiTheme="minorHAnsi" w:hAnsiTheme="minorHAnsi" w:cstheme="minorHAnsi"/>
          <w:u w:val="single"/>
        </w:rPr>
      </w:pPr>
    </w:p>
    <w:p w14:paraId="2265F069" w14:textId="77777777" w:rsidR="000708E4" w:rsidRDefault="000708E4" w:rsidP="009A0C58">
      <w:pPr>
        <w:jc w:val="both"/>
        <w:rPr>
          <w:rFonts w:asciiTheme="minorHAnsi" w:hAnsiTheme="minorHAnsi" w:cstheme="minorHAnsi"/>
          <w:u w:val="single"/>
        </w:rPr>
      </w:pPr>
    </w:p>
    <w:p w14:paraId="2D3C5732" w14:textId="4E836928" w:rsidR="009A0C58" w:rsidRPr="00186524" w:rsidRDefault="009A0C58" w:rsidP="009A0C58">
      <w:pPr>
        <w:jc w:val="both"/>
        <w:rPr>
          <w:rFonts w:asciiTheme="minorHAnsi" w:hAnsiTheme="minorHAnsi" w:cstheme="minorHAnsi"/>
        </w:rPr>
      </w:pPr>
      <w:r w:rsidRPr="00186524">
        <w:rPr>
          <w:rFonts w:asciiTheme="minorHAnsi" w:hAnsiTheme="minorHAnsi" w:cstheme="minorHAnsi"/>
          <w:u w:val="single"/>
        </w:rPr>
        <w:lastRenderedPageBreak/>
        <w:t>Applicants requiring a visa to study in the UK</w:t>
      </w:r>
    </w:p>
    <w:p w14:paraId="7EE9D9E6"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Where applicants require a visa to study in the UK, their application will be assessed in line with </w:t>
      </w:r>
      <w:proofErr w:type="gramStart"/>
      <w:r w:rsidRPr="00186524">
        <w:rPr>
          <w:rFonts w:asciiTheme="minorHAnsi" w:hAnsiTheme="minorHAnsi" w:cstheme="minorHAnsi"/>
        </w:rPr>
        <w:t>Home</w:t>
      </w:r>
      <w:proofErr w:type="gramEnd"/>
      <w:r w:rsidRPr="00186524">
        <w:rPr>
          <w:rFonts w:asciiTheme="minorHAnsi" w:hAnsiTheme="minorHAnsi" w:cstheme="minorHAnsi"/>
        </w:rPr>
        <w:t xml:space="preserve"> Office immigration policy in force at the time. Queen Mary will issue Certificates of Acceptance for Studies to applicants requiring a Student Route visa, and any other immigration-related documents, in accordance with the </w:t>
      </w:r>
      <w:r w:rsidRPr="00186524">
        <w:rPr>
          <w:rFonts w:asciiTheme="minorHAnsi" w:hAnsiTheme="minorHAnsi" w:cstheme="minorHAnsi"/>
          <w:i/>
        </w:rPr>
        <w:t>Admissions policy on student immigration</w:t>
      </w:r>
      <w:r w:rsidRPr="00186524">
        <w:rPr>
          <w:rFonts w:asciiTheme="minorHAnsi" w:hAnsiTheme="minorHAnsi" w:cstheme="minorHAnsi"/>
        </w:rPr>
        <w:t xml:space="preserve">. Offers of admission are subject to compliance with </w:t>
      </w:r>
      <w:proofErr w:type="gramStart"/>
      <w:r w:rsidRPr="00186524">
        <w:rPr>
          <w:rFonts w:asciiTheme="minorHAnsi" w:hAnsiTheme="minorHAnsi" w:cstheme="minorHAnsi"/>
        </w:rPr>
        <w:t>Home</w:t>
      </w:r>
      <w:proofErr w:type="gramEnd"/>
      <w:r w:rsidRPr="00186524">
        <w:rPr>
          <w:rFonts w:asciiTheme="minorHAnsi" w:hAnsiTheme="minorHAnsi" w:cstheme="minorHAnsi"/>
        </w:rPr>
        <w:t xml:space="preserve"> Office immigration policy and may be withdrawn where there is sufficient evidence that an applicant will be unable to obtain a student visa for the </w:t>
      </w:r>
      <w:proofErr w:type="spellStart"/>
      <w:r w:rsidRPr="00186524">
        <w:rPr>
          <w:rFonts w:asciiTheme="minorHAnsi" w:hAnsiTheme="minorHAnsi" w:cstheme="minorHAnsi"/>
        </w:rPr>
        <w:t>programme</w:t>
      </w:r>
      <w:proofErr w:type="spellEnd"/>
      <w:r w:rsidRPr="00186524">
        <w:rPr>
          <w:rFonts w:asciiTheme="minorHAnsi" w:hAnsiTheme="minorHAnsi" w:cstheme="minorHAnsi"/>
        </w:rPr>
        <w:t xml:space="preserve"> for which they have applied.</w:t>
      </w:r>
    </w:p>
    <w:p w14:paraId="6C594A5B" w14:textId="77777777" w:rsidR="009A0C58" w:rsidRDefault="009A0C58" w:rsidP="009A0C58">
      <w:pPr>
        <w:jc w:val="both"/>
        <w:rPr>
          <w:rFonts w:asciiTheme="minorHAnsi" w:hAnsiTheme="minorHAnsi" w:cstheme="minorHAnsi"/>
          <w:b/>
        </w:rPr>
      </w:pPr>
    </w:p>
    <w:p w14:paraId="3886845D"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Selection and offer-making</w:t>
      </w:r>
    </w:p>
    <w:p w14:paraId="1B90AEA4"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Selection decisions, i.e., the decision to offer admission to a </w:t>
      </w:r>
      <w:proofErr w:type="spellStart"/>
      <w:r w:rsidRPr="00186524">
        <w:rPr>
          <w:rFonts w:asciiTheme="minorHAnsi" w:hAnsiTheme="minorHAnsi" w:cstheme="minorHAnsi"/>
        </w:rPr>
        <w:t>programme</w:t>
      </w:r>
      <w:proofErr w:type="spellEnd"/>
      <w:r w:rsidRPr="00186524">
        <w:rPr>
          <w:rFonts w:asciiTheme="minorHAnsi" w:hAnsiTheme="minorHAnsi" w:cstheme="minorHAnsi"/>
        </w:rPr>
        <w:t xml:space="preserve"> or not, are made in line with approved entry requirements, which are applied consistently by admissions selectors. Equal consideration is given to all applications received by published deadlines</w:t>
      </w:r>
      <w:r>
        <w:rPr>
          <w:rFonts w:asciiTheme="minorHAnsi" w:hAnsiTheme="minorHAnsi" w:cstheme="minorHAnsi"/>
        </w:rPr>
        <w:t xml:space="preserve"> where these exist</w:t>
      </w:r>
      <w:r w:rsidRPr="00186524">
        <w:rPr>
          <w:rFonts w:asciiTheme="minorHAnsi" w:hAnsiTheme="minorHAnsi" w:cstheme="minorHAnsi"/>
        </w:rPr>
        <w:t xml:space="preserve">. As demand for some </w:t>
      </w:r>
      <w:proofErr w:type="spellStart"/>
      <w:r w:rsidRPr="00186524">
        <w:rPr>
          <w:rFonts w:asciiTheme="minorHAnsi" w:hAnsiTheme="minorHAnsi" w:cstheme="minorHAnsi"/>
        </w:rPr>
        <w:t>programmes</w:t>
      </w:r>
      <w:proofErr w:type="spellEnd"/>
      <w:r w:rsidRPr="00186524">
        <w:rPr>
          <w:rFonts w:asciiTheme="minorHAnsi" w:hAnsiTheme="minorHAnsi" w:cstheme="minorHAnsi"/>
        </w:rPr>
        <w:t xml:space="preserve"> exceeds the number of places available, we do not guarantee to make an offer to all applicants who have met or are predicted to meet the entry requirements.</w:t>
      </w:r>
    </w:p>
    <w:p w14:paraId="18888EAA"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All applications are processed by central Admissions staff, who receive comprehensive training in policies, procedures, the principles of fair admissions and the legal and regulatory framework that applies to admissions.  </w:t>
      </w:r>
    </w:p>
    <w:p w14:paraId="03431062" w14:textId="77777777" w:rsidR="000708E4" w:rsidRDefault="000708E4" w:rsidP="009A0C58">
      <w:pPr>
        <w:jc w:val="both"/>
        <w:rPr>
          <w:rFonts w:asciiTheme="minorHAnsi" w:hAnsiTheme="minorHAnsi" w:cstheme="minorHAnsi"/>
          <w:u w:val="single"/>
        </w:rPr>
      </w:pPr>
    </w:p>
    <w:p w14:paraId="49D5D55E" w14:textId="3BC4AD8F" w:rsidR="009A0C58" w:rsidRPr="00186524" w:rsidRDefault="009A0C58" w:rsidP="009A0C58">
      <w:pPr>
        <w:jc w:val="both"/>
        <w:rPr>
          <w:rFonts w:asciiTheme="minorHAnsi" w:hAnsiTheme="minorHAnsi" w:cstheme="minorHAnsi"/>
          <w:u w:val="single"/>
        </w:rPr>
      </w:pPr>
      <w:r w:rsidRPr="00186524">
        <w:rPr>
          <w:rFonts w:asciiTheme="minorHAnsi" w:hAnsiTheme="minorHAnsi" w:cstheme="minorHAnsi"/>
          <w:u w:val="single"/>
        </w:rPr>
        <w:t>Interviews and additional assessments</w:t>
      </w:r>
    </w:p>
    <w:p w14:paraId="2B67472C"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We may invite applicants to attend an interview, which may take place face-to-face, by telephone or online. Interviews are used for a variety of </w:t>
      </w:r>
      <w:proofErr w:type="gramStart"/>
      <w:r w:rsidRPr="00186524">
        <w:rPr>
          <w:rFonts w:asciiTheme="minorHAnsi" w:hAnsiTheme="minorHAnsi" w:cstheme="minorHAnsi"/>
        </w:rPr>
        <w:t>reasons</w:t>
      </w:r>
      <w:proofErr w:type="gramEnd"/>
      <w:r w:rsidRPr="00186524">
        <w:rPr>
          <w:rFonts w:asciiTheme="minorHAnsi" w:hAnsiTheme="minorHAnsi" w:cstheme="minorHAnsi"/>
        </w:rPr>
        <w:t xml:space="preserve"> and we undertake to explain the purpose of the interview at the time of invitation. In some cases, interviews may take place after a conditional offer has been issued. </w:t>
      </w:r>
    </w:p>
    <w:p w14:paraId="34223C86"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Additional assessments may be required in individual cases, where the application is not sufficient to assess the applicant’s ability and potential. For example, a written piece of work may be requested from the applicant. Queen Mary does not routinely use admissions tests as part of its selection process, other than for </w:t>
      </w:r>
      <w:proofErr w:type="spellStart"/>
      <w:r w:rsidRPr="00186524">
        <w:rPr>
          <w:rFonts w:asciiTheme="minorHAnsi" w:hAnsiTheme="minorHAnsi" w:cstheme="minorHAnsi"/>
        </w:rPr>
        <w:t>programmes</w:t>
      </w:r>
      <w:proofErr w:type="spellEnd"/>
      <w:r w:rsidRPr="00186524">
        <w:rPr>
          <w:rFonts w:asciiTheme="minorHAnsi" w:hAnsiTheme="minorHAnsi" w:cstheme="minorHAnsi"/>
        </w:rPr>
        <w:t xml:space="preserve"> in the School of Medicine and Dentistry, which are governed by separate admissions policies.  </w:t>
      </w:r>
    </w:p>
    <w:p w14:paraId="2078BCD8" w14:textId="77777777" w:rsidR="009A0C58" w:rsidRDefault="009A0C58" w:rsidP="009A0C58">
      <w:pPr>
        <w:jc w:val="both"/>
        <w:rPr>
          <w:rFonts w:asciiTheme="minorHAnsi" w:hAnsiTheme="minorHAnsi" w:cstheme="minorHAnsi"/>
          <w:u w:val="single"/>
        </w:rPr>
      </w:pPr>
    </w:p>
    <w:p w14:paraId="52F16DFA"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u w:val="single"/>
        </w:rPr>
        <w:t>Time taken to consider an application</w:t>
      </w:r>
    </w:p>
    <w:p w14:paraId="131502EA"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For undergraduate and postgraduate taught course applications, we aim to </w:t>
      </w:r>
      <w:proofErr w:type="gramStart"/>
      <w:r w:rsidRPr="00186524">
        <w:rPr>
          <w:rFonts w:asciiTheme="minorHAnsi" w:hAnsiTheme="minorHAnsi" w:cstheme="minorHAnsi"/>
        </w:rPr>
        <w:t>make a selection</w:t>
      </w:r>
      <w:proofErr w:type="gramEnd"/>
      <w:r w:rsidRPr="00186524">
        <w:rPr>
          <w:rFonts w:asciiTheme="minorHAnsi" w:hAnsiTheme="minorHAnsi" w:cstheme="minorHAnsi"/>
        </w:rPr>
        <w:t xml:space="preserve"> decision within a maximum of four weeks of receiving a completed application and within two weeks, where possible. As the volume of applications can be very high at peak periods, such as immediately after major UCAS deadlines, it may take longer to communicate selection decisions to applicants. For postgraduate research applications and for undergraduate and postgraduate taught applications where an interview is required as part of the selection process or selection involves consideration for scholarship funding, it may take considerably longer than four weeks to </w:t>
      </w:r>
      <w:proofErr w:type="gramStart"/>
      <w:r w:rsidRPr="00186524">
        <w:rPr>
          <w:rFonts w:asciiTheme="minorHAnsi" w:hAnsiTheme="minorHAnsi" w:cstheme="minorHAnsi"/>
        </w:rPr>
        <w:t>make a selection</w:t>
      </w:r>
      <w:proofErr w:type="gramEnd"/>
      <w:r w:rsidRPr="00186524">
        <w:rPr>
          <w:rFonts w:asciiTheme="minorHAnsi" w:hAnsiTheme="minorHAnsi" w:cstheme="minorHAnsi"/>
        </w:rPr>
        <w:t xml:space="preserve"> decision. Some </w:t>
      </w:r>
      <w:proofErr w:type="spellStart"/>
      <w:r w:rsidRPr="00186524">
        <w:rPr>
          <w:rFonts w:asciiTheme="minorHAnsi" w:hAnsiTheme="minorHAnsi" w:cstheme="minorHAnsi"/>
        </w:rPr>
        <w:t>programmes</w:t>
      </w:r>
      <w:proofErr w:type="spellEnd"/>
      <w:r w:rsidRPr="00186524">
        <w:rPr>
          <w:rFonts w:asciiTheme="minorHAnsi" w:hAnsiTheme="minorHAnsi" w:cstheme="minorHAnsi"/>
        </w:rPr>
        <w:t xml:space="preserve"> may operate a ‘gathered field’ admissions process, which involves waiting until specified deadlines have passed before selecting from all applications received up to that point.  Where there are undue delays in communicating selection decisions, we aim to inform applicants of these wherever possible.</w:t>
      </w:r>
    </w:p>
    <w:p w14:paraId="281D7E7C" w14:textId="77777777" w:rsidR="009A0C58" w:rsidRDefault="009A0C58" w:rsidP="009A0C58">
      <w:pPr>
        <w:jc w:val="both"/>
        <w:rPr>
          <w:rFonts w:asciiTheme="minorHAnsi" w:hAnsiTheme="minorHAnsi" w:cstheme="minorHAnsi"/>
          <w:u w:val="single"/>
        </w:rPr>
      </w:pPr>
    </w:p>
    <w:p w14:paraId="0E8A2CB9"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u w:val="single"/>
        </w:rPr>
        <w:t>Offers of entry</w:t>
      </w:r>
    </w:p>
    <w:p w14:paraId="65E2683B" w14:textId="77777777" w:rsidR="009A0C58" w:rsidRDefault="009A0C58" w:rsidP="009A0C58">
      <w:pPr>
        <w:jc w:val="both"/>
        <w:rPr>
          <w:rFonts w:asciiTheme="minorHAnsi" w:hAnsiTheme="minorHAnsi" w:cstheme="minorHAnsi"/>
        </w:rPr>
      </w:pPr>
    </w:p>
    <w:p w14:paraId="39C59406"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The following types of </w:t>
      </w:r>
      <w:proofErr w:type="gramStart"/>
      <w:r w:rsidRPr="00186524">
        <w:rPr>
          <w:rFonts w:asciiTheme="minorHAnsi" w:hAnsiTheme="minorHAnsi" w:cstheme="minorHAnsi"/>
        </w:rPr>
        <w:t>offer</w:t>
      </w:r>
      <w:proofErr w:type="gramEnd"/>
      <w:r w:rsidRPr="00186524">
        <w:rPr>
          <w:rFonts w:asciiTheme="minorHAnsi" w:hAnsiTheme="minorHAnsi" w:cstheme="minorHAnsi"/>
        </w:rPr>
        <w:t xml:space="preserve"> may be made:</w:t>
      </w:r>
    </w:p>
    <w:p w14:paraId="6BCC75EE" w14:textId="77777777" w:rsidR="009A0C58" w:rsidRDefault="009A0C58" w:rsidP="009A0C58">
      <w:pPr>
        <w:jc w:val="both"/>
        <w:rPr>
          <w:rFonts w:asciiTheme="minorHAnsi" w:hAnsiTheme="minorHAnsi" w:cstheme="minorHAnsi"/>
          <w:i/>
        </w:rPr>
      </w:pPr>
    </w:p>
    <w:p w14:paraId="1DD51DCE"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i/>
        </w:rPr>
        <w:t xml:space="preserve">Conditional offer </w:t>
      </w:r>
      <w:r w:rsidRPr="00186524">
        <w:rPr>
          <w:rFonts w:asciiTheme="minorHAnsi" w:hAnsiTheme="minorHAnsi" w:cstheme="minorHAnsi"/>
        </w:rPr>
        <w:t xml:space="preserve">– the offer includes conditions which the applicant must achieve before their place on the </w:t>
      </w:r>
      <w:proofErr w:type="spellStart"/>
      <w:r w:rsidRPr="00186524">
        <w:rPr>
          <w:rFonts w:asciiTheme="minorHAnsi" w:hAnsiTheme="minorHAnsi" w:cstheme="minorHAnsi"/>
        </w:rPr>
        <w:t>programme</w:t>
      </w:r>
      <w:proofErr w:type="spellEnd"/>
      <w:r w:rsidRPr="00186524">
        <w:rPr>
          <w:rFonts w:asciiTheme="minorHAnsi" w:hAnsiTheme="minorHAnsi" w:cstheme="minorHAnsi"/>
        </w:rPr>
        <w:t xml:space="preserve"> is confirmed. Conditions may include achievement of minimum grades, academic qualifications, English language qualifications and scores, and non-academic requirements, such as confirmation of scholarship funding.</w:t>
      </w:r>
    </w:p>
    <w:p w14:paraId="13E52282" w14:textId="77777777" w:rsidR="009A0C58" w:rsidRDefault="009A0C58" w:rsidP="009A0C58">
      <w:pPr>
        <w:jc w:val="both"/>
        <w:rPr>
          <w:rFonts w:asciiTheme="minorHAnsi" w:hAnsiTheme="minorHAnsi" w:cstheme="minorHAnsi"/>
          <w:i/>
        </w:rPr>
      </w:pPr>
    </w:p>
    <w:p w14:paraId="58699151"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i/>
        </w:rPr>
        <w:t>Unconditional offer</w:t>
      </w:r>
      <w:r w:rsidRPr="00186524">
        <w:rPr>
          <w:rFonts w:asciiTheme="minorHAnsi" w:hAnsiTheme="minorHAnsi" w:cstheme="minorHAnsi"/>
        </w:rPr>
        <w:t xml:space="preserve"> – there are no academic conditions associated with the offer. If an applicant accepts an unconditional offer, they are guaranteed a place on the </w:t>
      </w:r>
      <w:proofErr w:type="spellStart"/>
      <w:r w:rsidRPr="00186524">
        <w:rPr>
          <w:rFonts w:asciiTheme="minorHAnsi" w:hAnsiTheme="minorHAnsi" w:cstheme="minorHAnsi"/>
        </w:rPr>
        <w:t>programme</w:t>
      </w:r>
      <w:proofErr w:type="spellEnd"/>
      <w:r w:rsidRPr="00186524">
        <w:rPr>
          <w:rFonts w:asciiTheme="minorHAnsi" w:hAnsiTheme="minorHAnsi" w:cstheme="minorHAnsi"/>
        </w:rPr>
        <w:t xml:space="preserve">, subject to meeting any non-academic </w:t>
      </w:r>
      <w:r w:rsidRPr="00186524">
        <w:rPr>
          <w:rFonts w:asciiTheme="minorHAnsi" w:hAnsiTheme="minorHAnsi" w:cstheme="minorHAnsi"/>
        </w:rPr>
        <w:lastRenderedPageBreak/>
        <w:t>requirements.  These may relate to satisfactory Disclosure and Barring Service (DBS) clearance, health clearance, immigration permission, payment of a fee deposit, or supplying satisfactory evidence of achieved qualifications.</w:t>
      </w:r>
    </w:p>
    <w:p w14:paraId="0737D76D" w14:textId="77777777" w:rsidR="000708E4" w:rsidRDefault="000708E4" w:rsidP="009A0C58">
      <w:pPr>
        <w:jc w:val="both"/>
        <w:rPr>
          <w:rFonts w:asciiTheme="minorHAnsi" w:hAnsiTheme="minorHAnsi" w:cstheme="minorHAnsi"/>
          <w:i/>
        </w:rPr>
      </w:pPr>
    </w:p>
    <w:p w14:paraId="64F8C430" w14:textId="3ED83361" w:rsidR="009A0C58" w:rsidRPr="00186524" w:rsidRDefault="009A0C58" w:rsidP="009A0C58">
      <w:pPr>
        <w:jc w:val="both"/>
        <w:rPr>
          <w:rFonts w:asciiTheme="minorHAnsi" w:hAnsiTheme="minorHAnsi" w:cstheme="minorHAnsi"/>
        </w:rPr>
      </w:pPr>
      <w:r w:rsidRPr="00186524">
        <w:rPr>
          <w:rFonts w:asciiTheme="minorHAnsi" w:hAnsiTheme="minorHAnsi" w:cstheme="minorHAnsi"/>
          <w:i/>
        </w:rPr>
        <w:t>Alternative offer</w:t>
      </w:r>
      <w:r w:rsidRPr="00186524">
        <w:rPr>
          <w:rFonts w:asciiTheme="minorHAnsi" w:hAnsiTheme="minorHAnsi" w:cstheme="minorHAnsi"/>
        </w:rPr>
        <w:t xml:space="preserve"> </w:t>
      </w:r>
      <w:r w:rsidRPr="00186524">
        <w:rPr>
          <w:rFonts w:asciiTheme="minorHAnsi" w:hAnsiTheme="minorHAnsi" w:cstheme="minorHAnsi"/>
          <w:i/>
        </w:rPr>
        <w:t xml:space="preserve">(change of course offer) </w:t>
      </w:r>
      <w:r w:rsidRPr="00186524">
        <w:rPr>
          <w:rFonts w:asciiTheme="minorHAnsi" w:hAnsiTheme="minorHAnsi" w:cstheme="minorHAnsi"/>
        </w:rPr>
        <w:t xml:space="preserve">– an alternative offer may be made where the applicant is not qualified for the </w:t>
      </w:r>
      <w:proofErr w:type="spellStart"/>
      <w:r w:rsidRPr="00186524">
        <w:rPr>
          <w:rFonts w:asciiTheme="minorHAnsi" w:hAnsiTheme="minorHAnsi" w:cstheme="minorHAnsi"/>
        </w:rPr>
        <w:t>programme</w:t>
      </w:r>
      <w:proofErr w:type="spellEnd"/>
      <w:r w:rsidRPr="00186524">
        <w:rPr>
          <w:rFonts w:asciiTheme="minorHAnsi" w:hAnsiTheme="minorHAnsi" w:cstheme="minorHAnsi"/>
        </w:rPr>
        <w:t xml:space="preserve"> for which they applied, but a different course, which may be at a lower level (</w:t>
      </w:r>
      <w:proofErr w:type="spellStart"/>
      <w:proofErr w:type="gramStart"/>
      <w:r w:rsidRPr="00186524">
        <w:rPr>
          <w:rFonts w:asciiTheme="minorHAnsi" w:hAnsiTheme="minorHAnsi" w:cstheme="minorHAnsi"/>
        </w:rPr>
        <w:t>e.g.,</w:t>
      </w:r>
      <w:r>
        <w:rPr>
          <w:rFonts w:asciiTheme="minorHAnsi" w:hAnsiTheme="minorHAnsi" w:cstheme="minorHAnsi"/>
        </w:rPr>
        <w:t>Pre</w:t>
      </w:r>
      <w:proofErr w:type="spellEnd"/>
      <w:proofErr w:type="gramEnd"/>
      <w:r>
        <w:rPr>
          <w:rFonts w:asciiTheme="minorHAnsi" w:hAnsiTheme="minorHAnsi" w:cstheme="minorHAnsi"/>
        </w:rPr>
        <w:t>-Masters, Foundation</w:t>
      </w:r>
      <w:r w:rsidRPr="00186524">
        <w:rPr>
          <w:rFonts w:asciiTheme="minorHAnsi" w:hAnsiTheme="minorHAnsi" w:cstheme="minorHAnsi"/>
        </w:rPr>
        <w:t>) or may have lower entry requirements, is available.</w:t>
      </w:r>
      <w:r>
        <w:rPr>
          <w:rFonts w:asciiTheme="minorHAnsi" w:hAnsiTheme="minorHAnsi" w:cstheme="minorHAnsi"/>
        </w:rPr>
        <w:t xml:space="preserve"> This is not offered automatically in all circumstances and offered based on agreed criteria of the </w:t>
      </w:r>
      <w:proofErr w:type="spellStart"/>
      <w:r>
        <w:rPr>
          <w:rFonts w:asciiTheme="minorHAnsi" w:hAnsiTheme="minorHAnsi" w:cstheme="minorHAnsi"/>
        </w:rPr>
        <w:t>programme</w:t>
      </w:r>
      <w:proofErr w:type="spellEnd"/>
      <w:r>
        <w:rPr>
          <w:rFonts w:asciiTheme="minorHAnsi" w:hAnsiTheme="minorHAnsi" w:cstheme="minorHAnsi"/>
        </w:rPr>
        <w:t xml:space="preserve"> or at the discretion of the admissions office in consultation with the Director of Admissions or Academic School.</w:t>
      </w:r>
    </w:p>
    <w:p w14:paraId="368B57A1" w14:textId="77777777" w:rsidR="009A0C58" w:rsidRDefault="009A0C58" w:rsidP="009A0C58">
      <w:pPr>
        <w:jc w:val="both"/>
        <w:rPr>
          <w:rFonts w:asciiTheme="minorHAnsi" w:hAnsiTheme="minorHAnsi" w:cstheme="minorHAnsi"/>
          <w:u w:val="single"/>
        </w:rPr>
      </w:pPr>
    </w:p>
    <w:p w14:paraId="1AAD8E70" w14:textId="77777777" w:rsidR="009A0C58" w:rsidRPr="00186524" w:rsidRDefault="009A0C58" w:rsidP="009A0C58">
      <w:pPr>
        <w:jc w:val="both"/>
        <w:rPr>
          <w:rFonts w:asciiTheme="minorHAnsi" w:hAnsiTheme="minorHAnsi" w:cstheme="minorHAnsi"/>
          <w:u w:val="single"/>
        </w:rPr>
      </w:pPr>
      <w:r w:rsidRPr="00186524">
        <w:rPr>
          <w:rFonts w:asciiTheme="minorHAnsi" w:hAnsiTheme="minorHAnsi" w:cstheme="minorHAnsi"/>
          <w:u w:val="single"/>
        </w:rPr>
        <w:t>Acceptance of offer by the applicant</w:t>
      </w:r>
    </w:p>
    <w:p w14:paraId="5BBBC1E2"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Applicants are required to accept their offer by a specified deadline. For undergraduate applicants making their application through UCAS, the relevant UCAS deadline will apply.</w:t>
      </w:r>
      <w:r>
        <w:rPr>
          <w:rFonts w:asciiTheme="minorHAnsi" w:hAnsiTheme="minorHAnsi" w:cstheme="minorHAnsi"/>
        </w:rPr>
        <w:t xml:space="preserve"> Postgraduate offer holders usually have up to 2 months to accept their offer. </w:t>
      </w:r>
      <w:r w:rsidRPr="00186524">
        <w:rPr>
          <w:rFonts w:asciiTheme="minorHAnsi" w:hAnsiTheme="minorHAnsi" w:cstheme="minorHAnsi"/>
        </w:rPr>
        <w:t xml:space="preserve"> Queen Mary reserves the right to withdraw offers if they are not accepted by the specified deadline.</w:t>
      </w:r>
      <w:r>
        <w:rPr>
          <w:rFonts w:asciiTheme="minorHAnsi" w:hAnsiTheme="minorHAnsi" w:cstheme="minorHAnsi"/>
        </w:rPr>
        <w:t xml:space="preserve"> </w:t>
      </w:r>
    </w:p>
    <w:p w14:paraId="4D09F396" w14:textId="77777777" w:rsidR="009A0C58" w:rsidRDefault="009A0C58" w:rsidP="009A0C58">
      <w:pPr>
        <w:jc w:val="both"/>
        <w:rPr>
          <w:rFonts w:asciiTheme="minorHAnsi" w:hAnsiTheme="minorHAnsi" w:cstheme="minorHAnsi"/>
        </w:rPr>
      </w:pPr>
    </w:p>
    <w:p w14:paraId="11D29E55"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Where an applicant is holding an offer for more than one </w:t>
      </w:r>
      <w:proofErr w:type="spellStart"/>
      <w:r w:rsidRPr="00186524">
        <w:rPr>
          <w:rFonts w:asciiTheme="minorHAnsi" w:hAnsiTheme="minorHAnsi" w:cstheme="minorHAnsi"/>
        </w:rPr>
        <w:t>programme</w:t>
      </w:r>
      <w:proofErr w:type="spellEnd"/>
      <w:r w:rsidRPr="00186524">
        <w:rPr>
          <w:rFonts w:asciiTheme="minorHAnsi" w:hAnsiTheme="minorHAnsi" w:cstheme="minorHAnsi"/>
        </w:rPr>
        <w:t xml:space="preserve"> at Queen Mary, only one offer may be accepted firmly. All other offers must be declined. Undergraduate applicants making their application through UCAS may also accept an insurance choice.</w:t>
      </w:r>
    </w:p>
    <w:p w14:paraId="5810D860" w14:textId="77777777" w:rsidR="009A0C58" w:rsidRDefault="009A0C58" w:rsidP="009A0C58">
      <w:pPr>
        <w:jc w:val="both"/>
        <w:rPr>
          <w:rFonts w:asciiTheme="minorHAnsi" w:hAnsiTheme="minorHAnsi" w:cstheme="minorHAnsi"/>
          <w:u w:val="single"/>
        </w:rPr>
      </w:pPr>
    </w:p>
    <w:p w14:paraId="1949CF3E"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u w:val="single"/>
        </w:rPr>
        <w:t>Applicant’s right to withdraw (</w:t>
      </w:r>
      <w:proofErr w:type="gramStart"/>
      <w:r w:rsidRPr="00186524">
        <w:rPr>
          <w:rFonts w:asciiTheme="minorHAnsi" w:hAnsiTheme="minorHAnsi" w:cstheme="minorHAnsi"/>
          <w:u w:val="single"/>
        </w:rPr>
        <w:t>14 day</w:t>
      </w:r>
      <w:proofErr w:type="gramEnd"/>
      <w:r w:rsidRPr="00186524">
        <w:rPr>
          <w:rFonts w:asciiTheme="minorHAnsi" w:hAnsiTheme="minorHAnsi" w:cstheme="minorHAnsi"/>
          <w:u w:val="single"/>
        </w:rPr>
        <w:t xml:space="preserve"> cancellation period)</w:t>
      </w:r>
    </w:p>
    <w:p w14:paraId="3FA0345F"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Applicants have a legal right to withdraw from an offer they have accepted within 14 days of acceptance of the offer. We will, however, consider cancellation requests once this cancellation period has elapsed, where possible. A request to withdraw from acceptance of offer must be made </w:t>
      </w:r>
      <w:r>
        <w:rPr>
          <w:rFonts w:asciiTheme="minorHAnsi" w:hAnsiTheme="minorHAnsi" w:cstheme="minorHAnsi"/>
        </w:rPr>
        <w:t>in writing via the applicant portal.</w:t>
      </w:r>
      <w:r w:rsidRPr="00186524">
        <w:rPr>
          <w:rFonts w:asciiTheme="minorHAnsi" w:hAnsiTheme="minorHAnsi" w:cstheme="minorHAnsi"/>
        </w:rPr>
        <w:t xml:space="preserve"> </w:t>
      </w:r>
    </w:p>
    <w:p w14:paraId="0005F8DB" w14:textId="77777777" w:rsidR="009A0C58" w:rsidRDefault="009A0C58" w:rsidP="009A0C58">
      <w:pPr>
        <w:jc w:val="both"/>
        <w:rPr>
          <w:rFonts w:asciiTheme="minorHAnsi" w:hAnsiTheme="minorHAnsi" w:cstheme="minorHAnsi"/>
          <w:u w:val="single"/>
        </w:rPr>
      </w:pPr>
    </w:p>
    <w:p w14:paraId="0028A2F5"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u w:val="single"/>
        </w:rPr>
        <w:t>Feedback</w:t>
      </w:r>
    </w:p>
    <w:p w14:paraId="320049BA"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Queen Mary does not routinely provide feedback to applicants where their application has been unsuccessful. Applicants may request feedback by contacting the Admissions team via their applicant portal or by e-mail to the admissions team address in their individual communications from Queen Mary Admissions. Feedback will only be provided in writing direct to the applicant. We aim to provide timely responses to feedback requests, but there may be delays during busy periods.  </w:t>
      </w:r>
    </w:p>
    <w:p w14:paraId="501938F5" w14:textId="77777777" w:rsidR="009A0C58" w:rsidRDefault="009A0C58" w:rsidP="009A0C58">
      <w:pPr>
        <w:jc w:val="both"/>
        <w:rPr>
          <w:rFonts w:asciiTheme="minorHAnsi" w:hAnsiTheme="minorHAnsi" w:cstheme="minorHAnsi"/>
          <w:b/>
        </w:rPr>
      </w:pPr>
    </w:p>
    <w:p w14:paraId="72AAF25B"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Consideration of additional information in selection and offer-making</w:t>
      </w:r>
    </w:p>
    <w:p w14:paraId="232087B8" w14:textId="77777777" w:rsidR="009A0C58" w:rsidRDefault="009A0C58" w:rsidP="009A0C58">
      <w:pPr>
        <w:jc w:val="both"/>
        <w:rPr>
          <w:rFonts w:asciiTheme="minorHAnsi" w:hAnsiTheme="minorHAnsi" w:cstheme="minorHAnsi"/>
          <w:u w:val="single"/>
        </w:rPr>
      </w:pPr>
      <w:bookmarkStart w:id="1" w:name="_Toc511808094"/>
    </w:p>
    <w:p w14:paraId="32035EA8" w14:textId="77777777" w:rsidR="009A0C58" w:rsidRPr="00186524" w:rsidRDefault="009A0C58" w:rsidP="009A0C58">
      <w:pPr>
        <w:jc w:val="both"/>
        <w:rPr>
          <w:rFonts w:asciiTheme="minorHAnsi" w:hAnsiTheme="minorHAnsi" w:cstheme="minorHAnsi"/>
          <w:u w:val="single"/>
        </w:rPr>
      </w:pPr>
      <w:r w:rsidRPr="00186524">
        <w:rPr>
          <w:rFonts w:asciiTheme="minorHAnsi" w:hAnsiTheme="minorHAnsi" w:cstheme="minorHAnsi"/>
          <w:u w:val="single"/>
        </w:rPr>
        <w:t>Widening Participation</w:t>
      </w:r>
      <w:bookmarkEnd w:id="1"/>
      <w:r w:rsidRPr="00186524">
        <w:rPr>
          <w:rFonts w:asciiTheme="minorHAnsi" w:hAnsiTheme="minorHAnsi" w:cstheme="minorHAnsi"/>
          <w:u w:val="single"/>
        </w:rPr>
        <w:t xml:space="preserve"> and Fair Access</w:t>
      </w:r>
    </w:p>
    <w:p w14:paraId="46533171"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Queen Mary has a long-standing commitment to widening participation and fair access. We are a diverse and inclusive community and welcome students from all backgrounds who have the ability and potential to succeed on our academic </w:t>
      </w:r>
      <w:proofErr w:type="spellStart"/>
      <w:r w:rsidRPr="00186524">
        <w:rPr>
          <w:rFonts w:asciiTheme="minorHAnsi" w:hAnsiTheme="minorHAnsi" w:cstheme="minorHAnsi"/>
        </w:rPr>
        <w:t>programmes</w:t>
      </w:r>
      <w:proofErr w:type="spellEnd"/>
      <w:r w:rsidRPr="00186524">
        <w:rPr>
          <w:rFonts w:asciiTheme="minorHAnsi" w:hAnsiTheme="minorHAnsi" w:cstheme="minorHAnsi"/>
        </w:rPr>
        <w:t>.</w:t>
      </w:r>
    </w:p>
    <w:p w14:paraId="009C90CD" w14:textId="77777777" w:rsidR="009A0C58" w:rsidRDefault="009A0C58" w:rsidP="009A0C58">
      <w:pPr>
        <w:jc w:val="both"/>
        <w:rPr>
          <w:rFonts w:asciiTheme="minorHAnsi" w:hAnsiTheme="minorHAnsi" w:cstheme="minorHAnsi"/>
          <w:u w:val="single"/>
        </w:rPr>
      </w:pPr>
      <w:bookmarkStart w:id="2" w:name="_Toc511808095"/>
    </w:p>
    <w:p w14:paraId="116BA64C" w14:textId="77777777" w:rsidR="009A0C58" w:rsidRPr="00186524" w:rsidRDefault="009A0C58" w:rsidP="009A0C58">
      <w:pPr>
        <w:jc w:val="both"/>
        <w:rPr>
          <w:rFonts w:asciiTheme="minorHAnsi" w:hAnsiTheme="minorHAnsi" w:cstheme="minorHAnsi"/>
          <w:u w:val="single"/>
        </w:rPr>
      </w:pPr>
      <w:r w:rsidRPr="00186524">
        <w:rPr>
          <w:rFonts w:asciiTheme="minorHAnsi" w:hAnsiTheme="minorHAnsi" w:cstheme="minorHAnsi"/>
          <w:u w:val="single"/>
        </w:rPr>
        <w:t>Contextual admissions</w:t>
      </w:r>
      <w:bookmarkEnd w:id="2"/>
    </w:p>
    <w:p w14:paraId="69D77053"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We routinely assess </w:t>
      </w:r>
      <w:proofErr w:type="gramStart"/>
      <w:r w:rsidRPr="00186524">
        <w:rPr>
          <w:rFonts w:asciiTheme="minorHAnsi" w:hAnsiTheme="minorHAnsi" w:cstheme="minorHAnsi"/>
        </w:rPr>
        <w:t>a number of</w:t>
      </w:r>
      <w:proofErr w:type="gramEnd"/>
      <w:r w:rsidRPr="00186524">
        <w:rPr>
          <w:rFonts w:asciiTheme="minorHAnsi" w:hAnsiTheme="minorHAnsi" w:cstheme="minorHAnsi"/>
        </w:rPr>
        <w:t xml:space="preserve"> items of contextual data, as well as contextual information relating to individual applicants, as part of our holistic process of considering undergraduate applications. We may, </w:t>
      </w:r>
      <w:proofErr w:type="gramStart"/>
      <w:r w:rsidRPr="00186524">
        <w:rPr>
          <w:rFonts w:asciiTheme="minorHAnsi" w:hAnsiTheme="minorHAnsi" w:cstheme="minorHAnsi"/>
        </w:rPr>
        <w:t>on the basis of</w:t>
      </w:r>
      <w:proofErr w:type="gramEnd"/>
      <w:r w:rsidRPr="00186524">
        <w:rPr>
          <w:rFonts w:asciiTheme="minorHAnsi" w:hAnsiTheme="minorHAnsi" w:cstheme="minorHAnsi"/>
        </w:rPr>
        <w:t xml:space="preserve"> contextual data and information, make differential offers, select applicants for interview, and/or make adjustments at the point of confirmation when applicants’ results are matched against the conditions of their offer. We publish information for undergraduate applicants about our approach to contextual admissions</w:t>
      </w:r>
      <w:r w:rsidRPr="00186524">
        <w:rPr>
          <w:rStyle w:val="FootnoteReference"/>
          <w:rFonts w:asciiTheme="minorHAnsi" w:hAnsiTheme="minorHAnsi" w:cstheme="minorHAnsi"/>
        </w:rPr>
        <w:footnoteReference w:id="13"/>
      </w:r>
      <w:r w:rsidRPr="00186524">
        <w:rPr>
          <w:rFonts w:asciiTheme="minorHAnsi" w:hAnsiTheme="minorHAnsi" w:cstheme="minorHAnsi"/>
        </w:rPr>
        <w:t xml:space="preserve">. </w:t>
      </w:r>
    </w:p>
    <w:p w14:paraId="08FD06C5" w14:textId="77777777" w:rsidR="009A0C58" w:rsidRDefault="009A0C58" w:rsidP="009A0C58">
      <w:pPr>
        <w:jc w:val="both"/>
        <w:rPr>
          <w:rFonts w:asciiTheme="minorHAnsi" w:hAnsiTheme="minorHAnsi" w:cstheme="minorHAnsi"/>
        </w:rPr>
      </w:pPr>
    </w:p>
    <w:p w14:paraId="6DF970DB"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The university is a member of </w:t>
      </w:r>
      <w:proofErr w:type="spellStart"/>
      <w:r w:rsidRPr="00186524">
        <w:rPr>
          <w:rFonts w:asciiTheme="minorHAnsi" w:hAnsiTheme="minorHAnsi" w:cstheme="minorHAnsi"/>
          <w:i/>
        </w:rPr>
        <w:t>Realising</w:t>
      </w:r>
      <w:proofErr w:type="spellEnd"/>
      <w:r w:rsidRPr="00186524">
        <w:rPr>
          <w:rFonts w:asciiTheme="minorHAnsi" w:hAnsiTheme="minorHAnsi" w:cstheme="minorHAnsi"/>
          <w:i/>
        </w:rPr>
        <w:t xml:space="preserve"> Opportunities, </w:t>
      </w:r>
      <w:r w:rsidRPr="00186524">
        <w:rPr>
          <w:rFonts w:asciiTheme="minorHAnsi" w:hAnsiTheme="minorHAnsi" w:cstheme="minorHAnsi"/>
        </w:rPr>
        <w:t xml:space="preserve">a collaboration of leading research-intensive universities working together to promote fair access and social mobility of students from groups under-represented in higher </w:t>
      </w:r>
      <w:r w:rsidRPr="00186524">
        <w:rPr>
          <w:rFonts w:asciiTheme="minorHAnsi" w:hAnsiTheme="minorHAnsi" w:cstheme="minorHAnsi"/>
        </w:rPr>
        <w:lastRenderedPageBreak/>
        <w:t xml:space="preserve">education. Queen Mary also participates in the Sutton Trust </w:t>
      </w:r>
      <w:r w:rsidRPr="00186524">
        <w:rPr>
          <w:rFonts w:asciiTheme="minorHAnsi" w:hAnsiTheme="minorHAnsi" w:cstheme="minorHAnsi"/>
          <w:i/>
        </w:rPr>
        <w:t>Pathways to Law</w:t>
      </w:r>
      <w:r w:rsidRPr="00186524">
        <w:rPr>
          <w:rFonts w:asciiTheme="minorHAnsi" w:hAnsiTheme="minorHAnsi" w:cstheme="minorHAnsi"/>
        </w:rPr>
        <w:t xml:space="preserve"> scheme and runs </w:t>
      </w:r>
      <w:proofErr w:type="gramStart"/>
      <w:r w:rsidRPr="00186524">
        <w:rPr>
          <w:rFonts w:asciiTheme="minorHAnsi" w:hAnsiTheme="minorHAnsi" w:cstheme="minorHAnsi"/>
        </w:rPr>
        <w:t>a number of</w:t>
      </w:r>
      <w:proofErr w:type="gramEnd"/>
      <w:r w:rsidRPr="00186524">
        <w:rPr>
          <w:rFonts w:asciiTheme="minorHAnsi" w:hAnsiTheme="minorHAnsi" w:cstheme="minorHAnsi"/>
        </w:rPr>
        <w:t xml:space="preserve"> its own widening participation schemes. Differential offers may be made to students participating in any of these schemes.</w:t>
      </w:r>
    </w:p>
    <w:p w14:paraId="156B71BB" w14:textId="77777777" w:rsidR="009A0C58" w:rsidRDefault="009A0C58" w:rsidP="009A0C58">
      <w:pPr>
        <w:jc w:val="both"/>
        <w:rPr>
          <w:rFonts w:asciiTheme="minorHAnsi" w:hAnsiTheme="minorHAnsi" w:cstheme="minorHAnsi"/>
          <w:u w:val="single"/>
        </w:rPr>
      </w:pPr>
    </w:p>
    <w:p w14:paraId="55F6C343" w14:textId="77777777" w:rsidR="009A0C58" w:rsidRPr="00186524" w:rsidRDefault="009A0C58" w:rsidP="009A0C58">
      <w:pPr>
        <w:jc w:val="both"/>
        <w:rPr>
          <w:rFonts w:asciiTheme="minorHAnsi" w:hAnsiTheme="minorHAnsi" w:cstheme="minorHAnsi"/>
          <w:u w:val="single"/>
        </w:rPr>
      </w:pPr>
      <w:r w:rsidRPr="00186524">
        <w:rPr>
          <w:rFonts w:asciiTheme="minorHAnsi" w:hAnsiTheme="minorHAnsi" w:cstheme="minorHAnsi"/>
          <w:u w:val="single"/>
        </w:rPr>
        <w:t xml:space="preserve">Applicants with disabilities, specific learning difficulties or mental health issues </w:t>
      </w:r>
    </w:p>
    <w:p w14:paraId="76ADC13F" w14:textId="77777777" w:rsidR="009A0C58" w:rsidRDefault="009A0C58" w:rsidP="009A0C58">
      <w:pPr>
        <w:jc w:val="both"/>
        <w:rPr>
          <w:rFonts w:asciiTheme="minorHAnsi" w:hAnsiTheme="minorHAnsi" w:cstheme="minorHAnsi"/>
          <w:color w:val="444444"/>
        </w:rPr>
      </w:pPr>
    </w:p>
    <w:p w14:paraId="02DB7AE9" w14:textId="77777777" w:rsidR="009A0C58" w:rsidRPr="00186524" w:rsidRDefault="009A0C58" w:rsidP="009A0C58">
      <w:pPr>
        <w:jc w:val="both"/>
        <w:rPr>
          <w:rFonts w:asciiTheme="minorHAnsi" w:hAnsiTheme="minorHAnsi" w:cstheme="minorHAnsi"/>
          <w:color w:val="444444"/>
        </w:rPr>
      </w:pPr>
      <w:r w:rsidRPr="00186524">
        <w:rPr>
          <w:rFonts w:asciiTheme="minorHAnsi" w:hAnsiTheme="minorHAnsi" w:cstheme="minorHAnsi"/>
          <w:color w:val="444444"/>
        </w:rPr>
        <w:t>The Disability and Dyslexia Service (DDS) offers support for all students with disabilities, specific learning difficulties and mental health issues at Queen Mary. We encourage applicants to disclose their needs at the point of application and to contact the DDS direct to discuss their support requirements during the admissions process. Information about disabilities, specific learning disabilities or mental health issues disclosed by applicants at the point of application does not influence the academic selection decision, which is made independently.</w:t>
      </w:r>
    </w:p>
    <w:p w14:paraId="3906FB36" w14:textId="77777777" w:rsidR="009A0C58" w:rsidRDefault="009A0C58" w:rsidP="009A0C58">
      <w:pPr>
        <w:jc w:val="both"/>
        <w:rPr>
          <w:rFonts w:asciiTheme="minorHAnsi" w:hAnsiTheme="minorHAnsi" w:cstheme="minorHAnsi"/>
          <w:b/>
          <w:color w:val="444444"/>
        </w:rPr>
      </w:pPr>
    </w:p>
    <w:p w14:paraId="5BE013CB" w14:textId="77777777" w:rsidR="009A0C58" w:rsidRPr="00186524" w:rsidRDefault="009A0C58" w:rsidP="009A0C58">
      <w:pPr>
        <w:jc w:val="both"/>
        <w:rPr>
          <w:rFonts w:asciiTheme="minorHAnsi" w:hAnsiTheme="minorHAnsi" w:cstheme="minorHAnsi"/>
          <w:b/>
          <w:color w:val="444444"/>
        </w:rPr>
      </w:pPr>
      <w:r w:rsidRPr="00186524">
        <w:rPr>
          <w:rFonts w:asciiTheme="minorHAnsi" w:hAnsiTheme="minorHAnsi" w:cstheme="minorHAnsi"/>
          <w:b/>
          <w:color w:val="444444"/>
        </w:rPr>
        <w:t>Confirmation of place</w:t>
      </w:r>
    </w:p>
    <w:p w14:paraId="3E644709" w14:textId="77777777" w:rsidR="009A0C58" w:rsidRPr="00186524" w:rsidRDefault="009A0C58" w:rsidP="009A0C58">
      <w:pPr>
        <w:jc w:val="both"/>
        <w:rPr>
          <w:rFonts w:asciiTheme="minorHAnsi" w:hAnsiTheme="minorHAnsi" w:cstheme="minorHAnsi"/>
          <w:color w:val="444444"/>
        </w:rPr>
      </w:pPr>
      <w:r w:rsidRPr="00186524">
        <w:rPr>
          <w:rFonts w:asciiTheme="minorHAnsi" w:hAnsiTheme="minorHAnsi" w:cstheme="minorHAnsi"/>
          <w:color w:val="444444"/>
        </w:rPr>
        <w:t>Applicants who are holding conditional offers will be informed of the procedure for submitting evidence that they have met their offer conditions, in the form of qualification documents or other evidence. For undergraduate applicants taking A level and other qualifications, where verified results are supplied direct to the university by UCAS, no further evidence will be required.</w:t>
      </w:r>
    </w:p>
    <w:p w14:paraId="2805FA84" w14:textId="77777777" w:rsidR="009A0C58" w:rsidRPr="00186524" w:rsidRDefault="009A0C58" w:rsidP="009A0C58">
      <w:pPr>
        <w:jc w:val="both"/>
        <w:rPr>
          <w:rFonts w:asciiTheme="minorHAnsi" w:hAnsiTheme="minorHAnsi" w:cstheme="minorHAnsi"/>
          <w:i/>
          <w:color w:val="444444"/>
        </w:rPr>
      </w:pPr>
      <w:r w:rsidRPr="00186524">
        <w:rPr>
          <w:rFonts w:asciiTheme="minorHAnsi" w:hAnsiTheme="minorHAnsi" w:cstheme="minorHAnsi"/>
          <w:color w:val="444444"/>
        </w:rPr>
        <w:t xml:space="preserve">Queen Mary matches the qualifications and grades achieved to the conditions specified in the offer. Where all offer conditions are met, the applicant’s place is confirmed. Where the applicant has fallen short of the offer conditions, Queen Mary may exercise discretion and confirm the place in line with agreed minimum thresholds for admission, subject to the availability of places.  </w:t>
      </w:r>
    </w:p>
    <w:p w14:paraId="0868500E" w14:textId="77777777" w:rsidR="009A0C58" w:rsidRDefault="009A0C58" w:rsidP="009A0C58">
      <w:pPr>
        <w:jc w:val="both"/>
        <w:rPr>
          <w:rFonts w:asciiTheme="minorHAnsi" w:hAnsiTheme="minorHAnsi" w:cstheme="minorHAnsi"/>
          <w:b/>
        </w:rPr>
      </w:pPr>
    </w:p>
    <w:p w14:paraId="24D3E21C"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FEES AND FUNDING</w:t>
      </w:r>
    </w:p>
    <w:p w14:paraId="6F960869" w14:textId="77777777" w:rsidR="009A0C58" w:rsidRDefault="009A0C58" w:rsidP="009A0C58">
      <w:pPr>
        <w:jc w:val="both"/>
        <w:rPr>
          <w:rFonts w:asciiTheme="minorHAnsi" w:hAnsiTheme="minorHAnsi" w:cstheme="minorHAnsi"/>
          <w:b/>
        </w:rPr>
      </w:pPr>
    </w:p>
    <w:p w14:paraId="69CDA5D8"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Fee status</w:t>
      </w:r>
    </w:p>
    <w:p w14:paraId="1160397F"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Fee status determines the level of university fee each applicant is required to pay for the </w:t>
      </w:r>
      <w:proofErr w:type="spellStart"/>
      <w:r w:rsidRPr="00186524">
        <w:rPr>
          <w:rFonts w:asciiTheme="minorHAnsi" w:hAnsiTheme="minorHAnsi" w:cstheme="minorHAnsi"/>
        </w:rPr>
        <w:t>programme</w:t>
      </w:r>
      <w:proofErr w:type="spellEnd"/>
      <w:r w:rsidRPr="00186524">
        <w:rPr>
          <w:rFonts w:asciiTheme="minorHAnsi" w:hAnsiTheme="minorHAnsi" w:cstheme="minorHAnsi"/>
        </w:rPr>
        <w:t xml:space="preserve"> for which they have applied. Fee status is assessed by trained Admissions staff in accordance with relevant legislation and guidance provided by the UK Council for International Student Affairs (UKCISA). Queen Mary does not exercise discretion in the application of legislation and guidance governing fee status assessment. </w:t>
      </w:r>
    </w:p>
    <w:p w14:paraId="338A7170" w14:textId="77777777" w:rsidR="009A0C58" w:rsidRDefault="009A0C58" w:rsidP="009A0C58">
      <w:pPr>
        <w:jc w:val="both"/>
        <w:rPr>
          <w:rFonts w:asciiTheme="minorHAnsi" w:hAnsiTheme="minorHAnsi" w:cstheme="minorHAnsi"/>
          <w:b/>
        </w:rPr>
      </w:pPr>
    </w:p>
    <w:p w14:paraId="612EA748"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b/>
        </w:rPr>
        <w:t>Fee deposits</w:t>
      </w:r>
    </w:p>
    <w:p w14:paraId="55D46DF1" w14:textId="10D767F0"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Where a deposit is required, </w:t>
      </w:r>
      <w:r>
        <w:rPr>
          <w:rFonts w:asciiTheme="minorHAnsi" w:hAnsiTheme="minorHAnsi" w:cstheme="minorHAnsi"/>
        </w:rPr>
        <w:t>offer holders</w:t>
      </w:r>
      <w:r w:rsidRPr="00186524">
        <w:rPr>
          <w:rFonts w:asciiTheme="minorHAnsi" w:hAnsiTheme="minorHAnsi" w:cstheme="minorHAnsi"/>
        </w:rPr>
        <w:t xml:space="preserve"> will not be permitted to proceed to enrolment until payment</w:t>
      </w:r>
      <w:r>
        <w:rPr>
          <w:rFonts w:asciiTheme="minorHAnsi" w:hAnsiTheme="minorHAnsi" w:cstheme="minorHAnsi"/>
        </w:rPr>
        <w:t xml:space="preserve"> or alternative evidence of payment</w:t>
      </w:r>
      <w:r w:rsidRPr="00186524">
        <w:rPr>
          <w:rFonts w:asciiTheme="minorHAnsi" w:hAnsiTheme="minorHAnsi" w:cstheme="minorHAnsi"/>
        </w:rPr>
        <w:t xml:space="preserve"> </w:t>
      </w:r>
      <w:r>
        <w:rPr>
          <w:rFonts w:asciiTheme="minorHAnsi" w:hAnsiTheme="minorHAnsi" w:cstheme="minorHAnsi"/>
        </w:rPr>
        <w:t xml:space="preserve">(e.g. sponsorship or scholarship letter) </w:t>
      </w:r>
      <w:r w:rsidRPr="00186524">
        <w:rPr>
          <w:rFonts w:asciiTheme="minorHAnsi" w:hAnsiTheme="minorHAnsi" w:cstheme="minorHAnsi"/>
        </w:rPr>
        <w:t xml:space="preserve">has been </w:t>
      </w:r>
      <w:proofErr w:type="gramStart"/>
      <w:r>
        <w:rPr>
          <w:rFonts w:asciiTheme="minorHAnsi" w:hAnsiTheme="minorHAnsi" w:cstheme="minorHAnsi"/>
        </w:rPr>
        <w:t>received</w:t>
      </w:r>
      <w:proofErr w:type="gramEnd"/>
    </w:p>
    <w:p w14:paraId="518A88E5" w14:textId="77777777" w:rsidR="009A0C58" w:rsidRDefault="009A0C58" w:rsidP="009A0C58">
      <w:pPr>
        <w:jc w:val="both"/>
        <w:rPr>
          <w:rFonts w:asciiTheme="minorHAnsi" w:hAnsiTheme="minorHAnsi" w:cstheme="minorHAnsi"/>
          <w:b/>
        </w:rPr>
      </w:pPr>
    </w:p>
    <w:p w14:paraId="4AB2AAEF"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Scholarships and financial support</w:t>
      </w:r>
    </w:p>
    <w:p w14:paraId="43546253"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Applicants may be required to provide evidence of scholarships or other financial support they will use to fund their studies before their place is confirmed.</w:t>
      </w:r>
    </w:p>
    <w:p w14:paraId="174CD948" w14:textId="77777777" w:rsidR="009A0C58" w:rsidRDefault="009A0C58" w:rsidP="009A0C58">
      <w:pPr>
        <w:jc w:val="both"/>
        <w:rPr>
          <w:rFonts w:asciiTheme="minorHAnsi" w:hAnsiTheme="minorHAnsi" w:cstheme="minorHAnsi"/>
          <w:b/>
        </w:rPr>
      </w:pPr>
    </w:p>
    <w:p w14:paraId="7A384B70"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t>APPLICANT DATA</w:t>
      </w:r>
    </w:p>
    <w:p w14:paraId="5CB2EEF0"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 xml:space="preserve">Data submitted by applicants as part of the application and during the admissions process is used to assess the suitability of applicants for study at the university. </w:t>
      </w:r>
      <w:proofErr w:type="spellStart"/>
      <w:r w:rsidRPr="00186524">
        <w:rPr>
          <w:rFonts w:asciiTheme="minorHAnsi" w:hAnsiTheme="minorHAnsi" w:cstheme="minorHAnsi"/>
        </w:rPr>
        <w:t>Anonymised</w:t>
      </w:r>
      <w:proofErr w:type="spellEnd"/>
      <w:r w:rsidRPr="00186524">
        <w:rPr>
          <w:rFonts w:asciiTheme="minorHAnsi" w:hAnsiTheme="minorHAnsi" w:cstheme="minorHAnsi"/>
        </w:rPr>
        <w:t xml:space="preserve"> data is used for the purposes of analysis and monitoring.</w:t>
      </w:r>
    </w:p>
    <w:p w14:paraId="578552B7" w14:textId="77777777" w:rsidR="009A0C58" w:rsidRDefault="009A0C58" w:rsidP="009A0C58">
      <w:pPr>
        <w:jc w:val="both"/>
        <w:rPr>
          <w:rFonts w:asciiTheme="minorHAnsi" w:hAnsiTheme="minorHAnsi" w:cstheme="minorHAnsi"/>
        </w:rPr>
      </w:pPr>
    </w:p>
    <w:p w14:paraId="30C3150B" w14:textId="77777777" w:rsidR="009A0C58" w:rsidRPr="00186524" w:rsidRDefault="009A0C58" w:rsidP="009A0C58">
      <w:pPr>
        <w:jc w:val="both"/>
        <w:rPr>
          <w:rFonts w:asciiTheme="minorHAnsi" w:hAnsiTheme="minorHAnsi" w:cstheme="minorHAnsi"/>
        </w:rPr>
      </w:pPr>
      <w:r w:rsidRPr="00186524">
        <w:rPr>
          <w:rFonts w:asciiTheme="minorHAnsi" w:hAnsiTheme="minorHAnsi" w:cstheme="minorHAnsi"/>
        </w:rPr>
        <w:t>Application data forms part of the student record for applicants who are admitted to the university and is transferred to the Registry after their place is confirmed. Personal data for applicants who are not admitted to the university is deleted in accordance with the university’s data retention policy.</w:t>
      </w:r>
    </w:p>
    <w:p w14:paraId="470B0350" w14:textId="77777777" w:rsidR="009A0C58" w:rsidRDefault="009A0C58" w:rsidP="009A0C58">
      <w:pPr>
        <w:jc w:val="both"/>
        <w:rPr>
          <w:rFonts w:asciiTheme="minorHAnsi" w:hAnsiTheme="minorHAnsi" w:cstheme="minorHAnsi"/>
          <w:b/>
        </w:rPr>
      </w:pPr>
    </w:p>
    <w:p w14:paraId="0C8AF65F" w14:textId="77777777" w:rsidR="009A0C58" w:rsidRPr="00186524" w:rsidRDefault="009A0C58" w:rsidP="009A0C58">
      <w:pPr>
        <w:jc w:val="both"/>
        <w:rPr>
          <w:rFonts w:asciiTheme="minorHAnsi" w:hAnsiTheme="minorHAnsi" w:cstheme="minorHAnsi"/>
          <w:b/>
        </w:rPr>
      </w:pPr>
      <w:r w:rsidRPr="00186524">
        <w:rPr>
          <w:rFonts w:asciiTheme="minorHAnsi" w:hAnsiTheme="minorHAnsi" w:cstheme="minorHAnsi"/>
          <w:b/>
        </w:rPr>
        <w:lastRenderedPageBreak/>
        <w:t>APPEALS AND COMPLAINTS</w:t>
      </w:r>
    </w:p>
    <w:p w14:paraId="4A1A59FA" w14:textId="77777777" w:rsidR="009A0C58" w:rsidRDefault="009A0C58" w:rsidP="009A0C58">
      <w:pPr>
        <w:jc w:val="both"/>
        <w:rPr>
          <w:rFonts w:asciiTheme="minorHAnsi" w:hAnsiTheme="minorHAnsi" w:cstheme="minorHAnsi"/>
        </w:rPr>
      </w:pPr>
      <w:r w:rsidRPr="00186524">
        <w:rPr>
          <w:rFonts w:asciiTheme="minorHAnsi" w:hAnsiTheme="minorHAnsi" w:cstheme="minorHAnsi"/>
        </w:rPr>
        <w:t xml:space="preserve">Queen Mary aims to consider all applications fairly, consistently and in line with our admissions policy. However, we </w:t>
      </w:r>
      <w:proofErr w:type="spellStart"/>
      <w:r w:rsidRPr="00186524">
        <w:rPr>
          <w:rFonts w:asciiTheme="minorHAnsi" w:hAnsiTheme="minorHAnsi" w:cstheme="minorHAnsi"/>
        </w:rPr>
        <w:t>recognise</w:t>
      </w:r>
      <w:proofErr w:type="spellEnd"/>
      <w:r w:rsidRPr="00186524">
        <w:rPr>
          <w:rFonts w:asciiTheme="minorHAnsi" w:hAnsiTheme="minorHAnsi" w:cstheme="minorHAnsi"/>
        </w:rPr>
        <w:t xml:space="preserve"> that there may be occasions when applicants wish to make a formal complaint about the admissions process or to appeal against a selection decision. In such cases, applicants should refer to the Queen Mary </w:t>
      </w:r>
      <w:r w:rsidRPr="00186524">
        <w:rPr>
          <w:rFonts w:asciiTheme="minorHAnsi" w:hAnsiTheme="minorHAnsi" w:cstheme="minorHAnsi"/>
          <w:i/>
          <w:color w:val="2B579A"/>
          <w:shd w:val="clear" w:color="auto" w:fill="E6E6E6"/>
        </w:rPr>
        <w:t xml:space="preserve">Admissions Appeals and Complaints </w:t>
      </w:r>
      <w:r w:rsidRPr="00186524">
        <w:rPr>
          <w:rFonts w:asciiTheme="minorHAnsi" w:hAnsiTheme="minorHAnsi" w:cstheme="minorHAnsi"/>
          <w:i/>
        </w:rPr>
        <w:t>P</w:t>
      </w:r>
      <w:r w:rsidRPr="00186524">
        <w:rPr>
          <w:rFonts w:asciiTheme="minorHAnsi" w:hAnsiTheme="minorHAnsi" w:cstheme="minorHAnsi"/>
          <w:i/>
          <w:color w:val="2B579A"/>
          <w:shd w:val="clear" w:color="auto" w:fill="E6E6E6"/>
        </w:rPr>
        <w:t>olicy</w:t>
      </w:r>
      <w:r w:rsidRPr="00186524">
        <w:rPr>
          <w:rStyle w:val="FootnoteReference"/>
          <w:rFonts w:asciiTheme="minorHAnsi" w:hAnsiTheme="minorHAnsi" w:cstheme="minorHAnsi"/>
        </w:rPr>
        <w:footnoteReference w:id="14"/>
      </w:r>
      <w:r w:rsidRPr="00186524">
        <w:rPr>
          <w:rFonts w:asciiTheme="minorHAnsi" w:hAnsiTheme="minorHAnsi" w:cstheme="minorHAnsi"/>
        </w:rPr>
        <w:t xml:space="preserve">.  </w:t>
      </w:r>
    </w:p>
    <w:p w14:paraId="6FFA9FE3" w14:textId="77777777" w:rsidR="009A0C58" w:rsidRDefault="009A0C58" w:rsidP="009A0C58">
      <w:pPr>
        <w:jc w:val="both"/>
        <w:rPr>
          <w:rFonts w:asciiTheme="minorHAnsi" w:hAnsiTheme="minorHAnsi" w:cstheme="minorHAnsi"/>
        </w:rPr>
      </w:pPr>
    </w:p>
    <w:p w14:paraId="7CD4C005" w14:textId="77777777" w:rsidR="009A0C58" w:rsidRDefault="009A0C58" w:rsidP="009A0C58">
      <w:pPr>
        <w:jc w:val="both"/>
        <w:rPr>
          <w:rFonts w:asciiTheme="minorHAnsi" w:hAnsiTheme="minorHAnsi" w:cstheme="minorHAnsi"/>
        </w:rPr>
      </w:pPr>
    </w:p>
    <w:p w14:paraId="08D78A10" w14:textId="77777777" w:rsidR="009A0C58" w:rsidRDefault="009A0C58" w:rsidP="009A0C58">
      <w:pPr>
        <w:jc w:val="both"/>
        <w:rPr>
          <w:rFonts w:asciiTheme="minorHAnsi" w:hAnsiTheme="minorHAnsi" w:cstheme="minorHAnsi"/>
        </w:rPr>
      </w:pPr>
    </w:p>
    <w:p w14:paraId="4FD8403C" w14:textId="77777777" w:rsidR="009A0C58" w:rsidRDefault="009A0C58" w:rsidP="009A0C58">
      <w:pPr>
        <w:jc w:val="both"/>
        <w:rPr>
          <w:rFonts w:asciiTheme="minorHAnsi" w:hAnsiTheme="minorHAnsi" w:cstheme="minorHAnsi"/>
        </w:rPr>
      </w:pPr>
    </w:p>
    <w:p w14:paraId="36250F05" w14:textId="77777777" w:rsidR="009A0C58" w:rsidRDefault="009A0C58" w:rsidP="009A0C58">
      <w:pPr>
        <w:jc w:val="both"/>
        <w:rPr>
          <w:rFonts w:asciiTheme="minorHAnsi" w:hAnsiTheme="minorHAnsi" w:cstheme="minorHAnsi"/>
        </w:rPr>
      </w:pPr>
    </w:p>
    <w:p w14:paraId="46BE08C2" w14:textId="77777777" w:rsidR="009A0C58" w:rsidRDefault="009A0C58" w:rsidP="009A0C58">
      <w:pPr>
        <w:jc w:val="both"/>
        <w:rPr>
          <w:rFonts w:asciiTheme="minorHAnsi" w:hAnsiTheme="minorHAnsi" w:cstheme="minorHAnsi"/>
        </w:rPr>
      </w:pPr>
    </w:p>
    <w:p w14:paraId="0362E16F" w14:textId="77777777" w:rsidR="009A0C58" w:rsidRDefault="009A0C58" w:rsidP="009A0C58">
      <w:pPr>
        <w:jc w:val="both"/>
        <w:rPr>
          <w:rFonts w:asciiTheme="minorHAnsi" w:hAnsiTheme="minorHAnsi" w:cstheme="minorHAnsi"/>
        </w:rPr>
      </w:pPr>
    </w:p>
    <w:p w14:paraId="036F0278" w14:textId="77777777" w:rsidR="009A0C58" w:rsidRDefault="009A0C58" w:rsidP="009A0C58">
      <w:pPr>
        <w:jc w:val="both"/>
        <w:rPr>
          <w:rFonts w:asciiTheme="minorHAnsi" w:hAnsiTheme="minorHAnsi" w:cstheme="minorHAnsi"/>
        </w:rPr>
      </w:pPr>
    </w:p>
    <w:tbl>
      <w:tblPr>
        <w:tblW w:w="95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05"/>
        <w:gridCol w:w="7050"/>
      </w:tblGrid>
      <w:tr w:rsidR="009A0C58" w:rsidRPr="00BC153B" w14:paraId="7A037566" w14:textId="77777777" w:rsidTr="003B71F4">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54BE7056" w14:textId="77777777" w:rsidR="009A0C58" w:rsidRPr="00BC153B" w:rsidRDefault="009A0C58" w:rsidP="003B71F4">
            <w:pPr>
              <w:spacing w:before="0" w:after="0" w:line="240" w:lineRule="auto"/>
              <w:textAlignment w:val="baseline"/>
              <w:rPr>
                <w:rFonts w:asciiTheme="minorHAnsi" w:eastAsia="Times New Roman" w:hAnsiTheme="minorHAnsi" w:cstheme="minorHAnsi"/>
                <w:color w:val="000000"/>
                <w:lang w:val="en-GB" w:eastAsia="en-GB"/>
              </w:rPr>
            </w:pPr>
            <w:r w:rsidRPr="00BC153B">
              <w:rPr>
                <w:rFonts w:asciiTheme="minorHAnsi" w:eastAsia="Times New Roman" w:hAnsiTheme="minorHAnsi" w:cstheme="minorHAnsi"/>
                <w:color w:val="404040"/>
                <w:lang w:eastAsia="en-GB"/>
              </w:rPr>
              <w:t>Policy Name:</w:t>
            </w:r>
            <w:r w:rsidRPr="00BC153B">
              <w:rPr>
                <w:rFonts w:asciiTheme="minorHAnsi" w:eastAsia="Times New Roman" w:hAnsiTheme="minorHAnsi" w:cstheme="minorHAnsi"/>
                <w:color w:val="404040"/>
                <w:lang w:val="en-GB" w:eastAsia="en-GB"/>
              </w:rPr>
              <w:t> </w:t>
            </w:r>
          </w:p>
        </w:tc>
        <w:tc>
          <w:tcPr>
            <w:tcW w:w="7050" w:type="dxa"/>
            <w:tcBorders>
              <w:top w:val="single" w:sz="6" w:space="0" w:color="auto"/>
              <w:left w:val="single" w:sz="6" w:space="0" w:color="auto"/>
              <w:bottom w:val="single" w:sz="6" w:space="0" w:color="auto"/>
              <w:right w:val="single" w:sz="6" w:space="0" w:color="auto"/>
            </w:tcBorders>
            <w:shd w:val="clear" w:color="auto" w:fill="auto"/>
            <w:hideMark/>
          </w:tcPr>
          <w:p w14:paraId="28E87CAB" w14:textId="32885B64" w:rsidR="009A0C58" w:rsidRPr="00BC153B" w:rsidRDefault="009A0C58" w:rsidP="003B71F4">
            <w:pPr>
              <w:spacing w:before="0" w:after="0" w:line="240" w:lineRule="auto"/>
              <w:textAlignment w:val="baseline"/>
              <w:rPr>
                <w:rFonts w:asciiTheme="minorHAnsi" w:eastAsia="Times New Roman" w:hAnsiTheme="minorHAnsi" w:cstheme="minorHAnsi"/>
                <w:color w:val="000000"/>
                <w:lang w:val="en-GB" w:eastAsia="en-GB"/>
              </w:rPr>
            </w:pPr>
            <w:r w:rsidRPr="00BC153B">
              <w:rPr>
                <w:rFonts w:asciiTheme="minorHAnsi" w:eastAsia="Times New Roman" w:hAnsiTheme="minorHAnsi" w:cstheme="minorHAnsi"/>
                <w:color w:val="404040"/>
                <w:lang w:val="en-GB" w:eastAsia="en-GB"/>
              </w:rPr>
              <w:t> </w:t>
            </w:r>
            <w:r>
              <w:rPr>
                <w:rFonts w:asciiTheme="minorHAnsi" w:eastAsia="Times New Roman" w:hAnsiTheme="minorHAnsi" w:cstheme="minorHAnsi"/>
                <w:color w:val="404040"/>
                <w:lang w:val="en-GB" w:eastAsia="en-GB"/>
              </w:rPr>
              <w:t xml:space="preserve">Admissions Policy </w:t>
            </w:r>
            <w:r w:rsidR="00EB7991">
              <w:rPr>
                <w:rFonts w:asciiTheme="minorHAnsi" w:eastAsia="Times New Roman" w:hAnsiTheme="minorHAnsi" w:cstheme="minorHAnsi"/>
                <w:color w:val="404040"/>
                <w:lang w:val="en-GB" w:eastAsia="en-GB"/>
              </w:rPr>
              <w:t>202</w:t>
            </w:r>
            <w:r w:rsidR="00187717">
              <w:rPr>
                <w:rFonts w:asciiTheme="minorHAnsi" w:eastAsia="Times New Roman" w:hAnsiTheme="minorHAnsi" w:cstheme="minorHAnsi"/>
                <w:color w:val="404040"/>
                <w:lang w:val="en-GB" w:eastAsia="en-GB"/>
              </w:rPr>
              <w:t>4</w:t>
            </w:r>
            <w:r w:rsidR="00EB7991">
              <w:rPr>
                <w:rFonts w:asciiTheme="minorHAnsi" w:eastAsia="Times New Roman" w:hAnsiTheme="minorHAnsi" w:cstheme="minorHAnsi"/>
                <w:color w:val="404040"/>
                <w:lang w:val="en-GB" w:eastAsia="en-GB"/>
              </w:rPr>
              <w:t>/2</w:t>
            </w:r>
            <w:r w:rsidR="00187717">
              <w:rPr>
                <w:rFonts w:asciiTheme="minorHAnsi" w:eastAsia="Times New Roman" w:hAnsiTheme="minorHAnsi" w:cstheme="minorHAnsi"/>
                <w:color w:val="404040"/>
                <w:lang w:val="en-GB" w:eastAsia="en-GB"/>
              </w:rPr>
              <w:t>5</w:t>
            </w:r>
          </w:p>
        </w:tc>
      </w:tr>
      <w:tr w:rsidR="009A0C58" w:rsidRPr="00BC153B" w14:paraId="11CAAC8B" w14:textId="77777777" w:rsidTr="003B71F4">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71BBBC9E" w14:textId="77777777" w:rsidR="009A0C58" w:rsidRPr="00BC153B" w:rsidRDefault="009A0C58" w:rsidP="003B71F4">
            <w:pPr>
              <w:spacing w:before="0" w:after="0" w:line="240" w:lineRule="auto"/>
              <w:textAlignment w:val="baseline"/>
              <w:rPr>
                <w:rFonts w:asciiTheme="minorHAnsi" w:eastAsia="Times New Roman" w:hAnsiTheme="minorHAnsi" w:cstheme="minorHAnsi"/>
                <w:color w:val="000000"/>
                <w:lang w:val="en-GB" w:eastAsia="en-GB"/>
              </w:rPr>
            </w:pPr>
            <w:r w:rsidRPr="00BC153B">
              <w:rPr>
                <w:rFonts w:asciiTheme="minorHAnsi" w:eastAsia="Times New Roman" w:hAnsiTheme="minorHAnsi" w:cstheme="minorHAnsi"/>
                <w:color w:val="404040"/>
                <w:lang w:eastAsia="en-GB"/>
              </w:rPr>
              <w:t>Policy No/Version No:</w:t>
            </w:r>
            <w:r w:rsidRPr="00BC153B">
              <w:rPr>
                <w:rFonts w:asciiTheme="minorHAnsi" w:eastAsia="Times New Roman" w:hAnsiTheme="minorHAnsi" w:cstheme="minorHAnsi"/>
                <w:color w:val="404040"/>
                <w:lang w:val="en-GB" w:eastAsia="en-GB"/>
              </w:rPr>
              <w:t> </w:t>
            </w:r>
          </w:p>
        </w:tc>
        <w:tc>
          <w:tcPr>
            <w:tcW w:w="7050" w:type="dxa"/>
            <w:tcBorders>
              <w:top w:val="single" w:sz="6" w:space="0" w:color="auto"/>
              <w:left w:val="single" w:sz="6" w:space="0" w:color="auto"/>
              <w:bottom w:val="single" w:sz="6" w:space="0" w:color="auto"/>
              <w:right w:val="single" w:sz="6" w:space="0" w:color="auto"/>
            </w:tcBorders>
            <w:shd w:val="clear" w:color="auto" w:fill="auto"/>
            <w:hideMark/>
          </w:tcPr>
          <w:p w14:paraId="4A3FEF43" w14:textId="72DC1455" w:rsidR="009A0C58" w:rsidRPr="00BC153B" w:rsidRDefault="009A0C58" w:rsidP="003B71F4">
            <w:pPr>
              <w:spacing w:before="0" w:after="0" w:line="240" w:lineRule="auto"/>
              <w:textAlignment w:val="baseline"/>
              <w:rPr>
                <w:rFonts w:asciiTheme="minorHAnsi" w:eastAsia="Times New Roman" w:hAnsiTheme="minorHAnsi" w:cstheme="minorHAnsi"/>
                <w:color w:val="000000"/>
                <w:lang w:val="en-GB" w:eastAsia="en-GB"/>
              </w:rPr>
            </w:pPr>
            <w:r w:rsidRPr="00BC153B">
              <w:rPr>
                <w:rFonts w:asciiTheme="minorHAnsi" w:eastAsia="Times New Roman" w:hAnsiTheme="minorHAnsi" w:cstheme="minorHAnsi"/>
                <w:color w:val="404040"/>
                <w:lang w:val="en-GB" w:eastAsia="en-GB"/>
              </w:rPr>
              <w:t> </w:t>
            </w:r>
            <w:r>
              <w:rPr>
                <w:rFonts w:asciiTheme="minorHAnsi" w:eastAsia="Times New Roman" w:hAnsiTheme="minorHAnsi" w:cstheme="minorHAnsi"/>
                <w:color w:val="404040"/>
                <w:lang w:val="en-GB" w:eastAsia="en-GB"/>
              </w:rPr>
              <w:t>Admissions Policy 202</w:t>
            </w:r>
            <w:r w:rsidR="0046575E">
              <w:rPr>
                <w:rFonts w:asciiTheme="minorHAnsi" w:eastAsia="Times New Roman" w:hAnsiTheme="minorHAnsi" w:cstheme="minorHAnsi"/>
                <w:color w:val="404040"/>
                <w:lang w:val="en-GB" w:eastAsia="en-GB"/>
              </w:rPr>
              <w:t>4</w:t>
            </w:r>
            <w:r>
              <w:rPr>
                <w:rFonts w:asciiTheme="minorHAnsi" w:eastAsia="Times New Roman" w:hAnsiTheme="minorHAnsi" w:cstheme="minorHAnsi"/>
                <w:color w:val="404040"/>
                <w:lang w:val="en-GB" w:eastAsia="en-GB"/>
              </w:rPr>
              <w:t>/2</w:t>
            </w:r>
            <w:r w:rsidR="0046575E">
              <w:rPr>
                <w:rFonts w:asciiTheme="minorHAnsi" w:eastAsia="Times New Roman" w:hAnsiTheme="minorHAnsi" w:cstheme="minorHAnsi"/>
                <w:color w:val="404040"/>
                <w:lang w:val="en-GB" w:eastAsia="en-GB"/>
              </w:rPr>
              <w:t>5</w:t>
            </w:r>
          </w:p>
        </w:tc>
      </w:tr>
      <w:tr w:rsidR="009A0C58" w:rsidRPr="00BC153B" w14:paraId="5CD442B4" w14:textId="77777777" w:rsidTr="003B71F4">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274A03C0" w14:textId="77777777" w:rsidR="009A0C58" w:rsidRPr="00BC153B" w:rsidRDefault="009A0C58" w:rsidP="003B71F4">
            <w:pPr>
              <w:spacing w:before="0" w:after="0" w:line="240" w:lineRule="auto"/>
              <w:textAlignment w:val="baseline"/>
              <w:rPr>
                <w:rFonts w:asciiTheme="minorHAnsi" w:eastAsia="Times New Roman" w:hAnsiTheme="minorHAnsi" w:cstheme="minorHAnsi"/>
                <w:color w:val="000000"/>
                <w:lang w:val="en-GB" w:eastAsia="en-GB"/>
              </w:rPr>
            </w:pPr>
            <w:r w:rsidRPr="00BC153B">
              <w:rPr>
                <w:rFonts w:asciiTheme="minorHAnsi" w:eastAsia="Times New Roman" w:hAnsiTheme="minorHAnsi" w:cstheme="minorHAnsi"/>
                <w:color w:val="404040"/>
                <w:lang w:eastAsia="en-GB"/>
              </w:rPr>
              <w:t>Author/Owner:</w:t>
            </w:r>
            <w:r w:rsidRPr="00BC153B">
              <w:rPr>
                <w:rFonts w:asciiTheme="minorHAnsi" w:eastAsia="Times New Roman" w:hAnsiTheme="minorHAnsi" w:cstheme="minorHAnsi"/>
                <w:color w:val="404040"/>
                <w:lang w:val="en-GB" w:eastAsia="en-GB"/>
              </w:rPr>
              <w:t> </w:t>
            </w:r>
          </w:p>
        </w:tc>
        <w:tc>
          <w:tcPr>
            <w:tcW w:w="7050" w:type="dxa"/>
            <w:tcBorders>
              <w:top w:val="single" w:sz="6" w:space="0" w:color="auto"/>
              <w:left w:val="single" w:sz="6" w:space="0" w:color="auto"/>
              <w:bottom w:val="single" w:sz="6" w:space="0" w:color="auto"/>
              <w:right w:val="single" w:sz="6" w:space="0" w:color="auto"/>
            </w:tcBorders>
            <w:shd w:val="clear" w:color="auto" w:fill="auto"/>
            <w:hideMark/>
          </w:tcPr>
          <w:p w14:paraId="5D7E9984" w14:textId="77777777" w:rsidR="009A0C58" w:rsidRPr="00BC153B" w:rsidRDefault="009A0C58" w:rsidP="003B71F4">
            <w:pPr>
              <w:spacing w:before="0" w:after="0" w:line="240" w:lineRule="auto"/>
              <w:textAlignment w:val="baseline"/>
              <w:rPr>
                <w:rFonts w:asciiTheme="minorHAnsi" w:eastAsia="Times New Roman" w:hAnsiTheme="minorHAnsi" w:cstheme="minorHAnsi"/>
                <w:color w:val="000000"/>
                <w:lang w:val="en-GB" w:eastAsia="en-GB"/>
              </w:rPr>
            </w:pPr>
            <w:r w:rsidRPr="00BC153B">
              <w:rPr>
                <w:rFonts w:asciiTheme="minorHAnsi" w:eastAsia="Times New Roman" w:hAnsiTheme="minorHAnsi" w:cstheme="minorHAnsi"/>
                <w:color w:val="404040"/>
                <w:lang w:val="en-GB" w:eastAsia="en-GB"/>
              </w:rPr>
              <w:t> </w:t>
            </w:r>
            <w:r>
              <w:rPr>
                <w:rFonts w:asciiTheme="minorHAnsi" w:eastAsia="Times New Roman" w:hAnsiTheme="minorHAnsi" w:cstheme="minorHAnsi"/>
                <w:color w:val="404040"/>
                <w:lang w:val="en-GB" w:eastAsia="en-GB"/>
              </w:rPr>
              <w:t xml:space="preserve">Director of Admissions, </w:t>
            </w:r>
            <w:r w:rsidRPr="00C34489">
              <w:rPr>
                <w:rFonts w:asciiTheme="minorHAnsi" w:eastAsia="Times New Roman" w:hAnsiTheme="minorHAnsi" w:cstheme="minorHAnsi"/>
                <w:color w:val="404040"/>
                <w:lang w:val="en-GB" w:eastAsia="en-GB"/>
              </w:rPr>
              <w:t>Central Admissions</w:t>
            </w:r>
            <w:r>
              <w:rPr>
                <w:rFonts w:asciiTheme="minorHAnsi" w:eastAsia="Times New Roman" w:hAnsiTheme="minorHAnsi" w:cstheme="minorHAnsi"/>
                <w:color w:val="404040"/>
                <w:lang w:val="en-GB" w:eastAsia="en-GB"/>
              </w:rPr>
              <w:t xml:space="preserve"> Office</w:t>
            </w:r>
          </w:p>
        </w:tc>
      </w:tr>
      <w:tr w:rsidR="009A0C58" w:rsidRPr="00BC153B" w14:paraId="2AD7B5CE" w14:textId="77777777" w:rsidTr="003B71F4">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560FE6DB" w14:textId="77777777" w:rsidR="009A0C58" w:rsidRPr="00BC153B" w:rsidRDefault="009A0C58" w:rsidP="003B71F4">
            <w:pPr>
              <w:spacing w:before="0" w:after="0" w:line="240" w:lineRule="auto"/>
              <w:textAlignment w:val="baseline"/>
              <w:rPr>
                <w:rFonts w:asciiTheme="minorHAnsi" w:eastAsia="Times New Roman" w:hAnsiTheme="minorHAnsi" w:cstheme="minorHAnsi"/>
                <w:color w:val="000000"/>
                <w:lang w:val="en-GB" w:eastAsia="en-GB"/>
              </w:rPr>
            </w:pPr>
            <w:r w:rsidRPr="00BC153B">
              <w:rPr>
                <w:rFonts w:asciiTheme="minorHAnsi" w:eastAsia="Times New Roman" w:hAnsiTheme="minorHAnsi" w:cstheme="minorHAnsi"/>
                <w:color w:val="404040"/>
                <w:lang w:eastAsia="en-GB"/>
              </w:rPr>
              <w:t>Approved By:</w:t>
            </w:r>
            <w:r w:rsidRPr="00BC153B">
              <w:rPr>
                <w:rFonts w:asciiTheme="minorHAnsi" w:eastAsia="Times New Roman" w:hAnsiTheme="minorHAnsi" w:cstheme="minorHAnsi"/>
                <w:color w:val="404040"/>
                <w:lang w:val="en-GB" w:eastAsia="en-GB"/>
              </w:rPr>
              <w:t> </w:t>
            </w:r>
          </w:p>
        </w:tc>
        <w:tc>
          <w:tcPr>
            <w:tcW w:w="7050" w:type="dxa"/>
            <w:tcBorders>
              <w:top w:val="single" w:sz="6" w:space="0" w:color="auto"/>
              <w:left w:val="single" w:sz="6" w:space="0" w:color="auto"/>
              <w:bottom w:val="single" w:sz="6" w:space="0" w:color="auto"/>
              <w:right w:val="single" w:sz="6" w:space="0" w:color="auto"/>
            </w:tcBorders>
            <w:shd w:val="clear" w:color="auto" w:fill="auto"/>
            <w:hideMark/>
          </w:tcPr>
          <w:p w14:paraId="3B1835E0" w14:textId="6686022F" w:rsidR="009A0C58" w:rsidRPr="00BC153B" w:rsidRDefault="009A0C58" w:rsidP="003B71F4">
            <w:pPr>
              <w:tabs>
                <w:tab w:val="left" w:pos="300"/>
                <w:tab w:val="center" w:pos="3517"/>
              </w:tabs>
              <w:spacing w:before="0" w:after="0" w:line="240" w:lineRule="auto"/>
              <w:textAlignment w:val="baseline"/>
              <w:rPr>
                <w:rFonts w:asciiTheme="minorHAnsi" w:eastAsia="Times New Roman" w:hAnsiTheme="minorHAnsi" w:cstheme="minorHAnsi"/>
                <w:color w:val="000000"/>
                <w:lang w:val="en-GB" w:eastAsia="en-GB"/>
              </w:rPr>
            </w:pPr>
            <w:r>
              <w:rPr>
                <w:rFonts w:asciiTheme="minorHAnsi" w:eastAsia="Times New Roman" w:hAnsiTheme="minorHAnsi" w:cstheme="minorHAnsi"/>
                <w:color w:val="404040"/>
                <w:lang w:eastAsia="en-GB"/>
              </w:rPr>
              <w:t xml:space="preserve"> </w:t>
            </w:r>
            <w:r w:rsidR="0046575E">
              <w:rPr>
                <w:rFonts w:asciiTheme="minorHAnsi" w:eastAsia="Times New Roman" w:hAnsiTheme="minorHAnsi" w:cstheme="minorHAnsi"/>
                <w:color w:val="404040"/>
                <w:lang w:eastAsia="en-GB"/>
              </w:rPr>
              <w:t>E</w:t>
            </w:r>
            <w:r w:rsidR="00CB53AC">
              <w:rPr>
                <w:rFonts w:asciiTheme="minorHAnsi" w:eastAsia="Times New Roman" w:hAnsiTheme="minorHAnsi" w:cstheme="minorHAnsi"/>
                <w:color w:val="404040"/>
                <w:lang w:eastAsia="en-GB"/>
              </w:rPr>
              <w:t>ducation and E</w:t>
            </w:r>
            <w:r w:rsidR="0046575E">
              <w:rPr>
                <w:rFonts w:asciiTheme="minorHAnsi" w:eastAsia="Times New Roman" w:hAnsiTheme="minorHAnsi" w:cstheme="minorHAnsi"/>
                <w:color w:val="404040"/>
                <w:lang w:eastAsia="en-GB"/>
              </w:rPr>
              <w:t>quality Standard</w:t>
            </w:r>
            <w:r w:rsidR="00CB53AC">
              <w:rPr>
                <w:rFonts w:asciiTheme="minorHAnsi" w:eastAsia="Times New Roman" w:hAnsiTheme="minorHAnsi" w:cstheme="minorHAnsi"/>
                <w:color w:val="404040"/>
                <w:lang w:eastAsia="en-GB"/>
              </w:rPr>
              <w:t xml:space="preserve"> Board (EQSB) and </w:t>
            </w:r>
            <w:r>
              <w:rPr>
                <w:rFonts w:asciiTheme="minorHAnsi" w:eastAsia="Times New Roman" w:hAnsiTheme="minorHAnsi" w:cstheme="minorHAnsi"/>
                <w:color w:val="404040"/>
                <w:lang w:eastAsia="en-GB"/>
              </w:rPr>
              <w:t>Senate</w:t>
            </w:r>
            <w:r w:rsidRPr="00C34489">
              <w:rPr>
                <w:rFonts w:asciiTheme="minorHAnsi" w:eastAsia="Times New Roman" w:hAnsiTheme="minorHAnsi" w:cstheme="minorHAnsi"/>
                <w:color w:val="404040"/>
                <w:lang w:eastAsia="en-GB"/>
              </w:rPr>
              <w:tab/>
              <w:t xml:space="preserve">                                                  </w:t>
            </w:r>
          </w:p>
        </w:tc>
      </w:tr>
      <w:tr w:rsidR="009A0C58" w:rsidRPr="00C34489" w14:paraId="566BAAA1" w14:textId="77777777" w:rsidTr="003B71F4">
        <w:tc>
          <w:tcPr>
            <w:tcW w:w="2505" w:type="dxa"/>
            <w:tcBorders>
              <w:top w:val="single" w:sz="6" w:space="0" w:color="auto"/>
              <w:left w:val="single" w:sz="6" w:space="0" w:color="auto"/>
              <w:bottom w:val="single" w:sz="6" w:space="0" w:color="auto"/>
              <w:right w:val="single" w:sz="6" w:space="0" w:color="auto"/>
            </w:tcBorders>
            <w:shd w:val="clear" w:color="auto" w:fill="auto"/>
          </w:tcPr>
          <w:p w14:paraId="30667B1A" w14:textId="77777777" w:rsidR="009A0C58" w:rsidRPr="00C34489" w:rsidRDefault="009A0C58" w:rsidP="003B71F4">
            <w:pPr>
              <w:spacing w:before="0" w:after="0" w:line="240" w:lineRule="auto"/>
              <w:textAlignment w:val="baseline"/>
              <w:rPr>
                <w:rFonts w:asciiTheme="minorHAnsi" w:eastAsia="Times New Roman" w:hAnsiTheme="minorHAnsi" w:cstheme="minorHAnsi"/>
                <w:color w:val="404040"/>
                <w:lang w:eastAsia="en-GB"/>
              </w:rPr>
            </w:pPr>
            <w:r w:rsidRPr="00C34489">
              <w:rPr>
                <w:rFonts w:asciiTheme="minorHAnsi" w:eastAsia="Times New Roman" w:hAnsiTheme="minorHAnsi" w:cstheme="minorHAnsi"/>
                <w:color w:val="404040"/>
                <w:lang w:eastAsia="en-GB"/>
              </w:rPr>
              <w:t>Date of Last Revision</w:t>
            </w:r>
          </w:p>
        </w:tc>
        <w:tc>
          <w:tcPr>
            <w:tcW w:w="7050" w:type="dxa"/>
            <w:tcBorders>
              <w:top w:val="single" w:sz="6" w:space="0" w:color="auto"/>
              <w:left w:val="single" w:sz="6" w:space="0" w:color="auto"/>
              <w:bottom w:val="single" w:sz="6" w:space="0" w:color="auto"/>
              <w:right w:val="single" w:sz="6" w:space="0" w:color="auto"/>
            </w:tcBorders>
            <w:shd w:val="clear" w:color="auto" w:fill="auto"/>
          </w:tcPr>
          <w:p w14:paraId="668D510F" w14:textId="53DED290" w:rsidR="009A0C58" w:rsidRPr="00C34489" w:rsidRDefault="009A0C58" w:rsidP="003B71F4">
            <w:pPr>
              <w:tabs>
                <w:tab w:val="left" w:pos="300"/>
                <w:tab w:val="center" w:pos="3517"/>
              </w:tabs>
              <w:spacing w:before="0" w:after="0" w:line="240" w:lineRule="auto"/>
              <w:textAlignment w:val="baseline"/>
              <w:rPr>
                <w:rFonts w:asciiTheme="minorHAnsi" w:eastAsia="Times New Roman" w:hAnsiTheme="minorHAnsi" w:cstheme="minorHAnsi"/>
                <w:color w:val="404040"/>
                <w:lang w:eastAsia="en-GB"/>
              </w:rPr>
            </w:pPr>
            <w:r w:rsidRPr="00C34489">
              <w:rPr>
                <w:rFonts w:asciiTheme="minorHAnsi" w:eastAsia="Times New Roman" w:hAnsiTheme="minorHAnsi" w:cstheme="minorHAnsi"/>
                <w:color w:val="404040"/>
                <w:lang w:eastAsia="en-GB"/>
              </w:rPr>
              <w:t xml:space="preserve"> </w:t>
            </w:r>
            <w:r>
              <w:rPr>
                <w:rFonts w:asciiTheme="minorHAnsi" w:eastAsia="Times New Roman" w:hAnsiTheme="minorHAnsi" w:cstheme="minorHAnsi"/>
                <w:color w:val="404040"/>
                <w:lang w:eastAsia="en-GB"/>
              </w:rPr>
              <w:t>June</w:t>
            </w:r>
            <w:r w:rsidRPr="00C34489">
              <w:rPr>
                <w:rFonts w:asciiTheme="minorHAnsi" w:eastAsia="Times New Roman" w:hAnsiTheme="minorHAnsi" w:cstheme="minorHAnsi"/>
                <w:color w:val="404040"/>
                <w:lang w:eastAsia="en-GB"/>
              </w:rPr>
              <w:t xml:space="preserve"> 202</w:t>
            </w:r>
            <w:r w:rsidR="00CB53AC">
              <w:rPr>
                <w:rFonts w:asciiTheme="minorHAnsi" w:eastAsia="Times New Roman" w:hAnsiTheme="minorHAnsi" w:cstheme="minorHAnsi"/>
                <w:color w:val="404040"/>
                <w:lang w:eastAsia="en-GB"/>
              </w:rPr>
              <w:t>3</w:t>
            </w:r>
          </w:p>
        </w:tc>
      </w:tr>
      <w:tr w:rsidR="009A0C58" w:rsidRPr="00BC153B" w14:paraId="6DC29D89" w14:textId="77777777" w:rsidTr="003B71F4">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7B7DB7D4" w14:textId="77777777" w:rsidR="009A0C58" w:rsidRPr="00BC153B" w:rsidRDefault="009A0C58" w:rsidP="003B71F4">
            <w:pPr>
              <w:spacing w:before="0" w:after="0" w:line="240" w:lineRule="auto"/>
              <w:textAlignment w:val="baseline"/>
              <w:rPr>
                <w:rFonts w:asciiTheme="minorHAnsi" w:eastAsia="Times New Roman" w:hAnsiTheme="minorHAnsi" w:cstheme="minorHAnsi"/>
                <w:color w:val="000000"/>
                <w:lang w:val="en-GB" w:eastAsia="en-GB"/>
              </w:rPr>
            </w:pPr>
            <w:r w:rsidRPr="00BC153B">
              <w:rPr>
                <w:rFonts w:asciiTheme="minorHAnsi" w:eastAsia="Times New Roman" w:hAnsiTheme="minorHAnsi" w:cstheme="minorHAnsi"/>
                <w:color w:val="404040"/>
                <w:lang w:eastAsia="en-GB"/>
              </w:rPr>
              <w:t>Next Review Date:</w:t>
            </w:r>
            <w:r w:rsidRPr="00BC153B">
              <w:rPr>
                <w:rFonts w:asciiTheme="minorHAnsi" w:eastAsia="Times New Roman" w:hAnsiTheme="minorHAnsi" w:cstheme="minorHAnsi"/>
                <w:color w:val="404040"/>
                <w:lang w:val="en-GB" w:eastAsia="en-GB"/>
              </w:rPr>
              <w:t> </w:t>
            </w:r>
          </w:p>
        </w:tc>
        <w:tc>
          <w:tcPr>
            <w:tcW w:w="7050" w:type="dxa"/>
            <w:tcBorders>
              <w:top w:val="single" w:sz="6" w:space="0" w:color="auto"/>
              <w:left w:val="single" w:sz="6" w:space="0" w:color="auto"/>
              <w:bottom w:val="single" w:sz="6" w:space="0" w:color="auto"/>
              <w:right w:val="single" w:sz="6" w:space="0" w:color="auto"/>
            </w:tcBorders>
            <w:shd w:val="clear" w:color="auto" w:fill="auto"/>
            <w:hideMark/>
          </w:tcPr>
          <w:p w14:paraId="21023BF3" w14:textId="56F39CA3" w:rsidR="009A0C58" w:rsidRPr="00BC153B" w:rsidRDefault="009A0C58" w:rsidP="003B71F4">
            <w:pPr>
              <w:spacing w:before="0" w:after="0" w:line="240" w:lineRule="auto"/>
              <w:textAlignment w:val="baseline"/>
              <w:rPr>
                <w:rFonts w:asciiTheme="minorHAnsi" w:eastAsia="Times New Roman" w:hAnsiTheme="minorHAnsi" w:cstheme="minorHAnsi"/>
                <w:color w:val="000000"/>
                <w:lang w:val="en-GB" w:eastAsia="en-GB"/>
              </w:rPr>
            </w:pPr>
            <w:r w:rsidRPr="00BC153B">
              <w:rPr>
                <w:rFonts w:asciiTheme="minorHAnsi" w:eastAsia="Times New Roman" w:hAnsiTheme="minorHAnsi" w:cstheme="minorHAnsi"/>
                <w:color w:val="404040"/>
                <w:lang w:val="en-GB" w:eastAsia="en-GB"/>
              </w:rPr>
              <w:t> </w:t>
            </w:r>
            <w:r>
              <w:rPr>
                <w:rFonts w:asciiTheme="minorHAnsi" w:eastAsia="Times New Roman" w:hAnsiTheme="minorHAnsi" w:cstheme="minorHAnsi"/>
                <w:color w:val="404040"/>
                <w:lang w:val="en-GB" w:eastAsia="en-GB"/>
              </w:rPr>
              <w:t>June</w:t>
            </w:r>
            <w:r w:rsidRPr="00C34489">
              <w:rPr>
                <w:rFonts w:asciiTheme="minorHAnsi" w:eastAsia="Times New Roman" w:hAnsiTheme="minorHAnsi" w:cstheme="minorHAnsi"/>
                <w:color w:val="404040"/>
                <w:lang w:val="en-GB" w:eastAsia="en-GB"/>
              </w:rPr>
              <w:t xml:space="preserve"> 202</w:t>
            </w:r>
            <w:r w:rsidR="00CB53AC">
              <w:rPr>
                <w:rFonts w:asciiTheme="minorHAnsi" w:eastAsia="Times New Roman" w:hAnsiTheme="minorHAnsi" w:cstheme="minorHAnsi"/>
                <w:color w:val="404040"/>
                <w:lang w:val="en-GB" w:eastAsia="en-GB"/>
              </w:rPr>
              <w:t>4</w:t>
            </w:r>
          </w:p>
        </w:tc>
      </w:tr>
      <w:tr w:rsidR="009A0C58" w:rsidRPr="00BC153B" w14:paraId="661CEAF1" w14:textId="77777777" w:rsidTr="003B71F4">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5E227CD1" w14:textId="77777777" w:rsidR="009A0C58" w:rsidRPr="00BC153B" w:rsidRDefault="009A0C58" w:rsidP="003B71F4">
            <w:pPr>
              <w:spacing w:before="0" w:after="0" w:line="240" w:lineRule="auto"/>
              <w:textAlignment w:val="baseline"/>
              <w:rPr>
                <w:rFonts w:asciiTheme="minorHAnsi" w:eastAsia="Times New Roman" w:hAnsiTheme="minorHAnsi" w:cstheme="minorHAnsi"/>
                <w:color w:val="000000"/>
                <w:lang w:val="en-GB" w:eastAsia="en-GB"/>
              </w:rPr>
            </w:pPr>
            <w:r w:rsidRPr="00BC153B">
              <w:rPr>
                <w:rFonts w:asciiTheme="minorHAnsi" w:eastAsia="Times New Roman" w:hAnsiTheme="minorHAnsi" w:cstheme="minorHAnsi"/>
                <w:color w:val="404040"/>
                <w:lang w:eastAsia="en-GB"/>
              </w:rPr>
              <w:t>Related Documents:</w:t>
            </w:r>
            <w:r w:rsidRPr="00BC153B">
              <w:rPr>
                <w:rFonts w:asciiTheme="minorHAnsi" w:eastAsia="Times New Roman" w:hAnsiTheme="minorHAnsi" w:cstheme="minorHAnsi"/>
                <w:color w:val="404040"/>
                <w:lang w:val="en-GB" w:eastAsia="en-GB"/>
              </w:rPr>
              <w:t> </w:t>
            </w:r>
          </w:p>
        </w:tc>
        <w:tc>
          <w:tcPr>
            <w:tcW w:w="7050" w:type="dxa"/>
            <w:tcBorders>
              <w:top w:val="single" w:sz="6" w:space="0" w:color="auto"/>
              <w:left w:val="single" w:sz="6" w:space="0" w:color="auto"/>
              <w:bottom w:val="single" w:sz="6" w:space="0" w:color="auto"/>
              <w:right w:val="single" w:sz="6" w:space="0" w:color="auto"/>
            </w:tcBorders>
            <w:shd w:val="clear" w:color="auto" w:fill="auto"/>
            <w:hideMark/>
          </w:tcPr>
          <w:p w14:paraId="6C1B3511" w14:textId="77777777" w:rsidR="009A0C58" w:rsidRDefault="009A0C58" w:rsidP="003B71F4">
            <w:pPr>
              <w:tabs>
                <w:tab w:val="center" w:pos="3517"/>
              </w:tabs>
              <w:spacing w:before="0" w:after="0" w:line="240" w:lineRule="auto"/>
              <w:textAlignment w:val="baseline"/>
              <w:rPr>
                <w:rFonts w:asciiTheme="minorHAnsi" w:eastAsia="Times New Roman" w:hAnsiTheme="minorHAnsi" w:cstheme="minorHAnsi"/>
                <w:color w:val="000000"/>
                <w:lang w:val="en-GB" w:eastAsia="en-GB"/>
              </w:rPr>
            </w:pPr>
            <w:r w:rsidRPr="00C34489">
              <w:rPr>
                <w:rFonts w:asciiTheme="minorHAnsi" w:eastAsia="Times New Roman" w:hAnsiTheme="minorHAnsi" w:cstheme="minorHAnsi"/>
                <w:color w:val="404040"/>
                <w:lang w:val="en-GB" w:eastAsia="en-GB"/>
              </w:rPr>
              <w:t xml:space="preserve"> </w:t>
            </w:r>
            <w:hyperlink r:id="rId25" w:history="1">
              <w:r w:rsidRPr="009D52DA">
                <w:rPr>
                  <w:rStyle w:val="Hyperlink"/>
                  <w:rFonts w:asciiTheme="minorHAnsi" w:eastAsia="Times New Roman" w:hAnsiTheme="minorHAnsi" w:cstheme="minorHAnsi"/>
                  <w:lang w:val="en-GB" w:eastAsia="en-GB"/>
                </w:rPr>
                <w:t>Policy zone</w:t>
              </w:r>
            </w:hyperlink>
          </w:p>
          <w:p w14:paraId="6ACFB087" w14:textId="77777777" w:rsidR="009A0C58" w:rsidRDefault="009A0C58" w:rsidP="003B71F4">
            <w:pPr>
              <w:tabs>
                <w:tab w:val="center" w:pos="3517"/>
              </w:tabs>
              <w:spacing w:before="0" w:after="0" w:line="240" w:lineRule="auto"/>
              <w:textAlignment w:val="baseline"/>
              <w:rPr>
                <w:rFonts w:asciiTheme="minorHAnsi" w:eastAsia="Times New Roman" w:hAnsiTheme="minorHAnsi" w:cstheme="minorHAnsi"/>
                <w:color w:val="000000"/>
                <w:lang w:val="en-GB" w:eastAsia="en-GB"/>
              </w:rPr>
            </w:pPr>
            <w:r w:rsidRPr="00C34489">
              <w:rPr>
                <w:rFonts w:asciiTheme="minorHAnsi" w:eastAsia="Times New Roman" w:hAnsiTheme="minorHAnsi" w:cstheme="minorHAnsi"/>
                <w:color w:val="404040"/>
                <w:lang w:val="en-GB" w:eastAsia="en-GB"/>
              </w:rPr>
              <w:t xml:space="preserve">Admissions Appeals and Complaints Policy - </w:t>
            </w:r>
            <w:hyperlink r:id="rId26" w:history="1">
              <w:r w:rsidRPr="00C34489">
                <w:rPr>
                  <w:rStyle w:val="Hyperlink"/>
                  <w:rFonts w:asciiTheme="minorHAnsi" w:eastAsia="Times New Roman" w:hAnsiTheme="minorHAnsi" w:cstheme="minorHAnsi"/>
                  <w:lang w:val="en-GB" w:eastAsia="en-GB"/>
                </w:rPr>
                <w:t>http://arcs.qmul.ac.uk/policy/</w:t>
              </w:r>
            </w:hyperlink>
          </w:p>
          <w:p w14:paraId="3CB425DA" w14:textId="77777777" w:rsidR="009A0C58" w:rsidRPr="00BC153B" w:rsidRDefault="009A0C58" w:rsidP="003B71F4">
            <w:pPr>
              <w:spacing w:before="0" w:after="0" w:line="240" w:lineRule="auto"/>
              <w:textAlignment w:val="baseline"/>
              <w:rPr>
                <w:rFonts w:asciiTheme="minorHAnsi" w:eastAsia="Times New Roman" w:hAnsiTheme="minorHAnsi" w:cstheme="minorHAnsi"/>
                <w:color w:val="000000"/>
                <w:lang w:val="en-GB" w:eastAsia="en-GB"/>
              </w:rPr>
            </w:pPr>
          </w:p>
        </w:tc>
      </w:tr>
    </w:tbl>
    <w:p w14:paraId="7E6E1C14" w14:textId="77777777" w:rsidR="009A0C58" w:rsidRPr="00186524" w:rsidRDefault="009A0C58" w:rsidP="009A0C58">
      <w:pPr>
        <w:jc w:val="both"/>
        <w:rPr>
          <w:rFonts w:asciiTheme="minorHAnsi" w:hAnsiTheme="minorHAnsi" w:cstheme="minorHAnsi"/>
        </w:rPr>
      </w:pPr>
    </w:p>
    <w:p w14:paraId="08086C3C" w14:textId="5CC81CCB" w:rsidR="00B113E8" w:rsidRDefault="00B113E8">
      <w:pPr>
        <w:spacing w:before="0" w:after="200"/>
      </w:pPr>
    </w:p>
    <w:p w14:paraId="23F9FF18" w14:textId="77777777" w:rsidR="00F27B60" w:rsidRDefault="00F27B60">
      <w:pPr>
        <w:spacing w:after="200"/>
      </w:pPr>
      <w:bookmarkStart w:id="3" w:name="_Toc290225029"/>
    </w:p>
    <w:bookmarkEnd w:id="3"/>
    <w:p w14:paraId="28814050" w14:textId="77777777" w:rsidR="00B113E8" w:rsidRDefault="00B113E8">
      <w:pPr>
        <w:pStyle w:val="NoSpacing"/>
      </w:pPr>
    </w:p>
    <w:p w14:paraId="2F467C8C" w14:textId="77777777" w:rsidR="00053E6F" w:rsidRDefault="00053E6F" w:rsidP="00F27B60">
      <w:pPr>
        <w:spacing w:before="0" w:after="200"/>
        <w:sectPr w:rsidR="00053E6F" w:rsidSect="004D36FA">
          <w:headerReference w:type="default" r:id="rId27"/>
          <w:headerReference w:type="first" r:id="rId28"/>
          <w:pgSz w:w="11907" w:h="16840" w:code="1"/>
          <w:pgMar w:top="1985" w:right="1077" w:bottom="720" w:left="1077" w:header="851" w:footer="567" w:gutter="0"/>
          <w:cols w:space="720"/>
          <w:docGrid w:linePitch="360"/>
        </w:sectPr>
      </w:pPr>
    </w:p>
    <w:p w14:paraId="25676462" w14:textId="7CBD4784" w:rsidR="00AF3370" w:rsidRDefault="00AF3370" w:rsidP="00AF3370">
      <w:pPr>
        <w:pStyle w:val="Notice"/>
        <w:rPr>
          <w:rFonts w:eastAsiaTheme="minorEastAsia" w:cs="Arial"/>
          <w:i w:val="0"/>
          <w:iCs/>
          <w:noProof/>
          <w:color w:val="FFFFFF" w:themeColor="background1"/>
          <w:sz w:val="20"/>
          <w:szCs w:val="20"/>
          <w:lang w:eastAsia="en-GB"/>
        </w:rPr>
      </w:pPr>
      <w:r w:rsidRPr="00AF3370">
        <w:rPr>
          <w:i w:val="0"/>
          <w:iCs/>
          <w:noProof/>
          <w:sz w:val="20"/>
          <w:szCs w:val="20"/>
          <w:lang w:val="en-GB" w:eastAsia="en-GB"/>
        </w:rPr>
        <w:lastRenderedPageBreak/>
        <w:drawing>
          <wp:anchor distT="0" distB="0" distL="114300" distR="114300" simplePos="0" relativeHeight="251669504" behindDoc="0" locked="0" layoutInCell="1" allowOverlap="1" wp14:anchorId="39DA7C95" wp14:editId="41EAFE05">
            <wp:simplePos x="0" y="0"/>
            <wp:positionH relativeFrom="column">
              <wp:posOffset>0</wp:posOffset>
            </wp:positionH>
            <wp:positionV relativeFrom="paragraph">
              <wp:posOffset>-895512</wp:posOffset>
            </wp:positionV>
            <wp:extent cx="2481580" cy="661670"/>
            <wp:effectExtent l="0" t="0" r="0" b="508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033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81580" cy="661670"/>
                    </a:xfrm>
                    <a:prstGeom prst="rect">
                      <a:avLst/>
                    </a:prstGeom>
                  </pic:spPr>
                </pic:pic>
              </a:graphicData>
            </a:graphic>
            <wp14:sizeRelH relativeFrom="page">
              <wp14:pctWidth>0</wp14:pctWidth>
            </wp14:sizeRelH>
            <wp14:sizeRelV relativeFrom="page">
              <wp14:pctHeight>0</wp14:pctHeight>
            </wp14:sizeRelV>
          </wp:anchor>
        </w:drawing>
      </w:r>
    </w:p>
    <w:p w14:paraId="53F868F6" w14:textId="42D1DBA7" w:rsidR="00AF3370" w:rsidRDefault="00AF3370" w:rsidP="00AF3370">
      <w:pPr>
        <w:pStyle w:val="Notice"/>
        <w:rPr>
          <w:rFonts w:eastAsiaTheme="minorEastAsia" w:cs="Arial"/>
          <w:i w:val="0"/>
          <w:iCs/>
          <w:noProof/>
          <w:color w:val="FFFFFF" w:themeColor="background1"/>
          <w:sz w:val="20"/>
          <w:szCs w:val="20"/>
          <w:lang w:eastAsia="en-GB"/>
        </w:rPr>
      </w:pPr>
    </w:p>
    <w:p w14:paraId="4B19A3A7" w14:textId="07D95A92" w:rsidR="00AF3370" w:rsidRDefault="00AF3370" w:rsidP="00AF3370">
      <w:pPr>
        <w:pStyle w:val="Notice"/>
        <w:rPr>
          <w:rFonts w:eastAsiaTheme="minorEastAsia" w:cs="Arial"/>
          <w:i w:val="0"/>
          <w:iCs/>
          <w:noProof/>
          <w:color w:val="FFFFFF" w:themeColor="background1"/>
          <w:sz w:val="20"/>
          <w:szCs w:val="20"/>
          <w:lang w:eastAsia="en-GB"/>
        </w:rPr>
      </w:pPr>
    </w:p>
    <w:p w14:paraId="1B9D053E" w14:textId="778B81B5" w:rsidR="00AF3370" w:rsidRDefault="00AF3370" w:rsidP="00AF3370">
      <w:pPr>
        <w:pStyle w:val="Notice"/>
        <w:rPr>
          <w:rFonts w:eastAsiaTheme="minorEastAsia" w:cs="Arial"/>
          <w:i w:val="0"/>
          <w:iCs/>
          <w:noProof/>
          <w:color w:val="FFFFFF" w:themeColor="background1"/>
          <w:sz w:val="20"/>
          <w:szCs w:val="20"/>
          <w:lang w:eastAsia="en-GB"/>
        </w:rPr>
      </w:pPr>
    </w:p>
    <w:p w14:paraId="0CDD377C" w14:textId="3B31B36E" w:rsidR="00AF3370" w:rsidRDefault="00AF3370" w:rsidP="00AF3370">
      <w:pPr>
        <w:pStyle w:val="Notice"/>
        <w:rPr>
          <w:rFonts w:eastAsiaTheme="minorEastAsia" w:cs="Arial"/>
          <w:i w:val="0"/>
          <w:iCs/>
          <w:noProof/>
          <w:color w:val="FFFFFF" w:themeColor="background1"/>
          <w:sz w:val="20"/>
          <w:szCs w:val="20"/>
          <w:lang w:eastAsia="en-GB"/>
        </w:rPr>
      </w:pPr>
    </w:p>
    <w:p w14:paraId="0EA73B49" w14:textId="766E9D5E" w:rsidR="00AF3370" w:rsidRDefault="00AF3370" w:rsidP="00AF3370">
      <w:pPr>
        <w:pStyle w:val="Notice"/>
        <w:rPr>
          <w:rFonts w:eastAsiaTheme="minorEastAsia" w:cs="Arial"/>
          <w:i w:val="0"/>
          <w:iCs/>
          <w:noProof/>
          <w:color w:val="FFFFFF" w:themeColor="background1"/>
          <w:sz w:val="20"/>
          <w:szCs w:val="20"/>
          <w:lang w:eastAsia="en-GB"/>
        </w:rPr>
      </w:pPr>
    </w:p>
    <w:p w14:paraId="73644075" w14:textId="2B92F30B" w:rsidR="00AF3370" w:rsidRDefault="00AF3370" w:rsidP="00AF3370">
      <w:pPr>
        <w:pStyle w:val="Notice"/>
        <w:rPr>
          <w:rFonts w:eastAsiaTheme="minorEastAsia" w:cs="Arial"/>
          <w:i w:val="0"/>
          <w:iCs/>
          <w:noProof/>
          <w:color w:val="FFFFFF" w:themeColor="background1"/>
          <w:sz w:val="20"/>
          <w:szCs w:val="20"/>
          <w:lang w:eastAsia="en-GB"/>
        </w:rPr>
      </w:pPr>
    </w:p>
    <w:p w14:paraId="5B570EA3" w14:textId="700C96C7" w:rsidR="00AF3370" w:rsidRDefault="00AF3370" w:rsidP="00AF3370">
      <w:pPr>
        <w:pStyle w:val="Notice"/>
        <w:rPr>
          <w:rFonts w:eastAsiaTheme="minorEastAsia" w:cs="Arial"/>
          <w:i w:val="0"/>
          <w:iCs/>
          <w:noProof/>
          <w:color w:val="FFFFFF" w:themeColor="background1"/>
          <w:sz w:val="20"/>
          <w:szCs w:val="20"/>
          <w:lang w:eastAsia="en-GB"/>
        </w:rPr>
      </w:pPr>
    </w:p>
    <w:p w14:paraId="6FAB4A0E" w14:textId="0F01D00D" w:rsidR="00AF3370" w:rsidRDefault="00AF3370" w:rsidP="00AF3370">
      <w:pPr>
        <w:pStyle w:val="Notice"/>
        <w:rPr>
          <w:rFonts w:eastAsiaTheme="minorEastAsia" w:cs="Arial"/>
          <w:i w:val="0"/>
          <w:iCs/>
          <w:noProof/>
          <w:color w:val="FFFFFF" w:themeColor="background1"/>
          <w:sz w:val="20"/>
          <w:szCs w:val="20"/>
          <w:lang w:eastAsia="en-GB"/>
        </w:rPr>
      </w:pPr>
    </w:p>
    <w:p w14:paraId="06047C16" w14:textId="3B716867" w:rsidR="00AF3370" w:rsidRDefault="00AF3370" w:rsidP="00AF3370">
      <w:pPr>
        <w:pStyle w:val="Notice"/>
        <w:rPr>
          <w:rFonts w:eastAsiaTheme="minorEastAsia" w:cs="Arial"/>
          <w:i w:val="0"/>
          <w:iCs/>
          <w:noProof/>
          <w:color w:val="FFFFFF" w:themeColor="background1"/>
          <w:sz w:val="20"/>
          <w:szCs w:val="20"/>
          <w:lang w:eastAsia="en-GB"/>
        </w:rPr>
      </w:pPr>
    </w:p>
    <w:p w14:paraId="5B66FCF3" w14:textId="77777777" w:rsidR="00AF3370" w:rsidRDefault="00AF3370" w:rsidP="00AF3370">
      <w:pPr>
        <w:pStyle w:val="Notice"/>
        <w:rPr>
          <w:rFonts w:eastAsiaTheme="minorEastAsia" w:cs="Arial"/>
          <w:i w:val="0"/>
          <w:iCs/>
          <w:noProof/>
          <w:color w:val="FFFFFF" w:themeColor="background1"/>
          <w:sz w:val="20"/>
          <w:szCs w:val="20"/>
          <w:lang w:eastAsia="en-GB"/>
        </w:rPr>
      </w:pPr>
    </w:p>
    <w:p w14:paraId="1B16AAA9" w14:textId="278F0087" w:rsidR="00AF3370" w:rsidRDefault="00AF3370" w:rsidP="00AF3370">
      <w:pPr>
        <w:pStyle w:val="Notice"/>
        <w:rPr>
          <w:rFonts w:eastAsiaTheme="minorEastAsia" w:cs="Arial"/>
          <w:i w:val="0"/>
          <w:iCs/>
          <w:noProof/>
          <w:color w:val="FFFFFF" w:themeColor="background1"/>
          <w:sz w:val="20"/>
          <w:szCs w:val="20"/>
          <w:lang w:eastAsia="en-GB"/>
        </w:rPr>
      </w:pPr>
    </w:p>
    <w:p w14:paraId="754C4C5E" w14:textId="6A0DF5AB" w:rsidR="00AF3370" w:rsidRDefault="00AF3370" w:rsidP="00AF3370">
      <w:pPr>
        <w:pStyle w:val="Notice"/>
        <w:rPr>
          <w:rFonts w:eastAsiaTheme="minorEastAsia" w:cs="Arial"/>
          <w:i w:val="0"/>
          <w:iCs/>
          <w:noProof/>
          <w:color w:val="FFFFFF" w:themeColor="background1"/>
          <w:sz w:val="20"/>
          <w:szCs w:val="20"/>
          <w:lang w:eastAsia="en-GB"/>
        </w:rPr>
      </w:pPr>
    </w:p>
    <w:p w14:paraId="19084627" w14:textId="2ED57DC7" w:rsidR="00AF3370" w:rsidRDefault="00AF3370" w:rsidP="00AF3370">
      <w:pPr>
        <w:pStyle w:val="Notice"/>
        <w:rPr>
          <w:rFonts w:eastAsiaTheme="minorEastAsia" w:cs="Arial"/>
          <w:i w:val="0"/>
          <w:iCs/>
          <w:noProof/>
          <w:color w:val="FFFFFF" w:themeColor="background1"/>
          <w:sz w:val="20"/>
          <w:szCs w:val="20"/>
          <w:lang w:eastAsia="en-GB"/>
        </w:rPr>
      </w:pPr>
    </w:p>
    <w:p w14:paraId="31E43BC2" w14:textId="72E49495" w:rsidR="00AF3370" w:rsidRDefault="00AF3370" w:rsidP="00AF3370">
      <w:pPr>
        <w:pStyle w:val="Notice"/>
        <w:rPr>
          <w:rFonts w:eastAsiaTheme="minorEastAsia" w:cs="Arial"/>
          <w:i w:val="0"/>
          <w:iCs/>
          <w:noProof/>
          <w:color w:val="FFFFFF" w:themeColor="background1"/>
          <w:sz w:val="20"/>
          <w:szCs w:val="20"/>
          <w:lang w:eastAsia="en-GB"/>
        </w:rPr>
      </w:pPr>
    </w:p>
    <w:p w14:paraId="22D5E461" w14:textId="77777777" w:rsidR="004D36FA" w:rsidRDefault="004D36FA" w:rsidP="00AF3370">
      <w:pPr>
        <w:pStyle w:val="Notice"/>
        <w:rPr>
          <w:rFonts w:eastAsiaTheme="minorEastAsia" w:cs="Arial"/>
          <w:i w:val="0"/>
          <w:iCs/>
          <w:noProof/>
          <w:color w:val="FFFFFF" w:themeColor="background1"/>
          <w:sz w:val="20"/>
          <w:szCs w:val="20"/>
          <w:lang w:eastAsia="en-GB"/>
        </w:rPr>
      </w:pPr>
    </w:p>
    <w:p w14:paraId="010E0B4D" w14:textId="77777777" w:rsidR="00AF3370" w:rsidRDefault="00AF3370" w:rsidP="00AF3370">
      <w:pPr>
        <w:pStyle w:val="Notice"/>
        <w:rPr>
          <w:rFonts w:eastAsiaTheme="minorEastAsia" w:cs="Arial"/>
          <w:i w:val="0"/>
          <w:iCs/>
          <w:noProof/>
          <w:color w:val="FFFFFF" w:themeColor="background1"/>
          <w:sz w:val="20"/>
          <w:szCs w:val="20"/>
          <w:lang w:eastAsia="en-GB"/>
        </w:rPr>
      </w:pPr>
    </w:p>
    <w:p w14:paraId="1D152179" w14:textId="77777777" w:rsidR="003E309B" w:rsidRDefault="003E309B" w:rsidP="00AF3370">
      <w:pPr>
        <w:pStyle w:val="Notice"/>
        <w:rPr>
          <w:rFonts w:eastAsiaTheme="minorEastAsia" w:cs="Arial"/>
          <w:i w:val="0"/>
          <w:iCs/>
          <w:noProof/>
          <w:color w:val="FFFFFF" w:themeColor="background1"/>
          <w:sz w:val="20"/>
          <w:szCs w:val="20"/>
          <w:lang w:eastAsia="en-GB"/>
        </w:rPr>
      </w:pPr>
    </w:p>
    <w:p w14:paraId="1A88F3F8" w14:textId="77777777" w:rsidR="003E309B" w:rsidRDefault="003E309B" w:rsidP="00AF3370">
      <w:pPr>
        <w:pStyle w:val="Notice"/>
        <w:rPr>
          <w:rFonts w:eastAsiaTheme="minorEastAsia" w:cs="Arial"/>
          <w:i w:val="0"/>
          <w:iCs/>
          <w:noProof/>
          <w:color w:val="FFFFFF" w:themeColor="background1"/>
          <w:sz w:val="20"/>
          <w:szCs w:val="20"/>
          <w:lang w:eastAsia="en-GB"/>
        </w:rPr>
      </w:pPr>
    </w:p>
    <w:p w14:paraId="47362CB7" w14:textId="7F1CBF38" w:rsidR="00040FDF" w:rsidRPr="00AF3370" w:rsidRDefault="00205F9C" w:rsidP="00AF3370">
      <w:pPr>
        <w:pStyle w:val="Notice"/>
        <w:rPr>
          <w:i w:val="0"/>
          <w:iCs/>
          <w:color w:val="FFFFFF" w:themeColor="background1"/>
          <w:sz w:val="20"/>
          <w:szCs w:val="20"/>
        </w:rPr>
      </w:pPr>
      <w:r>
        <w:rPr>
          <w:rFonts w:eastAsiaTheme="minorEastAsia" w:cs="Arial"/>
          <w:i w:val="0"/>
          <w:iCs/>
          <w:noProof/>
          <w:color w:val="FFFFFF" w:themeColor="background1"/>
          <w:sz w:val="20"/>
          <w:szCs w:val="20"/>
          <w:lang w:eastAsia="en-GB"/>
        </w:rPr>
        <w:t>Queen Mary University of London</w:t>
      </w:r>
    </w:p>
    <w:p w14:paraId="58AC0410" w14:textId="6FE7E942" w:rsidR="00040FDF" w:rsidRPr="00040FDF" w:rsidRDefault="008B582A" w:rsidP="00040FDF">
      <w:pPr>
        <w:rPr>
          <w:rFonts w:eastAsiaTheme="minorEastAsia" w:cs="Arial"/>
          <w:noProof/>
          <w:color w:val="FFFFFF" w:themeColor="background1"/>
          <w:lang w:eastAsia="en-GB"/>
        </w:rPr>
      </w:pPr>
      <w:r>
        <w:rPr>
          <w:rFonts w:eastAsiaTheme="minorEastAsia" w:cs="Arial"/>
          <w:noProof/>
          <w:color w:val="FFFFFF" w:themeColor="background1"/>
          <w:lang w:eastAsia="en-GB"/>
        </w:rPr>
        <w:t>External Relations</w:t>
      </w:r>
      <w:r w:rsidR="00B92672">
        <w:rPr>
          <w:rFonts w:eastAsiaTheme="minorEastAsia" w:cs="Arial"/>
          <w:noProof/>
          <w:color w:val="FFFFFF" w:themeColor="background1"/>
          <w:lang w:eastAsia="en-GB"/>
        </w:rPr>
        <w:t xml:space="preserve"> Directorate</w:t>
      </w:r>
      <w:r w:rsidR="00040FDF" w:rsidRPr="00040FDF">
        <w:rPr>
          <w:rFonts w:eastAsiaTheme="minorEastAsia" w:cs="Arial"/>
          <w:noProof/>
          <w:color w:val="FFFFFF" w:themeColor="background1"/>
          <w:lang w:eastAsia="en-GB"/>
        </w:rPr>
        <w:br/>
      </w:r>
      <w:r>
        <w:rPr>
          <w:rFonts w:eastAsiaTheme="minorEastAsia" w:cs="Arial"/>
          <w:noProof/>
          <w:color w:val="FFFFFF" w:themeColor="background1"/>
          <w:lang w:eastAsia="en-GB"/>
        </w:rPr>
        <w:t>Central Admissions Office</w:t>
      </w:r>
      <w:r w:rsidR="00040FDF" w:rsidRPr="00040FDF">
        <w:rPr>
          <w:rFonts w:eastAsiaTheme="minorEastAsia" w:cs="Arial"/>
          <w:noProof/>
          <w:color w:val="FFFFFF" w:themeColor="background1"/>
          <w:lang w:eastAsia="en-GB"/>
        </w:rPr>
        <w:br/>
        <w:t xml:space="preserve">Email: </w:t>
      </w:r>
      <w:r w:rsidR="00175C04">
        <w:rPr>
          <w:rFonts w:eastAsiaTheme="minorEastAsia" w:cs="Arial"/>
          <w:noProof/>
          <w:color w:val="FFFFFF" w:themeColor="background1"/>
          <w:lang w:eastAsia="en-GB"/>
        </w:rPr>
        <w:t>admissions@qmul.ac.uk/pgtadmissions@qmul.ac.uk</w:t>
      </w:r>
      <w:r w:rsidR="004B1A5C">
        <w:rPr>
          <w:rFonts w:eastAsiaTheme="minorEastAsia" w:cs="Arial"/>
          <w:noProof/>
          <w:color w:val="FFFFFF" w:themeColor="background1"/>
          <w:lang w:eastAsia="en-GB"/>
        </w:rPr>
        <w:t>.</w:t>
      </w:r>
    </w:p>
    <w:p w14:paraId="4D26BE2D" w14:textId="77777777" w:rsidR="00F1351A" w:rsidRPr="00436390" w:rsidRDefault="00040FDF" w:rsidP="00040FDF">
      <w:pPr>
        <w:rPr>
          <w:rFonts w:eastAsiaTheme="minorEastAsia" w:cs="Arial"/>
          <w:noProof/>
          <w:color w:val="FFFFFF" w:themeColor="background1"/>
          <w:sz w:val="32"/>
          <w:szCs w:val="32"/>
          <w:lang w:eastAsia="en-GB"/>
        </w:rPr>
      </w:pPr>
      <w:r w:rsidRPr="00436390">
        <w:rPr>
          <w:rFonts w:eastAsiaTheme="minorEastAsia" w:cs="Arial"/>
          <w:noProof/>
          <w:color w:val="FFFFFF" w:themeColor="background1"/>
          <w:sz w:val="32"/>
          <w:szCs w:val="32"/>
          <w:lang w:eastAsia="en-GB"/>
        </w:rPr>
        <w:t>qmul.ac.uk</w:t>
      </w:r>
    </w:p>
    <w:sectPr w:rsidR="00F1351A" w:rsidRPr="00436390" w:rsidSect="004D36FA">
      <w:footerReference w:type="default" r:id="rId30"/>
      <w:pgSz w:w="11907" w:h="16840" w:code="1"/>
      <w:pgMar w:top="1985" w:right="1077" w:bottom="720" w:left="1077" w:header="851"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1D8AF" w14:textId="77777777" w:rsidR="00D83DF0" w:rsidRDefault="00D83DF0">
      <w:pPr>
        <w:spacing w:before="0" w:after="0" w:line="240" w:lineRule="auto"/>
      </w:pPr>
      <w:r>
        <w:separator/>
      </w:r>
    </w:p>
  </w:endnote>
  <w:endnote w:type="continuationSeparator" w:id="0">
    <w:p w14:paraId="6DFFC259" w14:textId="77777777" w:rsidR="00D83DF0" w:rsidRDefault="00D83D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Source Sans Pro"/>
    <w:charset w:val="00"/>
    <w:family w:val="swiss"/>
    <w:pitch w:val="variable"/>
    <w:sig w:usb0="600002F7" w:usb1="02000001" w:usb2="00000000" w:usb3="00000000" w:csb0="0000019F" w:csb1="00000000"/>
  </w:font>
  <w:font w:name="Source Sans Pro (OTF) Light">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4877"/>
      <w:gridCol w:w="4876"/>
    </w:tblGrid>
    <w:tr w:rsidR="00B113E8" w14:paraId="67DD52AA" w14:textId="77777777" w:rsidTr="00F27B60">
      <w:trPr>
        <w:trHeight w:val="60"/>
      </w:trPr>
      <w:tc>
        <w:tcPr>
          <w:tcW w:w="5148" w:type="dxa"/>
          <w:tcBorders>
            <w:bottom w:val="single" w:sz="4" w:space="0" w:color="auto"/>
          </w:tcBorders>
          <w:tcMar>
            <w:left w:w="115" w:type="dxa"/>
            <w:right w:w="115" w:type="dxa"/>
          </w:tcMar>
          <w:vAlign w:val="bottom"/>
        </w:tcPr>
        <w:p w14:paraId="43B6DCBE" w14:textId="77777777" w:rsidR="00B113E8" w:rsidRDefault="00B113E8" w:rsidP="00FF45F1">
          <w:pPr>
            <w:pStyle w:val="NoSpacing"/>
            <w:jc w:val="both"/>
          </w:pPr>
        </w:p>
      </w:tc>
      <w:tc>
        <w:tcPr>
          <w:tcW w:w="5148" w:type="dxa"/>
          <w:tcBorders>
            <w:bottom w:val="single" w:sz="4" w:space="0" w:color="auto"/>
          </w:tcBorders>
          <w:tcMar>
            <w:left w:w="115" w:type="dxa"/>
            <w:right w:w="115" w:type="dxa"/>
          </w:tcMar>
          <w:vAlign w:val="bottom"/>
        </w:tcPr>
        <w:p w14:paraId="593F2E3A" w14:textId="77777777" w:rsidR="00B113E8" w:rsidRDefault="00B113E8">
          <w:pPr>
            <w:pStyle w:val="NoSpacing"/>
            <w:rPr>
              <w:rFonts w:asciiTheme="majorHAnsi" w:hAnsiTheme="majorHAnsi"/>
              <w:sz w:val="20"/>
            </w:rPr>
          </w:pPr>
        </w:p>
      </w:tc>
    </w:tr>
  </w:tbl>
  <w:p w14:paraId="30B93DAB" w14:textId="1E6D0ECC" w:rsidR="00B113E8" w:rsidRPr="00F1351A" w:rsidRDefault="000C73E5" w:rsidP="00735B64">
    <w:pPr>
      <w:pStyle w:val="NoSpacing"/>
      <w:tabs>
        <w:tab w:val="left" w:pos="8836"/>
      </w:tabs>
      <w:jc w:val="right"/>
      <w:rPr>
        <w:rStyle w:val="PageNumber"/>
      </w:rPr>
    </w:pPr>
    <w:sdt>
      <w:sdtPr>
        <w:rPr>
          <w:color w:val="auto"/>
          <w:sz w:val="14"/>
        </w:rPr>
        <w:alias w:val="Report Title"/>
        <w:tag w:val="Report Title"/>
        <w:id w:val="1293180619"/>
        <w:dataBinding w:prefixMappings="xmlns:ns0='http://purl.org/dc/elements/1.1/' xmlns:ns1='http://schemas.openxmlformats.org/package/2006/metadata/core-properties' " w:xpath="/ns1:coreProperties[1]/ns0:description[1]" w:storeItemID="{6C3C8BC8-F283-45AE-878A-BAB7291924A1}"/>
        <w:text w:multiLine="1"/>
      </w:sdtPr>
      <w:sdtEndPr>
        <w:rPr>
          <w:color w:val="595959" w:themeColor="text1" w:themeTint="A6"/>
          <w:sz w:val="16"/>
        </w:rPr>
      </w:sdtEndPr>
      <w:sdtContent>
        <w:r w:rsidR="006F3E90">
          <w:rPr>
            <w:color w:val="auto"/>
            <w:sz w:val="14"/>
          </w:rPr>
          <w:t>Admissions Policy 2024/25</w:t>
        </w:r>
      </w:sdtContent>
    </w:sdt>
    <w:r w:rsidR="00F1351A">
      <w:t xml:space="preserve"> </w:t>
    </w:r>
    <w:r w:rsidR="00562B98">
      <w:t xml:space="preserve">| </w:t>
    </w:r>
    <w:r w:rsidR="00562B98" w:rsidRPr="00F1351A">
      <w:rPr>
        <w:rStyle w:val="PageNumber"/>
      </w:rPr>
      <w:fldChar w:fldCharType="begin"/>
    </w:r>
    <w:r w:rsidR="00562B98" w:rsidRPr="00F1351A">
      <w:rPr>
        <w:rStyle w:val="PageNumber"/>
      </w:rPr>
      <w:instrText xml:space="preserve"> PAGE  \* Arabic  \* MERGEFORMAT </w:instrText>
    </w:r>
    <w:r w:rsidR="00562B98" w:rsidRPr="00F1351A">
      <w:rPr>
        <w:rStyle w:val="PageNumber"/>
      </w:rPr>
      <w:fldChar w:fldCharType="separate"/>
    </w:r>
    <w:r w:rsidR="003533A3">
      <w:rPr>
        <w:rStyle w:val="PageNumber"/>
        <w:noProof/>
      </w:rPr>
      <w:t>2</w:t>
    </w:r>
    <w:r w:rsidR="00562B98" w:rsidRPr="00F1351A">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4877"/>
      <w:gridCol w:w="4876"/>
    </w:tblGrid>
    <w:tr w:rsidR="00053E6F" w14:paraId="08D0B54F" w14:textId="77777777" w:rsidTr="002B5CEA">
      <w:trPr>
        <w:trHeight w:val="60"/>
      </w:trPr>
      <w:tc>
        <w:tcPr>
          <w:tcW w:w="4877" w:type="dxa"/>
          <w:tcBorders>
            <w:bottom w:val="single" w:sz="4" w:space="0" w:color="auto"/>
          </w:tcBorders>
          <w:tcMar>
            <w:left w:w="115" w:type="dxa"/>
            <w:right w:w="115" w:type="dxa"/>
          </w:tcMar>
          <w:vAlign w:val="bottom"/>
        </w:tcPr>
        <w:p w14:paraId="7AD96910" w14:textId="2EF46484" w:rsidR="00053E6F" w:rsidRDefault="00053E6F" w:rsidP="00053E6F">
          <w:pPr>
            <w:pStyle w:val="NoSpacing"/>
            <w:jc w:val="both"/>
          </w:pPr>
        </w:p>
      </w:tc>
      <w:tc>
        <w:tcPr>
          <w:tcW w:w="4876" w:type="dxa"/>
          <w:tcBorders>
            <w:bottom w:val="single" w:sz="4" w:space="0" w:color="auto"/>
          </w:tcBorders>
          <w:tcMar>
            <w:left w:w="115" w:type="dxa"/>
            <w:right w:w="115" w:type="dxa"/>
          </w:tcMar>
          <w:vAlign w:val="bottom"/>
        </w:tcPr>
        <w:p w14:paraId="01A09715" w14:textId="275338D4" w:rsidR="00053E6F" w:rsidRDefault="004D36FA" w:rsidP="00053E6F">
          <w:pPr>
            <w:pStyle w:val="NoSpacing"/>
            <w:rPr>
              <w:rFonts w:asciiTheme="majorHAnsi" w:hAnsiTheme="majorHAnsi"/>
              <w:sz w:val="20"/>
            </w:rPr>
          </w:pPr>
          <w:r>
            <w:rPr>
              <w:noProof/>
              <w:lang w:val="en-GB" w:eastAsia="en-GB"/>
            </w:rPr>
            <mc:AlternateContent>
              <mc:Choice Requires="wps">
                <w:drawing>
                  <wp:anchor distT="0" distB="0" distL="114300" distR="114300" simplePos="0" relativeHeight="251650048" behindDoc="0" locked="0" layoutInCell="1" allowOverlap="1" wp14:anchorId="0ABC4827" wp14:editId="5A9F9FD6">
                    <wp:simplePos x="0" y="0"/>
                    <wp:positionH relativeFrom="column">
                      <wp:posOffset>-3873500</wp:posOffset>
                    </wp:positionH>
                    <wp:positionV relativeFrom="paragraph">
                      <wp:posOffset>-10269220</wp:posOffset>
                    </wp:positionV>
                    <wp:extent cx="7862207" cy="10833652"/>
                    <wp:effectExtent l="0" t="0" r="5715" b="6350"/>
                    <wp:wrapNone/>
                    <wp:docPr id="7" name="Rectangle 7"/>
                    <wp:cNvGraphicFramePr/>
                    <a:graphic xmlns:a="http://schemas.openxmlformats.org/drawingml/2006/main">
                      <a:graphicData uri="http://schemas.microsoft.com/office/word/2010/wordprocessingShape">
                        <wps:wsp>
                          <wps:cNvSpPr/>
                          <wps:spPr>
                            <a:xfrm>
                              <a:off x="0" y="0"/>
                              <a:ext cx="7862207" cy="10833652"/>
                            </a:xfrm>
                            <a:prstGeom prst="rect">
                              <a:avLst/>
                            </a:prstGeom>
                            <a:solidFill>
                              <a:srgbClr val="12318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4BC448" w14:textId="55C63F82" w:rsidR="003872F0" w:rsidRDefault="003872F0" w:rsidP="003872F0">
                                <w:pPr>
                                  <w:pStyle w:val="Subtitle"/>
                                  <w:ind w:left="0"/>
                                </w:pPr>
                              </w:p>
                              <w:p w14:paraId="5DB5A318" w14:textId="178B4222" w:rsidR="003872F0" w:rsidRDefault="003872F0" w:rsidP="00F135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C4827" id="Rectangle 7" o:spid="_x0000_s1026" style="position:absolute;margin-left:-305pt;margin-top:-808.6pt;width:619.05pt;height:853.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" fillcolor="#123181" stroked="f" strokeweight="1.3333mm">
                    <v:stroke linestyle="thickThin"/>
                    <v:textbox>
                      <w:txbxContent>
                        <w:p w14:paraId="084BC448" w14:textId="55C63F82" w:rsidR="003872F0" w:rsidRDefault="003872F0" w:rsidP="003872F0">
                          <w:pPr>
                            <w:pStyle w:val="Subtitle"/>
                            <w:ind w:left="0"/>
                          </w:pPr>
                        </w:p>
                        <w:p w14:paraId="5DB5A318" w14:textId="178B4222" w:rsidR="003872F0" w:rsidRDefault="003872F0" w:rsidP="00F1351A">
                          <w:pPr>
                            <w:jc w:val="center"/>
                          </w:pPr>
                        </w:p>
                      </w:txbxContent>
                    </v:textbox>
                  </v:rect>
                </w:pict>
              </mc:Fallback>
            </mc:AlternateContent>
          </w:r>
        </w:p>
      </w:tc>
    </w:tr>
  </w:tbl>
  <w:p w14:paraId="49C83F6A" w14:textId="42315715" w:rsidR="00053E6F" w:rsidRPr="00F1351A" w:rsidRDefault="004D36FA" w:rsidP="00053E6F">
    <w:pPr>
      <w:pStyle w:val="NoSpacing"/>
      <w:tabs>
        <w:tab w:val="left" w:pos="8836"/>
      </w:tabs>
      <w:jc w:val="right"/>
      <w:rPr>
        <w:rStyle w:val="PageNumber"/>
      </w:rPr>
    </w:pPr>
    <w:r>
      <w:rPr>
        <w:noProof/>
        <w:lang w:val="en-GB" w:eastAsia="en-GB"/>
      </w:rPr>
      <mc:AlternateContent>
        <mc:Choice Requires="wps">
          <w:drawing>
            <wp:anchor distT="0" distB="0" distL="114300" distR="114300" simplePos="0" relativeHeight="251677696" behindDoc="0" locked="0" layoutInCell="1" allowOverlap="1" wp14:anchorId="5154C74E" wp14:editId="4CC19640">
              <wp:simplePos x="0" y="0"/>
              <wp:positionH relativeFrom="column">
                <wp:posOffset>7767</wp:posOffset>
              </wp:positionH>
              <wp:positionV relativeFrom="paragraph">
                <wp:posOffset>-187374</wp:posOffset>
              </wp:positionV>
              <wp:extent cx="611915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19154"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C21DC" id="Straight Connector 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4.75pt" to="482.4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" strokecolor="white [3212]" strokeweight=".5pt">
              <v:stroke endcap="round"/>
            </v:line>
          </w:pict>
        </mc:Fallback>
      </mc:AlternateContent>
    </w:r>
    <w:sdt>
      <w:sdtPr>
        <w:rPr>
          <w:color w:val="auto"/>
          <w:sz w:val="14"/>
        </w:rPr>
        <w:alias w:val="Report Title"/>
        <w:tag w:val="Report Title"/>
        <w:id w:val="306911552"/>
        <w:dataBinding w:prefixMappings="xmlns:ns0='http://purl.org/dc/elements/1.1/' xmlns:ns1='http://schemas.openxmlformats.org/package/2006/metadata/core-properties' " w:xpath="/ns1:coreProperties[1]/ns0:description[1]" w:storeItemID="{6C3C8BC8-F283-45AE-878A-BAB7291924A1}"/>
        <w:text w:multiLine="1"/>
      </w:sdtPr>
      <w:sdtEndPr>
        <w:rPr>
          <w:color w:val="595959" w:themeColor="text1" w:themeTint="A6"/>
          <w:sz w:val="16"/>
        </w:rPr>
      </w:sdtEndPr>
      <w:sdtContent>
        <w:r w:rsidR="006F3E90">
          <w:rPr>
            <w:color w:val="auto"/>
            <w:sz w:val="14"/>
          </w:rPr>
          <w:t>Admissions Policy 2024/25</w:t>
        </w:r>
      </w:sdtContent>
    </w:sdt>
    <w:r w:rsidR="00053E6F">
      <w:t xml:space="preserve"> | </w:t>
    </w:r>
    <w:r w:rsidR="00053E6F" w:rsidRPr="00F1351A">
      <w:rPr>
        <w:rStyle w:val="PageNumber"/>
      </w:rPr>
      <w:fldChar w:fldCharType="begin"/>
    </w:r>
    <w:r w:rsidR="00053E6F" w:rsidRPr="00F1351A">
      <w:rPr>
        <w:rStyle w:val="PageNumber"/>
      </w:rPr>
      <w:instrText xml:space="preserve"> PAGE  \* Arabic  \* MERGEFORMAT </w:instrText>
    </w:r>
    <w:r w:rsidR="00053E6F" w:rsidRPr="00F1351A">
      <w:rPr>
        <w:rStyle w:val="PageNumber"/>
      </w:rPr>
      <w:fldChar w:fldCharType="separate"/>
    </w:r>
    <w:r w:rsidR="00053E6F">
      <w:rPr>
        <w:rStyle w:val="PageNumber"/>
      </w:rPr>
      <w:t>3</w:t>
    </w:r>
    <w:r w:rsidR="00053E6F" w:rsidRPr="00F1351A">
      <w:rPr>
        <w:rStyle w:val="PageNumber"/>
      </w:rPr>
      <w:fldChar w:fldCharType="end"/>
    </w:r>
  </w:p>
  <w:p w14:paraId="4EE6198A" w14:textId="543C4C5A" w:rsidR="00F27B60" w:rsidRDefault="007828C8">
    <w:pPr>
      <w:pStyle w:val="Footer"/>
    </w:pPr>
    <w:r>
      <w:rPr>
        <w:noProof/>
        <w:lang w:val="en-GB" w:eastAsia="en-GB"/>
      </w:rPr>
      <mc:AlternateContent>
        <mc:Choice Requires="wps">
          <w:drawing>
            <wp:anchor distT="0" distB="0" distL="114300" distR="114300" simplePos="0" relativeHeight="251675648" behindDoc="0" locked="0" layoutInCell="1" allowOverlap="1" wp14:anchorId="78CAF752" wp14:editId="4A4E197E">
              <wp:simplePos x="0" y="0"/>
              <wp:positionH relativeFrom="column">
                <wp:posOffset>-770144</wp:posOffset>
              </wp:positionH>
              <wp:positionV relativeFrom="paragraph">
                <wp:posOffset>438012</wp:posOffset>
              </wp:positionV>
              <wp:extent cx="7862207" cy="10248900"/>
              <wp:effectExtent l="0" t="0" r="5715" b="0"/>
              <wp:wrapNone/>
              <wp:docPr id="58" name="Rectangle 58"/>
              <wp:cNvGraphicFramePr/>
              <a:graphic xmlns:a="http://schemas.openxmlformats.org/drawingml/2006/main">
                <a:graphicData uri="http://schemas.microsoft.com/office/word/2010/wordprocessingShape">
                  <wps:wsp>
                    <wps:cNvSpPr/>
                    <wps:spPr>
                      <a:xfrm>
                        <a:off x="0" y="0"/>
                        <a:ext cx="7862207" cy="10248900"/>
                      </a:xfrm>
                      <a:prstGeom prst="rect">
                        <a:avLst/>
                      </a:prstGeom>
                      <a:solidFill>
                        <a:srgbClr val="12318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337B5" w14:textId="77777777" w:rsidR="007828C8" w:rsidRDefault="007828C8" w:rsidP="007828C8">
                          <w:pPr>
                            <w:pStyle w:val="Subtitle"/>
                            <w:ind w:left="0"/>
                          </w:pPr>
                        </w:p>
                        <w:p w14:paraId="2ACCD44D" w14:textId="77777777" w:rsidR="007828C8" w:rsidRDefault="007828C8" w:rsidP="007828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AF752" id="Rectangle 58" o:spid="_x0000_s1027" style="position:absolute;margin-left:-60.65pt;margin-top:34.5pt;width:619.05pt;height:8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" fillcolor="#123181" stroked="f" strokeweight="1.3333mm">
              <v:stroke linestyle="thickThin"/>
              <v:textbox>
                <w:txbxContent>
                  <w:p w14:paraId="009337B5" w14:textId="77777777" w:rsidR="007828C8" w:rsidRDefault="007828C8" w:rsidP="007828C8">
                    <w:pPr>
                      <w:pStyle w:val="Subtitle"/>
                      <w:ind w:left="0"/>
                    </w:pPr>
                  </w:p>
                  <w:p w14:paraId="2ACCD44D" w14:textId="77777777" w:rsidR="007828C8" w:rsidRDefault="007828C8" w:rsidP="007828C8">
                    <w:pPr>
                      <w:jc w:val="cente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4877"/>
      <w:gridCol w:w="4876"/>
    </w:tblGrid>
    <w:tr w:rsidR="00AF3370" w14:paraId="51A83576" w14:textId="77777777" w:rsidTr="00F27B60">
      <w:trPr>
        <w:trHeight w:val="60"/>
      </w:trPr>
      <w:tc>
        <w:tcPr>
          <w:tcW w:w="5148" w:type="dxa"/>
          <w:tcBorders>
            <w:bottom w:val="single" w:sz="4" w:space="0" w:color="auto"/>
          </w:tcBorders>
          <w:tcMar>
            <w:left w:w="115" w:type="dxa"/>
            <w:right w:w="115" w:type="dxa"/>
          </w:tcMar>
          <w:vAlign w:val="bottom"/>
        </w:tcPr>
        <w:p w14:paraId="7A150510" w14:textId="77777777" w:rsidR="00AF3370" w:rsidRDefault="00AF3370" w:rsidP="00FF45F1">
          <w:pPr>
            <w:pStyle w:val="NoSpacing"/>
            <w:jc w:val="both"/>
          </w:pPr>
        </w:p>
      </w:tc>
      <w:tc>
        <w:tcPr>
          <w:tcW w:w="5148" w:type="dxa"/>
          <w:tcBorders>
            <w:bottom w:val="single" w:sz="4" w:space="0" w:color="auto"/>
          </w:tcBorders>
          <w:tcMar>
            <w:left w:w="115" w:type="dxa"/>
            <w:right w:w="115" w:type="dxa"/>
          </w:tcMar>
          <w:vAlign w:val="bottom"/>
        </w:tcPr>
        <w:p w14:paraId="13702E2D" w14:textId="77777777" w:rsidR="00AF3370" w:rsidRDefault="00AF3370">
          <w:pPr>
            <w:pStyle w:val="NoSpacing"/>
            <w:rPr>
              <w:rFonts w:asciiTheme="majorHAnsi" w:hAnsiTheme="majorHAnsi"/>
              <w:sz w:val="20"/>
            </w:rPr>
          </w:pPr>
        </w:p>
      </w:tc>
    </w:tr>
  </w:tbl>
  <w:p w14:paraId="3D17C3CA" w14:textId="1EDA9E1B" w:rsidR="00AF3370" w:rsidRPr="00F1351A" w:rsidRDefault="000C73E5" w:rsidP="00735B64">
    <w:pPr>
      <w:pStyle w:val="NoSpacing"/>
      <w:tabs>
        <w:tab w:val="left" w:pos="8836"/>
      </w:tabs>
      <w:jc w:val="right"/>
      <w:rPr>
        <w:rStyle w:val="PageNumber"/>
      </w:rPr>
    </w:pPr>
    <w:sdt>
      <w:sdtPr>
        <w:rPr>
          <w:color w:val="auto"/>
          <w:sz w:val="14"/>
        </w:rPr>
        <w:alias w:val="Report Title"/>
        <w:tag w:val="Report Title"/>
        <w:id w:val="-1770006287"/>
        <w:dataBinding w:prefixMappings="xmlns:ns0='http://purl.org/dc/elements/1.1/' xmlns:ns1='http://schemas.openxmlformats.org/package/2006/metadata/core-properties' " w:xpath="/ns1:coreProperties[1]/ns0:description[1]" w:storeItemID="{6C3C8BC8-F283-45AE-878A-BAB7291924A1}"/>
        <w:text w:multiLine="1"/>
      </w:sdtPr>
      <w:sdtEndPr>
        <w:rPr>
          <w:color w:val="595959" w:themeColor="text1" w:themeTint="A6"/>
          <w:sz w:val="16"/>
        </w:rPr>
      </w:sdtEndPr>
      <w:sdtContent>
        <w:r w:rsidR="006F3E90">
          <w:rPr>
            <w:color w:val="auto"/>
            <w:sz w:val="14"/>
          </w:rPr>
          <w:t>Admissions Policy 2024/25</w:t>
        </w:r>
      </w:sdtContent>
    </w:sdt>
    <w:r w:rsidR="00AF3370">
      <w:t xml:space="preserve"> | </w:t>
    </w:r>
    <w:r w:rsidR="00AF3370" w:rsidRPr="00F1351A">
      <w:rPr>
        <w:rStyle w:val="PageNumber"/>
      </w:rPr>
      <w:fldChar w:fldCharType="begin"/>
    </w:r>
    <w:r w:rsidR="00AF3370" w:rsidRPr="00F1351A">
      <w:rPr>
        <w:rStyle w:val="PageNumber"/>
      </w:rPr>
      <w:instrText xml:space="preserve"> PAGE  \* Arabic  \* MERGEFORMAT </w:instrText>
    </w:r>
    <w:r w:rsidR="00AF3370" w:rsidRPr="00F1351A">
      <w:rPr>
        <w:rStyle w:val="PageNumber"/>
      </w:rPr>
      <w:fldChar w:fldCharType="separate"/>
    </w:r>
    <w:r w:rsidR="00AF3370">
      <w:rPr>
        <w:rStyle w:val="PageNumber"/>
        <w:noProof/>
      </w:rPr>
      <w:t>2</w:t>
    </w:r>
    <w:r w:rsidR="00AF3370" w:rsidRPr="00F1351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E64AE" w14:textId="77777777" w:rsidR="00D83DF0" w:rsidRDefault="00D83DF0" w:rsidP="008422A0">
      <w:pPr>
        <w:spacing w:before="0" w:after="0" w:line="14" w:lineRule="auto"/>
      </w:pPr>
    </w:p>
  </w:footnote>
  <w:footnote w:type="continuationSeparator" w:id="0">
    <w:p w14:paraId="6594AD17" w14:textId="77777777" w:rsidR="00D83DF0" w:rsidRDefault="00D83DF0" w:rsidP="008422A0">
      <w:pPr>
        <w:spacing w:before="0" w:after="0" w:line="14" w:lineRule="auto"/>
      </w:pPr>
    </w:p>
  </w:footnote>
  <w:footnote w:id="1">
    <w:p w14:paraId="4241B3D7" w14:textId="77777777" w:rsidR="009A0C58" w:rsidRPr="007000B2" w:rsidRDefault="009A0C58" w:rsidP="009A0C58">
      <w:pPr>
        <w:pStyle w:val="FootnoteText"/>
        <w:rPr>
          <w:color w:val="6C6C6C" w:themeColor="background2" w:themeShade="80"/>
          <w:sz w:val="16"/>
          <w:szCs w:val="16"/>
        </w:rPr>
      </w:pPr>
      <w:r w:rsidRPr="007000B2">
        <w:rPr>
          <w:rStyle w:val="FootnoteReference"/>
          <w:color w:val="6C6C6C" w:themeColor="background2" w:themeShade="80"/>
          <w:sz w:val="16"/>
          <w:szCs w:val="16"/>
        </w:rPr>
        <w:footnoteRef/>
      </w:r>
      <w:r w:rsidRPr="007000B2">
        <w:rPr>
          <w:color w:val="6C6C6C" w:themeColor="background2" w:themeShade="80"/>
          <w:sz w:val="16"/>
          <w:szCs w:val="16"/>
        </w:rPr>
        <w:t xml:space="preserve"> The Times and Sunday Times Good University Guide 2021.</w:t>
      </w:r>
    </w:p>
  </w:footnote>
  <w:footnote w:id="2">
    <w:p w14:paraId="6D9D284D" w14:textId="77777777" w:rsidR="009A0C58" w:rsidRDefault="009A0C58" w:rsidP="009A0C58">
      <w:pPr>
        <w:pStyle w:val="FootnoteText"/>
      </w:pPr>
      <w:r>
        <w:rPr>
          <w:rStyle w:val="FootnoteReference"/>
        </w:rPr>
        <w:footnoteRef/>
      </w:r>
      <w:r>
        <w:t xml:space="preserve"> </w:t>
      </w:r>
      <w:r w:rsidRPr="00632FA8">
        <w:t>http://www.arcs.</w:t>
      </w:r>
      <w:r>
        <w:t>qmul</w:t>
      </w:r>
      <w:r w:rsidRPr="00632FA8">
        <w:t>.ac.uk/policy/</w:t>
      </w:r>
    </w:p>
  </w:footnote>
  <w:footnote w:id="3">
    <w:p w14:paraId="41201313" w14:textId="77777777" w:rsidR="009A0C58" w:rsidRDefault="009A0C58" w:rsidP="009A0C58">
      <w:pPr>
        <w:pStyle w:val="FootnoteText"/>
      </w:pPr>
      <w:r>
        <w:rPr>
          <w:rStyle w:val="FootnoteReference"/>
        </w:rPr>
        <w:footnoteRef/>
      </w:r>
      <w:r>
        <w:t xml:space="preserve"> </w:t>
      </w:r>
      <w:r w:rsidRPr="00927850">
        <w:t>https://www.</w:t>
      </w:r>
      <w:r>
        <w:t>qmul</w:t>
      </w:r>
      <w:r w:rsidRPr="00927850">
        <w:t>.ac.uk/international/international-students/englishlanguagerequirements/</w:t>
      </w:r>
    </w:p>
  </w:footnote>
  <w:footnote w:id="4">
    <w:p w14:paraId="0688988C" w14:textId="77777777" w:rsidR="009A0C58" w:rsidRDefault="009A0C58" w:rsidP="009A0C58">
      <w:pPr>
        <w:pStyle w:val="FootnoteText"/>
      </w:pPr>
      <w:r>
        <w:rPr>
          <w:rStyle w:val="FootnoteReference"/>
        </w:rPr>
        <w:footnoteRef/>
      </w:r>
      <w:r>
        <w:t xml:space="preserve"> Formerly UK NARIC</w:t>
      </w:r>
    </w:p>
    <w:p w14:paraId="762A4382" w14:textId="77777777" w:rsidR="00F90417" w:rsidRDefault="00F90417" w:rsidP="009A0C58">
      <w:pPr>
        <w:pStyle w:val="FootnoteText"/>
      </w:pPr>
    </w:p>
    <w:p w14:paraId="679182C9" w14:textId="409C2958" w:rsidR="006A4DF2" w:rsidRDefault="006A4DF2" w:rsidP="009A0C58">
      <w:pPr>
        <w:pStyle w:val="FootnoteText"/>
      </w:pPr>
    </w:p>
  </w:footnote>
  <w:footnote w:id="5">
    <w:p w14:paraId="4150E1C4" w14:textId="77777777" w:rsidR="009A0C58" w:rsidRDefault="009A0C58" w:rsidP="009A0C58">
      <w:pPr>
        <w:pStyle w:val="FootnoteText"/>
      </w:pPr>
      <w:r>
        <w:rPr>
          <w:rStyle w:val="FootnoteReference"/>
        </w:rPr>
        <w:footnoteRef/>
      </w:r>
      <w:r>
        <w:t xml:space="preserve"> </w:t>
      </w:r>
      <w:r w:rsidRPr="00927850">
        <w:t>https://www.</w:t>
      </w:r>
      <w:r>
        <w:t>qmul</w:t>
      </w:r>
      <w:r w:rsidRPr="00927850">
        <w:t>.ac.uk/postgraduate/taught/applyfortaughtprogrammes/deadlines/</w:t>
      </w:r>
    </w:p>
  </w:footnote>
  <w:footnote w:id="6">
    <w:p w14:paraId="56F1EACD" w14:textId="77777777" w:rsidR="009A0C58" w:rsidRDefault="009A0C58" w:rsidP="009A0C58">
      <w:pPr>
        <w:pStyle w:val="FootnoteText"/>
      </w:pPr>
      <w:r>
        <w:rPr>
          <w:rStyle w:val="FootnoteReference"/>
        </w:rPr>
        <w:footnoteRef/>
      </w:r>
      <w:r>
        <w:t xml:space="preserve"> </w:t>
      </w:r>
      <w:r w:rsidRPr="00AD00CC">
        <w:t>https://www.qmul.ac.uk/media/arcs/qmstaff/admissions/documents/Student-Transfer-Policy.pdf</w:t>
      </w:r>
    </w:p>
  </w:footnote>
  <w:footnote w:id="7">
    <w:p w14:paraId="19C9A912" w14:textId="77777777" w:rsidR="009A0C58" w:rsidRDefault="009A0C58" w:rsidP="009A0C58">
      <w:pPr>
        <w:pStyle w:val="FootnoteText"/>
      </w:pPr>
      <w:r>
        <w:rPr>
          <w:rStyle w:val="FootnoteReference"/>
        </w:rPr>
        <w:footnoteRef/>
      </w:r>
      <w:r>
        <w:t xml:space="preserve"> </w:t>
      </w:r>
      <w:r w:rsidRPr="00632FA8">
        <w:t>http://www.arcs.</w:t>
      </w:r>
      <w:r>
        <w:t>qmul</w:t>
      </w:r>
      <w:r w:rsidRPr="00632FA8">
        <w:t>.ac.uk/policy/</w:t>
      </w:r>
    </w:p>
  </w:footnote>
  <w:footnote w:id="8">
    <w:p w14:paraId="6867CEE9" w14:textId="77777777" w:rsidR="009A0C58" w:rsidRDefault="009A0C58" w:rsidP="009A0C58">
      <w:pPr>
        <w:pStyle w:val="FootnoteText"/>
      </w:pPr>
      <w:r>
        <w:rPr>
          <w:rStyle w:val="FootnoteReference"/>
        </w:rPr>
        <w:footnoteRef/>
      </w:r>
      <w:r>
        <w:t xml:space="preserve"> </w:t>
      </w:r>
      <w:r w:rsidRPr="00632FA8">
        <w:t>http://www.arcs.</w:t>
      </w:r>
      <w:r>
        <w:t>qmul</w:t>
      </w:r>
      <w:r w:rsidRPr="00632FA8">
        <w:t>.ac.uk/policy/</w:t>
      </w:r>
    </w:p>
  </w:footnote>
  <w:footnote w:id="9">
    <w:p w14:paraId="7179A366" w14:textId="77777777" w:rsidR="009A0C58" w:rsidRDefault="009A0C58" w:rsidP="009A0C58">
      <w:pPr>
        <w:pStyle w:val="FootnoteText"/>
      </w:pPr>
      <w:r>
        <w:rPr>
          <w:rStyle w:val="FootnoteReference"/>
        </w:rPr>
        <w:footnoteRef/>
      </w:r>
      <w:r>
        <w:t xml:space="preserve"> </w:t>
      </w:r>
      <w:r w:rsidRPr="00632FA8">
        <w:t>http://www.arcs.</w:t>
      </w:r>
      <w:r>
        <w:t>qmul</w:t>
      </w:r>
      <w:r w:rsidRPr="00632FA8">
        <w:t>.ac.uk/policy/</w:t>
      </w:r>
    </w:p>
  </w:footnote>
  <w:footnote w:id="10">
    <w:p w14:paraId="627E6954" w14:textId="77777777" w:rsidR="009A0C58" w:rsidRDefault="009A0C58" w:rsidP="009A0C58">
      <w:pPr>
        <w:pStyle w:val="FootnoteText"/>
      </w:pPr>
      <w:r>
        <w:rPr>
          <w:rStyle w:val="FootnoteReference"/>
        </w:rPr>
        <w:footnoteRef/>
      </w:r>
      <w:r>
        <w:t xml:space="preserve"> </w:t>
      </w:r>
      <w:r w:rsidRPr="00927850">
        <w:t>https://www.</w:t>
      </w:r>
      <w:r>
        <w:t>qmul</w:t>
      </w:r>
      <w:r w:rsidRPr="00927850">
        <w:t>.ac.uk/prospective/termsandconditions/</w:t>
      </w:r>
    </w:p>
  </w:footnote>
  <w:footnote w:id="11">
    <w:p w14:paraId="269B9D4D" w14:textId="77777777" w:rsidR="009A0C58" w:rsidRDefault="009A0C58" w:rsidP="009A0C58">
      <w:pPr>
        <w:pStyle w:val="FootnoteText"/>
      </w:pPr>
      <w:r>
        <w:rPr>
          <w:rStyle w:val="FootnoteReference"/>
        </w:rPr>
        <w:footnoteRef/>
      </w:r>
      <w:r>
        <w:t xml:space="preserve"> </w:t>
      </w:r>
      <w:r w:rsidRPr="00632FA8">
        <w:t>http://www.arcs.</w:t>
      </w:r>
      <w:r>
        <w:t>qmul</w:t>
      </w:r>
      <w:r w:rsidRPr="00632FA8">
        <w:t>.ac.uk/policy/</w:t>
      </w:r>
    </w:p>
  </w:footnote>
  <w:footnote w:id="12">
    <w:p w14:paraId="3AEE4806" w14:textId="77777777" w:rsidR="009A0C58" w:rsidRDefault="009A0C58" w:rsidP="009A0C58">
      <w:pPr>
        <w:pStyle w:val="FootnoteText"/>
      </w:pPr>
      <w:r>
        <w:rPr>
          <w:rStyle w:val="FootnoteReference"/>
        </w:rPr>
        <w:footnoteRef/>
      </w:r>
      <w:r>
        <w:t xml:space="preserve"> </w:t>
      </w:r>
      <w:r w:rsidRPr="00632FA8">
        <w:t>http://www.arcs.</w:t>
      </w:r>
      <w:r>
        <w:t>qmul</w:t>
      </w:r>
      <w:r w:rsidRPr="00632FA8">
        <w:t>.ac.uk/policy/</w:t>
      </w:r>
    </w:p>
    <w:p w14:paraId="624DD8BB" w14:textId="77777777" w:rsidR="009A0C58" w:rsidRDefault="009A0C58" w:rsidP="009A0C58">
      <w:pPr>
        <w:pStyle w:val="FootnoteText"/>
      </w:pPr>
    </w:p>
  </w:footnote>
  <w:footnote w:id="13">
    <w:p w14:paraId="5F8073DE" w14:textId="77777777" w:rsidR="009A0C58" w:rsidRDefault="009A0C58" w:rsidP="009A0C58">
      <w:pPr>
        <w:pStyle w:val="FootnoteText"/>
      </w:pPr>
      <w:r>
        <w:rPr>
          <w:rStyle w:val="FootnoteReference"/>
        </w:rPr>
        <w:footnoteRef/>
      </w:r>
      <w:r>
        <w:t xml:space="preserve"> </w:t>
      </w:r>
      <w:r w:rsidRPr="0017122A">
        <w:t>https://www.</w:t>
      </w:r>
      <w:r>
        <w:t>qmul</w:t>
      </w:r>
      <w:r w:rsidRPr="0017122A">
        <w:t>.ac.uk/undergraduate/entry/contextualised-admissions/</w:t>
      </w:r>
    </w:p>
  </w:footnote>
  <w:footnote w:id="14">
    <w:p w14:paraId="5DEA081A" w14:textId="77777777" w:rsidR="009A0C58" w:rsidRDefault="009A0C58" w:rsidP="009A0C58">
      <w:pPr>
        <w:pStyle w:val="FootnoteText"/>
      </w:pPr>
      <w:r>
        <w:rPr>
          <w:rStyle w:val="FootnoteReference"/>
        </w:rPr>
        <w:footnoteRef/>
      </w:r>
      <w:r>
        <w:t xml:space="preserve"> </w:t>
      </w:r>
      <w:r w:rsidRPr="00632FA8">
        <w:t>http://www.arcs.</w:t>
      </w:r>
      <w:r>
        <w:t>qmul</w:t>
      </w:r>
      <w:r w:rsidRPr="00632FA8">
        <w:t>.ac.uk/policy/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4877"/>
      <w:gridCol w:w="4876"/>
    </w:tblGrid>
    <w:tr w:rsidR="00B113E8" w14:paraId="392B1AE0" w14:textId="77777777" w:rsidTr="00AF3370">
      <w:trPr>
        <w:trHeight w:val="141"/>
      </w:trPr>
      <w:tc>
        <w:tcPr>
          <w:tcW w:w="4877" w:type="dxa"/>
          <w:tcBorders>
            <w:bottom w:val="single" w:sz="4" w:space="0" w:color="auto"/>
          </w:tcBorders>
          <w:tcMar>
            <w:left w:w="115" w:type="dxa"/>
            <w:right w:w="115" w:type="dxa"/>
          </w:tcMar>
          <w:vAlign w:val="bottom"/>
        </w:tcPr>
        <w:p w14:paraId="49981D8D" w14:textId="2AE7F491" w:rsidR="00B113E8" w:rsidRDefault="00B113E8">
          <w:pPr>
            <w:pStyle w:val="NoSpacing"/>
            <w:spacing w:after="80"/>
          </w:pPr>
        </w:p>
      </w:tc>
      <w:tc>
        <w:tcPr>
          <w:tcW w:w="4876" w:type="dxa"/>
          <w:tcBorders>
            <w:bottom w:val="single" w:sz="4" w:space="0" w:color="auto"/>
          </w:tcBorders>
          <w:tcMar>
            <w:left w:w="115" w:type="dxa"/>
            <w:right w:w="115" w:type="dxa"/>
          </w:tcMar>
          <w:vAlign w:val="bottom"/>
        </w:tcPr>
        <w:p w14:paraId="6BB27B25" w14:textId="77777777" w:rsidR="00B113E8" w:rsidRDefault="00B113E8">
          <w:pPr>
            <w:pStyle w:val="ReportName"/>
          </w:pPr>
        </w:p>
      </w:tc>
    </w:tr>
  </w:tbl>
  <w:p w14:paraId="45B2D486" w14:textId="1F9E30B9" w:rsidR="00B113E8" w:rsidRDefault="00AF3370">
    <w:r>
      <w:rPr>
        <w:noProof/>
        <w:lang w:val="en-GB" w:eastAsia="en-GB"/>
      </w:rPr>
      <w:drawing>
        <wp:anchor distT="0" distB="0" distL="114300" distR="114300" simplePos="0" relativeHeight="251679744" behindDoc="0" locked="0" layoutInCell="1" allowOverlap="1" wp14:anchorId="592002C6" wp14:editId="453A092D">
          <wp:simplePos x="0" y="0"/>
          <wp:positionH relativeFrom="column">
            <wp:posOffset>13837</wp:posOffset>
          </wp:positionH>
          <wp:positionV relativeFrom="paragraph">
            <wp:posOffset>-526415</wp:posOffset>
          </wp:positionV>
          <wp:extent cx="1714500" cy="4762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C835" w14:textId="2539EE91" w:rsidR="003872F0" w:rsidRDefault="00E42B57">
    <w:pPr>
      <w:pStyle w:val="Header"/>
    </w:pPr>
    <w:r>
      <w:rPr>
        <w:noProof/>
        <w:lang w:val="en-GB" w:eastAsia="en-GB"/>
      </w:rPr>
      <w:drawing>
        <wp:anchor distT="0" distB="0" distL="114300" distR="114300" simplePos="0" relativeHeight="251671552" behindDoc="0" locked="0" layoutInCell="1" allowOverlap="1" wp14:anchorId="420F2702" wp14:editId="67BDE953">
          <wp:simplePos x="0" y="0"/>
          <wp:positionH relativeFrom="column">
            <wp:posOffset>0</wp:posOffset>
          </wp:positionH>
          <wp:positionV relativeFrom="paragraph">
            <wp:posOffset>-218440</wp:posOffset>
          </wp:positionV>
          <wp:extent cx="2481943" cy="662216"/>
          <wp:effectExtent l="0" t="0" r="0" b="50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033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81943" cy="662216"/>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4877"/>
      <w:gridCol w:w="4876"/>
    </w:tblGrid>
    <w:tr w:rsidR="00AF3370" w14:paraId="3D3E84E4" w14:textId="77777777" w:rsidTr="00AF3370">
      <w:trPr>
        <w:trHeight w:val="141"/>
      </w:trPr>
      <w:tc>
        <w:tcPr>
          <w:tcW w:w="4877" w:type="dxa"/>
          <w:tcBorders>
            <w:bottom w:val="single" w:sz="4" w:space="0" w:color="auto"/>
          </w:tcBorders>
          <w:tcMar>
            <w:left w:w="115" w:type="dxa"/>
            <w:right w:w="115" w:type="dxa"/>
          </w:tcMar>
          <w:vAlign w:val="bottom"/>
        </w:tcPr>
        <w:p w14:paraId="3EDB1A3E" w14:textId="77777777" w:rsidR="00AF3370" w:rsidRDefault="00AF3370">
          <w:pPr>
            <w:pStyle w:val="NoSpacing"/>
            <w:spacing w:after="80"/>
          </w:pPr>
        </w:p>
      </w:tc>
      <w:tc>
        <w:tcPr>
          <w:tcW w:w="4876" w:type="dxa"/>
          <w:tcBorders>
            <w:bottom w:val="single" w:sz="4" w:space="0" w:color="auto"/>
          </w:tcBorders>
          <w:tcMar>
            <w:left w:w="115" w:type="dxa"/>
            <w:right w:w="115" w:type="dxa"/>
          </w:tcMar>
          <w:vAlign w:val="bottom"/>
        </w:tcPr>
        <w:p w14:paraId="768A9336" w14:textId="77777777" w:rsidR="00AF3370" w:rsidRDefault="00AF3370">
          <w:pPr>
            <w:pStyle w:val="ReportName"/>
          </w:pPr>
        </w:p>
      </w:tc>
    </w:tr>
  </w:tbl>
  <w:p w14:paraId="227CE57D" w14:textId="77777777" w:rsidR="00AF3370" w:rsidRDefault="00AF3370">
    <w:r>
      <w:rPr>
        <w:noProof/>
        <w:lang w:val="en-GB" w:eastAsia="en-GB"/>
      </w:rPr>
      <w:drawing>
        <wp:anchor distT="0" distB="0" distL="114300" distR="114300" simplePos="0" relativeHeight="251681792" behindDoc="0" locked="0" layoutInCell="1" allowOverlap="1" wp14:anchorId="2C7CAAE7" wp14:editId="45B52620">
          <wp:simplePos x="0" y="0"/>
          <wp:positionH relativeFrom="column">
            <wp:posOffset>13837</wp:posOffset>
          </wp:positionH>
          <wp:positionV relativeFrom="paragraph">
            <wp:posOffset>-526415</wp:posOffset>
          </wp:positionV>
          <wp:extent cx="1714500" cy="4762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4877"/>
      <w:gridCol w:w="4876"/>
    </w:tblGrid>
    <w:tr w:rsidR="00053E6F" w14:paraId="54CBAEAC" w14:textId="77777777" w:rsidTr="005E6459">
      <w:trPr>
        <w:trHeight w:val="141"/>
      </w:trPr>
      <w:tc>
        <w:tcPr>
          <w:tcW w:w="5148" w:type="dxa"/>
          <w:tcBorders>
            <w:bottom w:val="single" w:sz="4" w:space="0" w:color="auto"/>
          </w:tcBorders>
          <w:tcMar>
            <w:left w:w="115" w:type="dxa"/>
            <w:right w:w="115" w:type="dxa"/>
          </w:tcMar>
          <w:vAlign w:val="bottom"/>
        </w:tcPr>
        <w:p w14:paraId="7C4ACF8F" w14:textId="77777777" w:rsidR="00053E6F" w:rsidRDefault="00053E6F" w:rsidP="00053E6F">
          <w:pPr>
            <w:pStyle w:val="NoSpacing"/>
            <w:spacing w:after="80"/>
          </w:pPr>
        </w:p>
      </w:tc>
      <w:tc>
        <w:tcPr>
          <w:tcW w:w="5148" w:type="dxa"/>
          <w:tcBorders>
            <w:bottom w:val="single" w:sz="4" w:space="0" w:color="auto"/>
          </w:tcBorders>
          <w:tcMar>
            <w:left w:w="115" w:type="dxa"/>
            <w:right w:w="115" w:type="dxa"/>
          </w:tcMar>
          <w:vAlign w:val="bottom"/>
        </w:tcPr>
        <w:p w14:paraId="5D099CA8" w14:textId="77777777" w:rsidR="00053E6F" w:rsidRDefault="00053E6F" w:rsidP="00053E6F">
          <w:pPr>
            <w:pStyle w:val="ReportName"/>
          </w:pPr>
        </w:p>
      </w:tc>
    </w:tr>
  </w:tbl>
  <w:p w14:paraId="24F8EDEE" w14:textId="70E81098" w:rsidR="00053E6F" w:rsidRDefault="00053E6F" w:rsidP="00053E6F">
    <w:r>
      <w:rPr>
        <w:noProof/>
        <w:lang w:val="en-GB" w:eastAsia="en-GB"/>
      </w:rPr>
      <mc:AlternateContent>
        <mc:Choice Requires="wps">
          <w:drawing>
            <wp:anchor distT="0" distB="0" distL="114300" distR="114300" simplePos="0" relativeHeight="251649023" behindDoc="0" locked="0" layoutInCell="1" allowOverlap="1" wp14:anchorId="0BE45FEE" wp14:editId="31A70E9B">
              <wp:simplePos x="0" y="0"/>
              <wp:positionH relativeFrom="column">
                <wp:posOffset>-773347</wp:posOffset>
              </wp:positionH>
              <wp:positionV relativeFrom="paragraph">
                <wp:posOffset>-907028</wp:posOffset>
              </wp:positionV>
              <wp:extent cx="7861935" cy="13141186"/>
              <wp:effectExtent l="0" t="0" r="5715" b="3810"/>
              <wp:wrapNone/>
              <wp:docPr id="62" name="Rectangle 62"/>
              <wp:cNvGraphicFramePr/>
              <a:graphic xmlns:a="http://schemas.openxmlformats.org/drawingml/2006/main">
                <a:graphicData uri="http://schemas.microsoft.com/office/word/2010/wordprocessingShape">
                  <wps:wsp>
                    <wps:cNvSpPr/>
                    <wps:spPr>
                      <a:xfrm>
                        <a:off x="0" y="0"/>
                        <a:ext cx="7861935" cy="13141186"/>
                      </a:xfrm>
                      <a:prstGeom prst="rect">
                        <a:avLst/>
                      </a:prstGeom>
                      <a:solidFill>
                        <a:srgbClr val="12318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9C079B" w14:textId="03C1B14F" w:rsidR="00053E6F" w:rsidRDefault="002857E9" w:rsidP="00053E6F">
                          <w:pPr>
                            <w:pStyle w:val="Subtitle"/>
                            <w:ind w:left="0"/>
                          </w:pPr>
                          <w:r>
                            <w:rPr>
                              <w:noProof/>
                            </w:rPr>
                            <w:ptab w:relativeTo="margin" w:alignment="center" w:leader="none"/>
                          </w:r>
                        </w:p>
                        <w:p w14:paraId="09DCB64E" w14:textId="77777777" w:rsidR="00053E6F" w:rsidRDefault="00053E6F" w:rsidP="00053E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45FEE" id="Rectangle 62" o:spid="_x0000_s1028" style="position:absolute;margin-left:-60.9pt;margin-top:-71.4pt;width:619.05pt;height:1034.75pt;z-index:251649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" fillcolor="#123181" stroked="f" strokeweight="1.3333mm">
              <v:stroke linestyle="thickThin"/>
              <v:textbox>
                <w:txbxContent>
                  <w:p w14:paraId="719C079B" w14:textId="03C1B14F" w:rsidR="00053E6F" w:rsidRDefault="002857E9" w:rsidP="00053E6F">
                    <w:pPr>
                      <w:pStyle w:val="Subtitle"/>
                      <w:ind w:left="0"/>
                    </w:pPr>
                    <w:r>
                      <w:rPr>
                        <w:noProof/>
                      </w:rPr>
                      <w:ptab w:relativeTo="margin" w:alignment="center" w:leader="none"/>
                    </w:r>
                  </w:p>
                  <w:p w14:paraId="09DCB64E" w14:textId="77777777" w:rsidR="00053E6F" w:rsidRDefault="00053E6F" w:rsidP="00053E6F">
                    <w:pPr>
                      <w:jc w:val="center"/>
                    </w:pPr>
                  </w:p>
                </w:txbxContent>
              </v:textbox>
            </v:rect>
          </w:pict>
        </mc:Fallback>
      </mc:AlternateContent>
    </w:r>
  </w:p>
  <w:p w14:paraId="4966ACFC" w14:textId="320A147E" w:rsidR="00053E6F" w:rsidRDefault="00053E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D320ADC"/>
    <w:multiLevelType w:val="hybridMultilevel"/>
    <w:tmpl w:val="BCA2057C"/>
    <w:lvl w:ilvl="0" w:tplc="1450A28E">
      <w:start w:val="1"/>
      <w:numFmt w:val="bullet"/>
      <w:pStyle w:val="ListBulletNegative"/>
      <w:lvlText w:val=""/>
      <w:lvlJc w:val="left"/>
      <w:pPr>
        <w:ind w:left="432" w:hanging="360"/>
      </w:pPr>
      <w:rPr>
        <w:rFonts w:ascii="Symbol" w:hAnsi="Symbol"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369CB"/>
    <w:multiLevelType w:val="hybridMultilevel"/>
    <w:tmpl w:val="617E91AE"/>
    <w:lvl w:ilvl="0" w:tplc="67742434">
      <w:start w:val="1"/>
      <w:numFmt w:val="bullet"/>
      <w:pStyle w:val="ListBullet"/>
      <w:lvlText w:val=""/>
      <w:lvlJc w:val="left"/>
      <w:pPr>
        <w:ind w:left="432" w:hanging="360"/>
      </w:pPr>
      <w:rPr>
        <w:rFonts w:ascii="Symbol" w:hAnsi="Symbol" w:hint="default"/>
        <w:color w:val="123181"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330229">
    <w:abstractNumId w:val="4"/>
  </w:num>
  <w:num w:numId="2" w16cid:durableId="1805736580">
    <w:abstractNumId w:val="3"/>
  </w:num>
  <w:num w:numId="3" w16cid:durableId="1338078884">
    <w:abstractNumId w:val="1"/>
  </w:num>
  <w:num w:numId="4" w16cid:durableId="1851412794">
    <w:abstractNumId w:val="0"/>
  </w:num>
  <w:num w:numId="5" w16cid:durableId="1531382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characterSpacingControl w:val="doNotCompress"/>
  <w:hdrShapeDefaults>
    <o:shapedefaults v:ext="edit" spidmax="2050">
      <o:colormru v:ext="edit" colors="#12318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980"/>
    <w:rsid w:val="00005AA5"/>
    <w:rsid w:val="00040FDF"/>
    <w:rsid w:val="00044AA5"/>
    <w:rsid w:val="00053E6F"/>
    <w:rsid w:val="00054E9B"/>
    <w:rsid w:val="000708E4"/>
    <w:rsid w:val="000C73E5"/>
    <w:rsid w:val="000E6147"/>
    <w:rsid w:val="000F5CB2"/>
    <w:rsid w:val="00104355"/>
    <w:rsid w:val="00125AEF"/>
    <w:rsid w:val="0014334C"/>
    <w:rsid w:val="00175C04"/>
    <w:rsid w:val="00187717"/>
    <w:rsid w:val="00197180"/>
    <w:rsid w:val="001A4845"/>
    <w:rsid w:val="00205F9C"/>
    <w:rsid w:val="00212B5E"/>
    <w:rsid w:val="00260BED"/>
    <w:rsid w:val="002857E9"/>
    <w:rsid w:val="002A6D85"/>
    <w:rsid w:val="002B5CEA"/>
    <w:rsid w:val="00340378"/>
    <w:rsid w:val="003533A3"/>
    <w:rsid w:val="003733C1"/>
    <w:rsid w:val="003872F0"/>
    <w:rsid w:val="003E1795"/>
    <w:rsid w:val="003E309B"/>
    <w:rsid w:val="003F3D53"/>
    <w:rsid w:val="00417C12"/>
    <w:rsid w:val="00436390"/>
    <w:rsid w:val="0046575E"/>
    <w:rsid w:val="004B1A5C"/>
    <w:rsid w:val="004D36FA"/>
    <w:rsid w:val="00562B98"/>
    <w:rsid w:val="006360AA"/>
    <w:rsid w:val="006A4DF2"/>
    <w:rsid w:val="006B007D"/>
    <w:rsid w:val="006F3E90"/>
    <w:rsid w:val="00731310"/>
    <w:rsid w:val="00735B64"/>
    <w:rsid w:val="007828C8"/>
    <w:rsid w:val="007A1071"/>
    <w:rsid w:val="007A76E2"/>
    <w:rsid w:val="008179FF"/>
    <w:rsid w:val="008422A0"/>
    <w:rsid w:val="008B582A"/>
    <w:rsid w:val="00961A0C"/>
    <w:rsid w:val="00970CCE"/>
    <w:rsid w:val="009A0C58"/>
    <w:rsid w:val="009F0C1B"/>
    <w:rsid w:val="00A019F9"/>
    <w:rsid w:val="00A36C2D"/>
    <w:rsid w:val="00A51B15"/>
    <w:rsid w:val="00AE2526"/>
    <w:rsid w:val="00AF13FB"/>
    <w:rsid w:val="00AF3370"/>
    <w:rsid w:val="00B113E8"/>
    <w:rsid w:val="00B47504"/>
    <w:rsid w:val="00B92672"/>
    <w:rsid w:val="00C20FB2"/>
    <w:rsid w:val="00C47B0F"/>
    <w:rsid w:val="00CA24D1"/>
    <w:rsid w:val="00CA3536"/>
    <w:rsid w:val="00CA7022"/>
    <w:rsid w:val="00CB53AC"/>
    <w:rsid w:val="00D108D9"/>
    <w:rsid w:val="00D33A0D"/>
    <w:rsid w:val="00D45237"/>
    <w:rsid w:val="00D462D4"/>
    <w:rsid w:val="00D56EFF"/>
    <w:rsid w:val="00D83DF0"/>
    <w:rsid w:val="00DA1E8E"/>
    <w:rsid w:val="00DB4980"/>
    <w:rsid w:val="00E42B57"/>
    <w:rsid w:val="00E85938"/>
    <w:rsid w:val="00EB7991"/>
    <w:rsid w:val="00F1351A"/>
    <w:rsid w:val="00F27B60"/>
    <w:rsid w:val="00F53468"/>
    <w:rsid w:val="00F6370C"/>
    <w:rsid w:val="00F90417"/>
    <w:rsid w:val="00FF4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23181"/>
    </o:shapedefaults>
    <o:shapelayout v:ext="edit">
      <o:idmap v:ext="edit" data="2"/>
    </o:shapelayout>
  </w:shapeDefaults>
  <w:decimalSymbol w:val="."/>
  <w:listSeparator w:val=","/>
  <w14:docId w14:val="112CDD3F"/>
  <w15:docId w15:val="{DF80FA1A-48FC-4659-A68E-535B667A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180"/>
    <w:pPr>
      <w:spacing w:before="40" w:after="40"/>
    </w:pPr>
    <w:rPr>
      <w:rFonts w:ascii="Arial" w:hAnsi="Arial"/>
    </w:rPr>
  </w:style>
  <w:style w:type="paragraph" w:styleId="Heading1">
    <w:name w:val="heading 1"/>
    <w:basedOn w:val="Normal"/>
    <w:next w:val="Normal"/>
    <w:link w:val="Heading1Char"/>
    <w:uiPriority w:val="9"/>
    <w:qFormat/>
    <w:rsid w:val="00DB4980"/>
    <w:pPr>
      <w:spacing w:after="0" w:line="240" w:lineRule="auto"/>
      <w:outlineLvl w:val="0"/>
    </w:pPr>
    <w:rPr>
      <w:b/>
      <w:color w:val="123181"/>
      <w:sz w:val="48"/>
      <w:szCs w:val="48"/>
    </w:rPr>
  </w:style>
  <w:style w:type="paragraph" w:styleId="Heading2">
    <w:name w:val="heading 2"/>
    <w:basedOn w:val="Normal"/>
    <w:next w:val="Normal"/>
    <w:link w:val="Heading2Char"/>
    <w:uiPriority w:val="9"/>
    <w:unhideWhenUsed/>
    <w:qFormat/>
    <w:rsid w:val="003872F0"/>
    <w:pPr>
      <w:pBdr>
        <w:bottom w:val="single" w:sz="8" w:space="4" w:color="123181"/>
      </w:pBdr>
      <w:spacing w:before="0" w:after="0" w:line="240" w:lineRule="auto"/>
      <w:outlineLvl w:val="1"/>
    </w:pPr>
    <w:rPr>
      <w:b/>
      <w:color w:val="123181"/>
      <w:sz w:val="28"/>
      <w:szCs w:val="28"/>
    </w:rPr>
  </w:style>
  <w:style w:type="paragraph" w:styleId="Heading3">
    <w:name w:val="heading 3"/>
    <w:basedOn w:val="Normal"/>
    <w:next w:val="Normal"/>
    <w:link w:val="Heading3Char"/>
    <w:uiPriority w:val="9"/>
    <w:unhideWhenUsed/>
    <w:qFormat/>
    <w:rsid w:val="00417C12"/>
    <w:pPr>
      <w:spacing w:before="0" w:after="0" w:line="240" w:lineRule="auto"/>
      <w:outlineLvl w:val="2"/>
    </w:pPr>
    <w:rPr>
      <w:color w:val="123181"/>
      <w:sz w:val="24"/>
      <w:szCs w:val="24"/>
    </w:rPr>
  </w:style>
  <w:style w:type="paragraph" w:styleId="Heading4">
    <w:name w:val="heading 4"/>
    <w:basedOn w:val="Normal"/>
    <w:next w:val="Normal"/>
    <w:link w:val="Heading4Char"/>
    <w:uiPriority w:val="9"/>
    <w:unhideWhenUsed/>
    <w:qFormat/>
    <w:rsid w:val="00104355"/>
    <w:pPr>
      <w:spacing w:before="0" w:after="0" w:line="240" w:lineRule="auto"/>
      <w:outlineLvl w:val="3"/>
    </w:pPr>
    <w:rPr>
      <w:b/>
      <w:color w:val="123181"/>
      <w:szCs w:val="24"/>
    </w:rPr>
  </w:style>
  <w:style w:type="paragraph" w:styleId="Heading5">
    <w:name w:val="heading 5"/>
    <w:basedOn w:val="TOC3"/>
    <w:next w:val="Normal"/>
    <w:link w:val="Heading5Char"/>
    <w:uiPriority w:val="9"/>
    <w:unhideWhenUsed/>
    <w:qFormat/>
    <w:rsid w:val="008179FF"/>
    <w:pPr>
      <w:ind w:left="0" w:right="0"/>
      <w:outlineLvl w:val="4"/>
    </w:pPr>
    <w:rPr>
      <w:i/>
      <w:noProof/>
      <w:color w:val="123181"/>
    </w:rPr>
  </w:style>
  <w:style w:type="paragraph" w:styleId="Heading6">
    <w:name w:val="heading 6"/>
    <w:basedOn w:val="Normal"/>
    <w:next w:val="Normal"/>
    <w:link w:val="Heading6Char"/>
    <w:uiPriority w:val="9"/>
    <w:unhideWhenUsed/>
    <w:qFormat/>
    <w:rsid w:val="008179FF"/>
    <w:pPr>
      <w:spacing w:line="240" w:lineRule="auto"/>
      <w:outlineLvl w:val="5"/>
    </w:pPr>
    <w:rPr>
      <w:color w:val="792273"/>
      <w:sz w:val="18"/>
    </w:rPr>
  </w:style>
  <w:style w:type="paragraph" w:styleId="Heading7">
    <w:name w:val="heading 7"/>
    <w:basedOn w:val="Normal"/>
    <w:next w:val="Normal"/>
    <w:link w:val="Heading7Char"/>
    <w:uiPriority w:val="9"/>
    <w:semiHidden/>
    <w:unhideWhenUsed/>
    <w:qFormat/>
    <w:rsid w:val="00DB4980"/>
    <w:pPr>
      <w:keepNext/>
      <w:keepLines/>
      <w:spacing w:after="0"/>
      <w:outlineLvl w:val="6"/>
    </w:pPr>
    <w:rPr>
      <w:rFonts w:eastAsiaTheme="majorEastAsia" w:cstheme="majorBidi"/>
      <w:i/>
      <w:iCs/>
      <w:color w:val="79227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rsid w:val="00970CCE"/>
    <w:pPr>
      <w:spacing w:before="2000" w:after="1000" w:line="240" w:lineRule="auto"/>
      <w:ind w:left="864" w:right="864"/>
      <w:jc w:val="center"/>
    </w:pPr>
  </w:style>
  <w:style w:type="paragraph" w:styleId="Title">
    <w:name w:val="Title"/>
    <w:basedOn w:val="Normal"/>
    <w:next w:val="Normal"/>
    <w:link w:val="TitleChar"/>
    <w:qFormat/>
    <w:rsid w:val="00DB4980"/>
    <w:pPr>
      <w:spacing w:before="1000" w:after="0" w:line="240" w:lineRule="auto"/>
    </w:pPr>
    <w:rPr>
      <w:b/>
      <w:color w:val="123181"/>
      <w:sz w:val="48"/>
      <w:szCs w:val="48"/>
    </w:rPr>
  </w:style>
  <w:style w:type="character" w:customStyle="1" w:styleId="TitleChar">
    <w:name w:val="Title Char"/>
    <w:basedOn w:val="DefaultParagraphFont"/>
    <w:link w:val="Title"/>
    <w:rsid w:val="00DB4980"/>
    <w:rPr>
      <w:rFonts w:ascii="Source Sans Pro" w:hAnsi="Source Sans Pro"/>
      <w:b/>
      <w:color w:val="123181"/>
      <w:sz w:val="48"/>
      <w:szCs w:val="48"/>
    </w:rPr>
  </w:style>
  <w:style w:type="paragraph" w:styleId="Subtitle">
    <w:name w:val="Subtitle"/>
    <w:basedOn w:val="Normal"/>
    <w:next w:val="Normal"/>
    <w:link w:val="SubtitleChar"/>
    <w:qFormat/>
    <w:rsid w:val="00F1351A"/>
    <w:pPr>
      <w:spacing w:after="360" w:line="240" w:lineRule="auto"/>
      <w:ind w:left="864" w:right="864"/>
    </w:pPr>
    <w:rPr>
      <w:color w:val="FFFFFF" w:themeColor="background1"/>
      <w:sz w:val="48"/>
      <w:szCs w:val="24"/>
    </w:rPr>
  </w:style>
  <w:style w:type="character" w:customStyle="1" w:styleId="SubtitleChar">
    <w:name w:val="Subtitle Char"/>
    <w:basedOn w:val="DefaultParagraphFont"/>
    <w:link w:val="Subtitle"/>
    <w:rsid w:val="00F1351A"/>
    <w:rPr>
      <w:rFonts w:ascii="Source Sans Pro" w:hAnsi="Source Sans Pro"/>
      <w:color w:val="FFFFFF" w:themeColor="background1"/>
      <w:sz w:val="48"/>
      <w:szCs w:val="24"/>
    </w:rPr>
  </w:style>
  <w:style w:type="paragraph" w:customStyle="1" w:styleId="URL">
    <w:name w:val="URL"/>
    <w:basedOn w:val="Normal"/>
    <w:qFormat/>
    <w:rsid w:val="00E42B57"/>
    <w:pPr>
      <w:spacing w:before="300" w:after="0" w:line="360" w:lineRule="auto"/>
      <w:contextualSpacing/>
    </w:pPr>
    <w:rPr>
      <w:color w:val="FFFFFF" w:themeColor="background1"/>
      <w:sz w:val="32"/>
      <w:szCs w:val="18"/>
      <w14:numForm w14:val="lining"/>
    </w:rPr>
  </w:style>
  <w:style w:type="character" w:styleId="Strong">
    <w:name w:val="Strong"/>
    <w:basedOn w:val="DefaultParagraphFont"/>
    <w:uiPriority w:val="1"/>
    <w:qFormat/>
    <w:rsid w:val="00970CCE"/>
    <w:rPr>
      <w:rFonts w:ascii="Arial" w:hAnsi="Arial"/>
      <w:b/>
      <w:bCs/>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sid w:val="00CA7022"/>
    <w:rPr>
      <w:rFonts w:ascii="Arial" w:hAnsi="Arial"/>
      <w:color w:val="auto"/>
      <w:sz w:val="14"/>
    </w:rPr>
  </w:style>
  <w:style w:type="character" w:customStyle="1" w:styleId="Heading1Char">
    <w:name w:val="Heading 1 Char"/>
    <w:basedOn w:val="DefaultParagraphFont"/>
    <w:link w:val="Heading1"/>
    <w:uiPriority w:val="9"/>
    <w:rsid w:val="00DB4980"/>
    <w:rPr>
      <w:rFonts w:ascii="Source Sans Pro" w:hAnsi="Source Sans Pro"/>
      <w:b/>
      <w:color w:val="123181"/>
      <w:sz w:val="48"/>
      <w:szCs w:val="48"/>
    </w:rPr>
  </w:style>
  <w:style w:type="paragraph" w:styleId="NoSpacing">
    <w:name w:val="No Spacing"/>
    <w:uiPriority w:val="1"/>
    <w:qFormat/>
    <w:rsid w:val="00E42B57"/>
    <w:pPr>
      <w:spacing w:after="0" w:line="240" w:lineRule="auto"/>
    </w:pPr>
    <w:rPr>
      <w:rFonts w:ascii="Arial" w:hAnsi="Arial"/>
      <w:color w:val="595959" w:themeColor="text1" w:themeTint="A6"/>
      <w:sz w:val="16"/>
    </w:rPr>
  </w:style>
  <w:style w:type="character" w:customStyle="1" w:styleId="Heading2Char">
    <w:name w:val="Heading 2 Char"/>
    <w:basedOn w:val="DefaultParagraphFont"/>
    <w:link w:val="Heading2"/>
    <w:uiPriority w:val="9"/>
    <w:rsid w:val="003872F0"/>
    <w:rPr>
      <w:rFonts w:ascii="Source Sans Pro" w:hAnsi="Source Sans Pro"/>
      <w:b/>
      <w:color w:val="123181"/>
      <w:sz w:val="28"/>
      <w:szCs w:val="28"/>
    </w:rPr>
  </w:style>
  <w:style w:type="character" w:customStyle="1" w:styleId="Heading5Char">
    <w:name w:val="Heading 5 Char"/>
    <w:basedOn w:val="DefaultParagraphFont"/>
    <w:link w:val="Heading5"/>
    <w:uiPriority w:val="9"/>
    <w:rsid w:val="008179FF"/>
    <w:rPr>
      <w:rFonts w:ascii="Arial" w:hAnsi="Arial"/>
      <w:i/>
      <w:noProof/>
      <w:color w:val="123181"/>
    </w:rPr>
  </w:style>
  <w:style w:type="paragraph" w:customStyle="1" w:styleId="SidebarText">
    <w:name w:val="Sidebar Text"/>
    <w:basedOn w:val="Normal"/>
    <w:qFormat/>
    <w:pPr>
      <w:spacing w:after="120" w:line="240" w:lineRule="auto"/>
      <w:ind w:left="360"/>
    </w:pPr>
    <w:rPr>
      <w:color w:val="404040" w:themeColor="text1" w:themeTint="BF"/>
      <w:sz w:val="16"/>
      <w:szCs w:val="16"/>
    </w:rPr>
  </w:style>
  <w:style w:type="paragraph" w:styleId="ListBullet">
    <w:name w:val="List Bullet"/>
    <w:basedOn w:val="Normal"/>
    <w:qFormat/>
    <w:rsid w:val="00970CCE"/>
    <w:pPr>
      <w:numPr>
        <w:numId w:val="2"/>
      </w:numPr>
      <w:spacing w:before="100" w:after="0" w:line="240" w:lineRule="auto"/>
      <w:ind w:left="357" w:hanging="357"/>
    </w:pPr>
  </w:style>
  <w:style w:type="paragraph" w:customStyle="1" w:styleId="ListBulletNegative">
    <w:name w:val="List Bullet Negative"/>
    <w:basedOn w:val="Normal"/>
    <w:qFormat/>
    <w:rsid w:val="00970CCE"/>
    <w:pPr>
      <w:numPr>
        <w:numId w:val="5"/>
      </w:numPr>
      <w:spacing w:before="100" w:after="0" w:line="240" w:lineRule="auto"/>
      <w:ind w:left="360"/>
    </w:pPr>
  </w:style>
  <w:style w:type="character" w:customStyle="1" w:styleId="Heading3Char">
    <w:name w:val="Heading 3 Char"/>
    <w:basedOn w:val="DefaultParagraphFont"/>
    <w:link w:val="Heading3"/>
    <w:uiPriority w:val="9"/>
    <w:rsid w:val="00417C12"/>
    <w:rPr>
      <w:rFonts w:ascii="Arial" w:hAnsi="Arial"/>
      <w:color w:val="123181"/>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sid w:val="008179FF"/>
    <w:rPr>
      <w:rFonts w:ascii="Arial" w:hAnsi="Arial"/>
      <w:color w:val="792273"/>
      <w:sz w:val="18"/>
    </w:rPr>
  </w:style>
  <w:style w:type="paragraph" w:customStyle="1" w:styleId="TableText">
    <w:name w:val="Table Text"/>
    <w:basedOn w:val="Normal"/>
    <w:link w:val="TableTextChar"/>
    <w:qFormat/>
    <w:pPr>
      <w:spacing w:line="240" w:lineRule="auto"/>
    </w:pPr>
    <w:rPr>
      <w:color w:val="7F7F7F" w:themeColor="text1" w:themeTint="80"/>
      <w:sz w:val="16"/>
      <w:szCs w:val="16"/>
    </w:rPr>
  </w:style>
  <w:style w:type="paragraph" w:customStyle="1" w:styleId="TableRowHeading">
    <w:name w:val="Table Row Heading"/>
    <w:basedOn w:val="Normal"/>
    <w:qFormat/>
    <w:rsid w:val="00F27B60"/>
    <w:pPr>
      <w:spacing w:line="240" w:lineRule="auto"/>
    </w:pPr>
    <w:rPr>
      <w:b/>
      <w:color w:val="7F7F7F" w:themeColor="text1" w:themeTint="80"/>
      <w:sz w:val="16"/>
      <w:szCs w:val="16"/>
    </w:rPr>
  </w:style>
  <w:style w:type="character" w:styleId="Hyperlink">
    <w:name w:val="Hyperlink"/>
    <w:basedOn w:val="DefaultParagraphFont"/>
    <w:uiPriority w:val="99"/>
    <w:unhideWhenUsed/>
    <w:rPr>
      <w:color w:val="123181" w:themeColor="hyperlink"/>
      <w:u w:val="single"/>
    </w:rPr>
  </w:style>
  <w:style w:type="paragraph" w:styleId="TOC1">
    <w:name w:val="toc 1"/>
    <w:basedOn w:val="Normal"/>
    <w:next w:val="Normal"/>
    <w:autoRedefine/>
    <w:uiPriority w:val="39"/>
    <w:unhideWhenUsed/>
    <w:qFormat/>
    <w:rsid w:val="00125AEF"/>
    <w:pPr>
      <w:pBdr>
        <w:bottom w:val="single" w:sz="4" w:space="1" w:color="123181"/>
      </w:pBdr>
      <w:tabs>
        <w:tab w:val="right" w:pos="9778"/>
      </w:tabs>
      <w:spacing w:before="400" w:after="0" w:line="240" w:lineRule="auto"/>
      <w:ind w:right="288"/>
    </w:pPr>
    <w:rPr>
      <w:b/>
      <w:color w:val="12318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rsid w:val="00970CCE"/>
    <w:pPr>
      <w:spacing w:before="0" w:line="240" w:lineRule="auto"/>
      <w:jc w:val="right"/>
    </w:pPr>
    <w:rPr>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rsid w:val="00125AEF"/>
    <w:pPr>
      <w:spacing w:before="80" w:after="80" w:line="240" w:lineRule="auto"/>
    </w:pPr>
    <w:rPr>
      <w:b/>
      <w:color w:val="123181"/>
      <w:sz w:val="48"/>
      <w:szCs w:val="28"/>
    </w:rPr>
  </w:style>
  <w:style w:type="character" w:customStyle="1" w:styleId="Heading4Char">
    <w:name w:val="Heading 4 Char"/>
    <w:basedOn w:val="DefaultParagraphFont"/>
    <w:link w:val="Heading4"/>
    <w:uiPriority w:val="9"/>
    <w:rsid w:val="00104355"/>
    <w:rPr>
      <w:rFonts w:ascii="Arial" w:hAnsi="Arial"/>
      <w:b/>
      <w:color w:val="123181"/>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Borders>
        <w:top w:val="single" w:sz="4" w:space="0" w:color="BFBFBF" w:themeColor="background1" w:themeShade="BF"/>
        <w:insideH w:val="single" w:sz="4" w:space="0" w:color="BFBFBF" w:themeColor="background1" w:themeShade="BF"/>
      </w:tblBorders>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Borders>
        <w:top w:val="single" w:sz="4" w:space="0" w:color="BFBFBF" w:themeColor="background1" w:themeShade="BF"/>
        <w:insideH w:val="single" w:sz="4" w:space="0" w:color="BFBFBF" w:themeColor="background1" w:themeShade="BF"/>
      </w:tblBorders>
      <w:tblCellMar>
        <w:left w:w="0" w:type="dxa"/>
        <w:right w:w="0" w:type="dxa"/>
      </w:tblCellMar>
    </w:tblPr>
    <w:tcPr>
      <w:vAlign w:val="center"/>
    </w:tcPr>
  </w:style>
  <w:style w:type="paragraph" w:customStyle="1" w:styleId="Notice">
    <w:name w:val="Notice"/>
    <w:basedOn w:val="Normal"/>
    <w:qFormat/>
    <w:rsid w:val="00970CCE"/>
    <w:pPr>
      <w:spacing w:before="360"/>
    </w:pPr>
    <w:rPr>
      <w:i/>
      <w:color w:val="808080" w:themeColor="background1" w:themeShade="80"/>
      <w:sz w:val="16"/>
      <w:szCs w:val="16"/>
    </w:rPr>
  </w:style>
  <w:style w:type="character" w:customStyle="1" w:styleId="Heading7Char">
    <w:name w:val="Heading 7 Char"/>
    <w:basedOn w:val="DefaultParagraphFont"/>
    <w:link w:val="Heading7"/>
    <w:uiPriority w:val="9"/>
    <w:semiHidden/>
    <w:rsid w:val="00DB4980"/>
    <w:rPr>
      <w:rFonts w:ascii="Source Sans Pro" w:eastAsiaTheme="majorEastAsia" w:hAnsi="Source Sans Pro" w:cstheme="majorBidi"/>
      <w:i/>
      <w:iCs/>
      <w:color w:val="792273"/>
    </w:rPr>
  </w:style>
  <w:style w:type="paragraph" w:customStyle="1" w:styleId="Bodycopy">
    <w:name w:val="Body copy"/>
    <w:basedOn w:val="Normal"/>
    <w:uiPriority w:val="99"/>
    <w:rsid w:val="00F1351A"/>
    <w:pPr>
      <w:suppressAutoHyphens/>
      <w:autoSpaceDE w:val="0"/>
      <w:autoSpaceDN w:val="0"/>
      <w:adjustRightInd w:val="0"/>
      <w:spacing w:before="0" w:after="170" w:line="288" w:lineRule="auto"/>
      <w:textAlignment w:val="center"/>
    </w:pPr>
    <w:rPr>
      <w:rFonts w:ascii="Source Sans Pro (OTF) Light" w:hAnsi="Source Sans Pro (OTF) Light" w:cs="Source Sans Pro (OTF) Light"/>
      <w:color w:val="000000"/>
      <w:lang w:val="en-GB"/>
    </w:rPr>
  </w:style>
  <w:style w:type="paragraph" w:styleId="ListParagraph">
    <w:name w:val="List Paragraph"/>
    <w:basedOn w:val="Normal"/>
    <w:uiPriority w:val="34"/>
    <w:qFormat/>
    <w:rsid w:val="000F5CB2"/>
    <w:pPr>
      <w:ind w:left="720"/>
      <w:contextualSpacing/>
    </w:pPr>
  </w:style>
  <w:style w:type="character" w:styleId="BookTitle">
    <w:name w:val="Book Title"/>
    <w:basedOn w:val="DefaultParagraphFont"/>
    <w:uiPriority w:val="33"/>
    <w:qFormat/>
    <w:rsid w:val="00970CCE"/>
    <w:rPr>
      <w:rFonts w:ascii="Arial" w:hAnsi="Arial"/>
      <w:b/>
      <w:bCs/>
      <w:i/>
      <w:iCs/>
      <w:spacing w:val="5"/>
    </w:rPr>
  </w:style>
  <w:style w:type="character" w:styleId="IntenseReference">
    <w:name w:val="Intense Reference"/>
    <w:basedOn w:val="DefaultParagraphFont"/>
    <w:uiPriority w:val="32"/>
    <w:qFormat/>
    <w:rsid w:val="00970CCE"/>
    <w:rPr>
      <w:rFonts w:ascii="Arial" w:hAnsi="Arial"/>
      <w:b/>
      <w:bCs/>
      <w:caps w:val="0"/>
      <w:smallCaps w:val="0"/>
      <w:strike w:val="0"/>
      <w:dstrike w:val="0"/>
      <w:vanish w:val="0"/>
      <w:color w:val="123181" w:themeColor="accent1"/>
      <w:spacing w:val="5"/>
      <w:vertAlign w:val="baseline"/>
    </w:rPr>
  </w:style>
  <w:style w:type="character" w:styleId="SubtleEmphasis">
    <w:name w:val="Subtle Emphasis"/>
    <w:basedOn w:val="DefaultParagraphFont"/>
    <w:uiPriority w:val="19"/>
    <w:qFormat/>
    <w:rsid w:val="00970CCE"/>
    <w:rPr>
      <w:rFonts w:ascii="Arial" w:hAnsi="Arial"/>
      <w:i/>
      <w:iCs/>
      <w:color w:val="404040" w:themeColor="text1" w:themeTint="BF"/>
    </w:rPr>
  </w:style>
  <w:style w:type="character" w:styleId="Emphasis">
    <w:name w:val="Emphasis"/>
    <w:basedOn w:val="DefaultParagraphFont"/>
    <w:uiPriority w:val="20"/>
    <w:qFormat/>
    <w:rsid w:val="00970CCE"/>
    <w:rPr>
      <w:rFonts w:ascii="Arial" w:hAnsi="Arial"/>
      <w:i/>
      <w:iCs/>
    </w:rPr>
  </w:style>
  <w:style w:type="character" w:styleId="IntenseEmphasis">
    <w:name w:val="Intense Emphasis"/>
    <w:basedOn w:val="DefaultParagraphFont"/>
    <w:uiPriority w:val="21"/>
    <w:qFormat/>
    <w:rsid w:val="00970CCE"/>
    <w:rPr>
      <w:rFonts w:ascii="Arial" w:hAnsi="Arial"/>
      <w:i/>
      <w:iCs/>
      <w:color w:val="123181" w:themeColor="accent1"/>
    </w:rPr>
  </w:style>
  <w:style w:type="character" w:styleId="SubtleReference">
    <w:name w:val="Subtle Reference"/>
    <w:basedOn w:val="DefaultParagraphFont"/>
    <w:uiPriority w:val="31"/>
    <w:qFormat/>
    <w:rsid w:val="00970CCE"/>
    <w:rPr>
      <w:rFonts w:ascii="Arial" w:hAnsi="Arial"/>
      <w:caps w:val="0"/>
      <w:smallCaps w:val="0"/>
      <w:color w:val="5A5A5A" w:themeColor="text1" w:themeTint="A5"/>
    </w:rPr>
  </w:style>
  <w:style w:type="paragraph" w:customStyle="1" w:styleId="SidebarHeading">
    <w:name w:val="Sidebar Heading"/>
    <w:basedOn w:val="Normal"/>
    <w:link w:val="SidebarHeadingChar"/>
    <w:qFormat/>
    <w:rsid w:val="00D108D9"/>
    <w:pPr>
      <w:spacing w:line="240" w:lineRule="auto"/>
      <w:ind w:left="28"/>
    </w:pPr>
    <w:rPr>
      <w:color w:val="FFFFFF" w:themeColor="background1"/>
      <w:sz w:val="24"/>
    </w:rPr>
  </w:style>
  <w:style w:type="paragraph" w:styleId="FootnoteText">
    <w:name w:val="footnote text"/>
    <w:basedOn w:val="Normal"/>
    <w:link w:val="FootnoteTextChar"/>
    <w:uiPriority w:val="99"/>
    <w:semiHidden/>
    <w:unhideWhenUsed/>
    <w:rsid w:val="00F53468"/>
    <w:pPr>
      <w:spacing w:before="0" w:after="0" w:line="240" w:lineRule="auto"/>
    </w:pPr>
  </w:style>
  <w:style w:type="character" w:customStyle="1" w:styleId="SidebarHeadingChar">
    <w:name w:val="Sidebar Heading Char"/>
    <w:basedOn w:val="DefaultParagraphFont"/>
    <w:link w:val="SidebarHeading"/>
    <w:rsid w:val="00D108D9"/>
    <w:rPr>
      <w:rFonts w:ascii="Arial" w:hAnsi="Arial"/>
      <w:color w:val="FFFFFF" w:themeColor="background1"/>
      <w:sz w:val="24"/>
    </w:rPr>
  </w:style>
  <w:style w:type="character" w:customStyle="1" w:styleId="FootnoteTextChar">
    <w:name w:val="Footnote Text Char"/>
    <w:basedOn w:val="DefaultParagraphFont"/>
    <w:link w:val="FootnoteText"/>
    <w:uiPriority w:val="99"/>
    <w:semiHidden/>
    <w:rsid w:val="00F53468"/>
    <w:rPr>
      <w:rFonts w:ascii="Arial" w:hAnsi="Arial"/>
    </w:rPr>
  </w:style>
  <w:style w:type="character" w:styleId="FootnoteReference">
    <w:name w:val="footnote reference"/>
    <w:basedOn w:val="DefaultParagraphFont"/>
    <w:uiPriority w:val="99"/>
    <w:semiHidden/>
    <w:unhideWhenUsed/>
    <w:rsid w:val="00F53468"/>
    <w:rPr>
      <w:vertAlign w:val="superscript"/>
    </w:rPr>
  </w:style>
  <w:style w:type="paragraph" w:customStyle="1" w:styleId="Footnote">
    <w:name w:val="Footnote"/>
    <w:basedOn w:val="TableText"/>
    <w:link w:val="FootnoteChar"/>
    <w:qFormat/>
    <w:rsid w:val="00F53468"/>
  </w:style>
  <w:style w:type="character" w:customStyle="1" w:styleId="TableTextChar">
    <w:name w:val="Table Text Char"/>
    <w:basedOn w:val="DefaultParagraphFont"/>
    <w:link w:val="TableText"/>
    <w:rsid w:val="00F53468"/>
    <w:rPr>
      <w:rFonts w:ascii="Arial" w:hAnsi="Arial"/>
      <w:color w:val="7F7F7F" w:themeColor="text1" w:themeTint="80"/>
      <w:sz w:val="16"/>
      <w:szCs w:val="16"/>
    </w:rPr>
  </w:style>
  <w:style w:type="character" w:customStyle="1" w:styleId="FootnoteChar">
    <w:name w:val="Footnote Char"/>
    <w:basedOn w:val="TableTextChar"/>
    <w:link w:val="Footnote"/>
    <w:rsid w:val="00F53468"/>
    <w:rPr>
      <w:rFonts w:ascii="Arial" w:hAnsi="Arial"/>
      <w:color w:val="7F7F7F" w:themeColor="text1" w:themeTint="80"/>
      <w:sz w:val="16"/>
      <w:szCs w:val="16"/>
    </w:rPr>
  </w:style>
  <w:style w:type="character" w:styleId="FollowedHyperlink">
    <w:name w:val="FollowedHyperlink"/>
    <w:basedOn w:val="DefaultParagraphFont"/>
    <w:uiPriority w:val="99"/>
    <w:semiHidden/>
    <w:unhideWhenUsed/>
    <w:rsid w:val="00044AA5"/>
    <w:rPr>
      <w:color w:val="1074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131948">
      <w:bodyDiv w:val="1"/>
      <w:marLeft w:val="0"/>
      <w:marRight w:val="0"/>
      <w:marTop w:val="0"/>
      <w:marBottom w:val="0"/>
      <w:divBdr>
        <w:top w:val="none" w:sz="0" w:space="0" w:color="auto"/>
        <w:left w:val="none" w:sz="0" w:space="0" w:color="auto"/>
        <w:bottom w:val="none" w:sz="0" w:space="0" w:color="auto"/>
        <w:right w:val="none" w:sz="0" w:space="0" w:color="auto"/>
      </w:divBdr>
    </w:div>
    <w:div w:id="195521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qmul.ac.uk/postgraduate/coursefinder" TargetMode="External"/><Relationship Id="rId26" Type="http://schemas.openxmlformats.org/officeDocument/2006/relationships/hyperlink" Target="http://arcs.qmul.ac.uk/policy/" TargetMode="External"/><Relationship Id="rId3" Type="http://schemas.openxmlformats.org/officeDocument/2006/relationships/customXml" Target="../customXml/item3.xml"/><Relationship Id="rId21" Type="http://schemas.openxmlformats.org/officeDocument/2006/relationships/hyperlink" Target="https://www.qmul.ac.uk/postgraduate/"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qmul.ac.uk/undergraduate/coursefinder" TargetMode="External"/><Relationship Id="rId25" Type="http://schemas.openxmlformats.org/officeDocument/2006/relationships/hyperlink" Target="http://arcs.qmul.ac.uk/policy/"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universitiesuk.ac.uk/sites/default/files/field/downloads/2022-03/uuk-guildhe-admissions-code-of-practice.pdf" TargetMode="External"/><Relationship Id="rId20" Type="http://schemas.openxmlformats.org/officeDocument/2006/relationships/hyperlink" Target="https://www.qmul.ac.uk/undergraduate/"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qmul.ac.uk/prospective/termsandconditions/"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qmul.ac.uk/undergraduate/apply/how-to-apply/transfers/" TargetMode="External"/><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www.qmul.ac.uk/postgraduate/research/applying-for-a-phd/"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qmul.ac.uk/" TargetMode="External"/><Relationship Id="rId27" Type="http://schemas.openxmlformats.org/officeDocument/2006/relationships/header" Target="header3.xml"/><Relationship Id="rId30" Type="http://schemas.openxmlformats.org/officeDocument/2006/relationships/footer" Target="foot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xx265\Downloads\tf0268039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0F3F37D6084A1BB43C2F45E2A91BCE"/>
        <w:category>
          <w:name w:val="General"/>
          <w:gallery w:val="placeholder"/>
        </w:category>
        <w:types>
          <w:type w:val="bbPlcHdr"/>
        </w:types>
        <w:behaviors>
          <w:behavior w:val="content"/>
        </w:behaviors>
        <w:guid w:val="{0E8CB60A-2DB4-4ECA-9667-4AC239D4A87E}"/>
      </w:docPartPr>
      <w:docPartBody>
        <w:p w:rsidR="0080765F" w:rsidRDefault="0080765F" w:rsidP="0080765F">
          <w:pPr>
            <w:pStyle w:val="AB0F3F37D6084A1BB43C2F45E2A91BCE"/>
          </w:pPr>
          <w:r>
            <w:t>[Report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Source Sans Pro"/>
    <w:charset w:val="00"/>
    <w:family w:val="swiss"/>
    <w:pitch w:val="variable"/>
    <w:sig w:usb0="600002F7" w:usb1="02000001" w:usb2="00000000" w:usb3="00000000" w:csb0="0000019F" w:csb1="00000000"/>
  </w:font>
  <w:font w:name="Source Sans Pro (OTF) Light">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5F"/>
    <w:rsid w:val="000203AB"/>
    <w:rsid w:val="005742EC"/>
    <w:rsid w:val="005A7398"/>
    <w:rsid w:val="0080765F"/>
    <w:rsid w:val="00913068"/>
    <w:rsid w:val="00C83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styleId="Strong">
    <w:name w:val="Strong"/>
    <w:basedOn w:val="DefaultParagraphFont"/>
    <w:uiPriority w:val="1"/>
    <w:qFormat/>
    <w:rPr>
      <w:b/>
      <w:bCs/>
      <w:color w:val="595959" w:themeColor="text1" w:themeTint="A6"/>
    </w:rPr>
  </w:style>
  <w:style w:type="paragraph" w:customStyle="1" w:styleId="AB0F3F37D6084A1BB43C2F45E2A91BCE">
    <w:name w:val="AB0F3F37D6084A1BB43C2F45E2A91BCE"/>
    <w:rsid w:val="00807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23181"/>
      </a:dk2>
      <a:lt2>
        <a:srgbClr val="D8D8D8"/>
      </a:lt2>
      <a:accent1>
        <a:srgbClr val="123181"/>
      </a:accent1>
      <a:accent2>
        <a:srgbClr val="792273"/>
      </a:accent2>
      <a:accent3>
        <a:srgbClr val="2DB8C5"/>
      </a:accent3>
      <a:accent4>
        <a:srgbClr val="CDA60C"/>
      </a:accent4>
      <a:accent5>
        <a:srgbClr val="BD1C1C"/>
      </a:accent5>
      <a:accent6>
        <a:srgbClr val="73B82B"/>
      </a:accent6>
      <a:hlink>
        <a:srgbClr val="123181"/>
      </a:hlink>
      <a:folHlink>
        <a:srgbClr val="10746A"/>
      </a:folHlink>
    </a:clrScheme>
    <a:fontScheme name="Queen Mary">
      <a:majorFont>
        <a:latin typeface="Arial"/>
        <a:ea typeface=""/>
        <a:cs typeface=""/>
      </a:majorFont>
      <a:minorFont>
        <a:latin typeface="Aria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266400</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2011-06-10T05:31:00+00:00</AssetStart>
    <FriendlyTitle xmlns="4873beb7-5857-4685-be1f-d57550cc96cc" xsi:nil="true"/>
    <MarketSpecific xmlns="4873beb7-5857-4685-be1f-d57550cc96cc">false</MarketSpecific>
    <TPNamespace xmlns="4873beb7-5857-4685-be1f-d57550cc96cc" xsi:nil="true"/>
    <PublishStatusLookup xmlns="4873beb7-5857-4685-be1f-d57550cc96cc">
      <Value>1218607</Value>
      <Value>1579064</Value>
    </PublishStatusLookup>
    <APAuthor xmlns="4873beb7-5857-4685-be1f-d57550cc96cc">
      <UserInfo>
        <DisplayName>REDMOND\v-salaxm</DisplayName>
        <AccountId>2098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FY12HOOct</LocRecommendedHandoff>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astPublishResultLookup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TP102680391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15B72545-9304-42B1-BA67-2253F08CB134}">
  <ds:schemaRefs>
    <ds:schemaRef ds:uri="http://schemas.openxmlformats.org/officeDocument/2006/bibliography"/>
  </ds:schemaRefs>
</ds:datastoreItem>
</file>

<file path=customXml/itemProps2.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3.xml><?xml version="1.0" encoding="utf-8"?>
<ds:datastoreItem xmlns:ds="http://schemas.openxmlformats.org/officeDocument/2006/customXml" ds:itemID="{C8A142F5-568C-451D-B129-F11B27559F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222C1D-0A3C-4033-8B32-69CE6F5A2550}">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tf02680392_win32</Template>
  <TotalTime>3</TotalTime>
  <Pages>10</Pages>
  <Words>3476</Words>
  <Characters>19816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Jenaro</dc:creator>
  <cp:keywords/>
  <dc:description>Admissions Policy 2024/25</dc:description>
  <cp:lastModifiedBy>Adeola Popoola</cp:lastModifiedBy>
  <cp:revision>6</cp:revision>
  <dcterms:created xsi:type="dcterms:W3CDTF">2023-05-12T12:43:00Z</dcterms:created>
  <dcterms:modified xsi:type="dcterms:W3CDTF">2023-12-13T09:20:00Z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