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Scorer size comparison: FB15k-237 inductive v1</w:t>
      </w:r>
    </w:p>
    <w:p>
      <w:pPr>
        <w:spacing w:after="120"/>
      </w:pPr>
      <w:r>
        <w:rPr>
          <w:sz w:val="22"/>
          <w:szCs w:val="22"/>
        </w:rPr>
        <w:t xml:space="preserve">Selector: learned, modified_loss = false (no distance loss). Same dataset, epochs and seed for all four runs. Metrics are from the best checkpoint (chosen by validation MRR).</w:t>
      </w:r>
    </w:p>
    <w:p>
      <w:pPr>
        <w:pStyle w:val="Heading2"/>
        <w:spacing w:after="120" w:before="240"/>
      </w:pPr>
      <w:r>
        <w:rPr>
          <w:b/>
          <w:bCs/>
        </w:rPr>
        <w:t xml:space="preserve">1. Validation results (use these to choose)</w:t>
      </w:r>
    </w:p>
    <w:tbl>
      <w:tblPr>
        <w:tblW w:type="dxa" w:w="10075"/>
        <w:tblBorders>
          <w:top w:val="single" w:color="auto" w:sz="4"/>
          <w:left w:val="single" w:color="auto" w:sz="4"/>
          <w:bottom w:val="single" w:color="auto" w:sz="4"/>
          <w:right w:val="single" w:color="auto" w:sz="4"/>
          <w:insideH w:val="single" w:color="auto" w:sz="4"/>
          <w:insideV w:val="single" w:color="auto" w:sz="4"/>
        </w:tblBorders>
      </w:tblPr>
      <w:tblGrid>
        <w:gridCol w:w="2200"/>
        <w:gridCol w:w="1125"/>
        <w:gridCol w:w="1125"/>
        <w:gridCol w:w="1125"/>
        <w:gridCol w:w="1125"/>
        <w:gridCol w:w="1125"/>
        <w:gridCol w:w="1125"/>
        <w:gridCol w:w="1125"/>
      </w:tblGrid>
      <w:tr>
        <w:trPr>
          <w:tblHeader/>
        </w:trPr>
        <w:tc>
          <w:tcPr>
            <w:tcW w:type="dxa" w:w="2200"/>
            <w:tcBorders>
              <w:top w:val="single" w:color="BBBBBB" w:sz="4"/>
              <w:left w:val="single" w:color="BBBBBB" w:sz="4"/>
              <w:bottom w:val="single" w:color="BBBBBB" w:sz="4"/>
              <w:right w:val="single" w:color="BBBBBB" w:sz="4"/>
            </w:tcBorders>
            <w:shd w:fill="D9E2F3" w:color="auto" w:val="clear"/>
            <w:tcMar>
              <w:top w:type="dxa" w:w="60"/>
              <w:left w:type="dxa" w:w="80"/>
              <w:bottom w:type="dxa" w:w="60"/>
              <w:right w:type="dxa" w:w="80"/>
            </w:tcMar>
          </w:tcPr>
          <w:p>
            <w:pPr>
              <w:jc w:val="left"/>
            </w:pPr>
            <w:r>
              <w:rPr>
                <w:b/>
                <w:bCs/>
                <w:sz w:val="20"/>
                <w:szCs w:val="20"/>
              </w:rPr>
              <w:t xml:space="preserve">Scorer</w:t>
            </w:r>
          </w:p>
        </w:tc>
        <w:tc>
          <w:tcPr>
            <w:tcW w:type="dxa" w:w="1125"/>
            <w:tcBorders>
              <w:top w:val="single" w:color="BBBBBB" w:sz="4"/>
              <w:left w:val="single" w:color="BBBBBB" w:sz="4"/>
              <w:bottom w:val="single" w:color="BBBBBB" w:sz="4"/>
              <w:right w:val="single" w:color="BBBBBB" w:sz="4"/>
            </w:tcBorders>
            <w:shd w:fill="D9E2F3" w:color="auto" w:val="clear"/>
            <w:tcMar>
              <w:top w:type="dxa" w:w="60"/>
              <w:left w:type="dxa" w:w="80"/>
              <w:bottom w:type="dxa" w:w="60"/>
              <w:right w:type="dxa" w:w="80"/>
            </w:tcMar>
          </w:tcPr>
          <w:p>
            <w:pPr>
              <w:jc w:val="center"/>
            </w:pPr>
            <w:r>
              <w:rPr>
                <w:b/>
                <w:bCs/>
                <w:sz w:val="20"/>
                <w:szCs w:val="20"/>
              </w:rPr>
              <w:t xml:space="preserve">Best epoch</w:t>
            </w:r>
          </w:p>
        </w:tc>
        <w:tc>
          <w:tcPr>
            <w:tcW w:type="dxa" w:w="1125"/>
            <w:tcBorders>
              <w:top w:val="single" w:color="BBBBBB" w:sz="4"/>
              <w:left w:val="single" w:color="BBBBBB" w:sz="4"/>
              <w:bottom w:val="single" w:color="BBBBBB" w:sz="4"/>
              <w:right w:val="single" w:color="BBBBBB" w:sz="4"/>
            </w:tcBorders>
            <w:shd w:fill="D9E2F3" w:color="auto" w:val="clear"/>
            <w:tcMar>
              <w:top w:type="dxa" w:w="60"/>
              <w:left w:type="dxa" w:w="80"/>
              <w:bottom w:type="dxa" w:w="60"/>
              <w:right w:type="dxa" w:w="80"/>
            </w:tcMar>
          </w:tcPr>
          <w:p>
            <w:pPr>
              <w:jc w:val="center"/>
            </w:pPr>
            <w:r>
              <w:rPr>
                <w:b/>
                <w:bCs/>
                <w:sz w:val="20"/>
                <w:szCs w:val="20"/>
              </w:rPr>
              <w:t xml:space="preserve">MRR</w:t>
            </w:r>
          </w:p>
        </w:tc>
        <w:tc>
          <w:tcPr>
            <w:tcW w:type="dxa" w:w="1125"/>
            <w:tcBorders>
              <w:top w:val="single" w:color="BBBBBB" w:sz="4"/>
              <w:left w:val="single" w:color="BBBBBB" w:sz="4"/>
              <w:bottom w:val="single" w:color="BBBBBB" w:sz="4"/>
              <w:right w:val="single" w:color="BBBBBB" w:sz="4"/>
            </w:tcBorders>
            <w:shd w:fill="D9E2F3" w:color="auto" w:val="clear"/>
            <w:tcMar>
              <w:top w:type="dxa" w:w="60"/>
              <w:left w:type="dxa" w:w="80"/>
              <w:bottom w:type="dxa" w:w="60"/>
              <w:right w:type="dxa" w:w="80"/>
            </w:tcMar>
          </w:tcPr>
          <w:p>
            <w:pPr>
              <w:jc w:val="center"/>
            </w:pPr>
            <w:r>
              <w:rPr>
                <w:b/>
                <w:bCs/>
                <w:sz w:val="20"/>
                <w:szCs w:val="20"/>
              </w:rPr>
              <w:t xml:space="preserve">H@1</w:t>
            </w:r>
          </w:p>
        </w:tc>
        <w:tc>
          <w:tcPr>
            <w:tcW w:type="dxa" w:w="1125"/>
            <w:tcBorders>
              <w:top w:val="single" w:color="BBBBBB" w:sz="4"/>
              <w:left w:val="single" w:color="BBBBBB" w:sz="4"/>
              <w:bottom w:val="single" w:color="BBBBBB" w:sz="4"/>
              <w:right w:val="single" w:color="BBBBBB" w:sz="4"/>
            </w:tcBorders>
            <w:shd w:fill="D9E2F3" w:color="auto" w:val="clear"/>
            <w:tcMar>
              <w:top w:type="dxa" w:w="60"/>
              <w:left w:type="dxa" w:w="80"/>
              <w:bottom w:type="dxa" w:w="60"/>
              <w:right w:type="dxa" w:w="80"/>
            </w:tcMar>
          </w:tcPr>
          <w:p>
            <w:pPr>
              <w:jc w:val="center"/>
            </w:pPr>
            <w:r>
              <w:rPr>
                <w:b/>
                <w:bCs/>
                <w:sz w:val="20"/>
                <w:szCs w:val="20"/>
              </w:rPr>
              <w:t xml:space="preserve">H@3</w:t>
            </w:r>
          </w:p>
        </w:tc>
        <w:tc>
          <w:tcPr>
            <w:tcW w:type="dxa" w:w="1125"/>
            <w:tcBorders>
              <w:top w:val="single" w:color="BBBBBB" w:sz="4"/>
              <w:left w:val="single" w:color="BBBBBB" w:sz="4"/>
              <w:bottom w:val="single" w:color="BBBBBB" w:sz="4"/>
              <w:right w:val="single" w:color="BBBBBB" w:sz="4"/>
            </w:tcBorders>
            <w:shd w:fill="D9E2F3" w:color="auto" w:val="clear"/>
            <w:tcMar>
              <w:top w:type="dxa" w:w="60"/>
              <w:left w:type="dxa" w:w="80"/>
              <w:bottom w:type="dxa" w:w="60"/>
              <w:right w:type="dxa" w:w="80"/>
            </w:tcMar>
          </w:tcPr>
          <w:p>
            <w:pPr>
              <w:jc w:val="center"/>
            </w:pPr>
            <w:r>
              <w:rPr>
                <w:b/>
                <w:bCs/>
                <w:sz w:val="20"/>
                <w:szCs w:val="20"/>
              </w:rPr>
              <w:t xml:space="preserve">H@10</w:t>
            </w:r>
          </w:p>
        </w:tc>
        <w:tc>
          <w:tcPr>
            <w:tcW w:type="dxa" w:w="1125"/>
            <w:tcBorders>
              <w:top w:val="single" w:color="BBBBBB" w:sz="4"/>
              <w:left w:val="single" w:color="BBBBBB" w:sz="4"/>
              <w:bottom w:val="single" w:color="BBBBBB" w:sz="4"/>
              <w:right w:val="single" w:color="BBBBBB" w:sz="4"/>
            </w:tcBorders>
            <w:shd w:fill="D9E2F3" w:color="auto" w:val="clear"/>
            <w:tcMar>
              <w:top w:type="dxa" w:w="60"/>
              <w:left w:type="dxa" w:w="80"/>
              <w:bottom w:type="dxa" w:w="60"/>
              <w:right w:type="dxa" w:w="80"/>
            </w:tcMar>
          </w:tcPr>
          <w:p>
            <w:pPr>
              <w:jc w:val="center"/>
            </w:pPr>
            <w:r>
              <w:rPr>
                <w:b/>
                <w:bCs/>
                <w:sz w:val="20"/>
                <w:szCs w:val="20"/>
              </w:rPr>
              <w:t xml:space="preserve">H@10_50</w:t>
            </w:r>
          </w:p>
        </w:tc>
        <w:tc>
          <w:tcPr>
            <w:tcW w:type="dxa" w:w="1125"/>
            <w:tcBorders>
              <w:top w:val="single" w:color="BBBBBB" w:sz="4"/>
              <w:left w:val="single" w:color="BBBBBB" w:sz="4"/>
              <w:bottom w:val="single" w:color="BBBBBB" w:sz="4"/>
              <w:right w:val="single" w:color="BBBBBB" w:sz="4"/>
            </w:tcBorders>
            <w:shd w:fill="D9E2F3" w:color="auto" w:val="clear"/>
            <w:tcMar>
              <w:top w:type="dxa" w:w="60"/>
              <w:left w:type="dxa" w:w="80"/>
              <w:bottom w:type="dxa" w:w="60"/>
              <w:right w:type="dxa" w:w="80"/>
            </w:tcMar>
          </w:tcPr>
          <w:p>
            <w:pPr>
              <w:jc w:val="center"/>
            </w:pPr>
            <w:r>
              <w:rPr>
                <w:b/>
                <w:bCs/>
                <w:sz w:val="20"/>
                <w:szCs w:val="20"/>
              </w:rPr>
              <w:t xml:space="preserve">MR</w:t>
            </w:r>
          </w:p>
        </w:tc>
      </w:tr>
      <w:tr>
        <w:tc>
          <w:tcPr>
            <w:tcW w:type="dxa" w:w="22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left"/>
            </w:pPr>
            <w:r>
              <w:rPr>
                <w:b w:val="false"/>
                <w:bCs w:val="false"/>
                <w:sz w:val="20"/>
                <w:szCs w:val="20"/>
              </w:rPr>
              <w:t xml:space="preserve">A: dim 32, depth 1</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6</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0.3321</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0.2546</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0.3589</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0.4867</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0.8282</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147.9</w:t>
            </w:r>
          </w:p>
        </w:tc>
      </w:tr>
      <w:tr>
        <w:tc>
          <w:tcPr>
            <w:tcW w:type="dxa" w:w="22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left"/>
            </w:pPr>
            <w:r>
              <w:rPr>
                <w:b w:val="false"/>
                <w:bCs w:val="false"/>
                <w:sz w:val="20"/>
                <w:szCs w:val="20"/>
              </w:rPr>
              <w:t xml:space="preserve">B: dim 32, depth 2</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4</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0.3322</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0.2515</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0.3558</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0.5051</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0.8772</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118.4</w:t>
            </w:r>
          </w:p>
        </w:tc>
      </w:tr>
      <w:tr>
        <w:tc>
          <w:tcPr>
            <w:tcW w:type="dxa" w:w="22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left"/>
            </w:pPr>
            <w:r>
              <w:rPr>
                <w:b w:val="false"/>
                <w:bCs w:val="false"/>
                <w:sz w:val="20"/>
                <w:szCs w:val="20"/>
              </w:rPr>
              <w:t xml:space="preserve">C: dim 64, depth 1</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4</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0.3364</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0.2618</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0.3579</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0.4949</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0.8370</w:t>
            </w:r>
          </w:p>
        </w:tc>
        <w:tc>
          <w:tcPr>
            <w:tcW w:type="dxa" w:w="1125"/>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145.1</w:t>
            </w:r>
          </w:p>
        </w:tc>
      </w:tr>
      <w:tr>
        <w:tc>
          <w:tcPr>
            <w:tcW w:type="dxa" w:w="2200"/>
            <w:tcBorders>
              <w:top w:val="single" w:color="BBBBBB" w:sz="4"/>
              <w:left w:val="single" w:color="BBBBBB" w:sz="4"/>
              <w:bottom w:val="single" w:color="BBBBBB" w:sz="4"/>
              <w:right w:val="single" w:color="BBBBBB" w:sz="4"/>
            </w:tcBorders>
            <w:shd w:fill="E2F0D9" w:color="auto" w:val="clear"/>
            <w:tcMar>
              <w:top w:type="dxa" w:w="60"/>
              <w:left w:type="dxa" w:w="80"/>
              <w:bottom w:type="dxa" w:w="60"/>
              <w:right w:type="dxa" w:w="80"/>
            </w:tcMar>
          </w:tcPr>
          <w:p>
            <w:pPr>
              <w:jc w:val="left"/>
            </w:pPr>
            <w:r>
              <w:rPr>
                <w:b/>
                <w:bCs/>
                <w:sz w:val="20"/>
                <w:szCs w:val="20"/>
              </w:rPr>
              <w:t xml:space="preserve">D: dim 64, depth 2</w:t>
            </w:r>
          </w:p>
        </w:tc>
        <w:tc>
          <w:tcPr>
            <w:tcW w:type="dxa" w:w="1125"/>
            <w:tcBorders>
              <w:top w:val="single" w:color="BBBBBB" w:sz="4"/>
              <w:left w:val="single" w:color="BBBBBB" w:sz="4"/>
              <w:bottom w:val="single" w:color="BBBBBB" w:sz="4"/>
              <w:right w:val="single" w:color="BBBBBB" w:sz="4"/>
            </w:tcBorders>
            <w:shd w:fill="E2F0D9" w:color="auto" w:val="clear"/>
            <w:tcMar>
              <w:top w:type="dxa" w:w="60"/>
              <w:left w:type="dxa" w:w="80"/>
              <w:bottom w:type="dxa" w:w="60"/>
              <w:right w:type="dxa" w:w="80"/>
            </w:tcMar>
          </w:tcPr>
          <w:p>
            <w:pPr>
              <w:jc w:val="center"/>
            </w:pPr>
            <w:r>
              <w:rPr>
                <w:b/>
                <w:bCs/>
                <w:sz w:val="20"/>
                <w:szCs w:val="20"/>
              </w:rPr>
              <w:t xml:space="preserve">8</w:t>
            </w:r>
          </w:p>
        </w:tc>
        <w:tc>
          <w:tcPr>
            <w:tcW w:type="dxa" w:w="1125"/>
            <w:tcBorders>
              <w:top w:val="single" w:color="BBBBBB" w:sz="4"/>
              <w:left w:val="single" w:color="BBBBBB" w:sz="4"/>
              <w:bottom w:val="single" w:color="BBBBBB" w:sz="4"/>
              <w:right w:val="single" w:color="BBBBBB" w:sz="4"/>
            </w:tcBorders>
            <w:shd w:fill="E2F0D9" w:color="auto" w:val="clear"/>
            <w:tcMar>
              <w:top w:type="dxa" w:w="60"/>
              <w:left w:type="dxa" w:w="80"/>
              <w:bottom w:type="dxa" w:w="60"/>
              <w:right w:type="dxa" w:w="80"/>
            </w:tcMar>
          </w:tcPr>
          <w:p>
            <w:pPr>
              <w:jc w:val="center"/>
            </w:pPr>
            <w:r>
              <w:rPr>
                <w:b/>
                <w:bCs/>
                <w:sz w:val="20"/>
                <w:szCs w:val="20"/>
              </w:rPr>
              <w:t xml:space="preserve">0.3492</w:t>
            </w:r>
          </w:p>
        </w:tc>
        <w:tc>
          <w:tcPr>
            <w:tcW w:type="dxa" w:w="1125"/>
            <w:tcBorders>
              <w:top w:val="single" w:color="BBBBBB" w:sz="4"/>
              <w:left w:val="single" w:color="BBBBBB" w:sz="4"/>
              <w:bottom w:val="single" w:color="BBBBBB" w:sz="4"/>
              <w:right w:val="single" w:color="BBBBBB" w:sz="4"/>
            </w:tcBorders>
            <w:shd w:fill="E2F0D9" w:color="auto" w:val="clear"/>
            <w:tcMar>
              <w:top w:type="dxa" w:w="60"/>
              <w:left w:type="dxa" w:w="80"/>
              <w:bottom w:type="dxa" w:w="60"/>
              <w:right w:type="dxa" w:w="80"/>
            </w:tcMar>
          </w:tcPr>
          <w:p>
            <w:pPr>
              <w:jc w:val="center"/>
            </w:pPr>
            <w:r>
              <w:rPr>
                <w:b/>
                <w:bCs/>
                <w:sz w:val="20"/>
                <w:szCs w:val="20"/>
              </w:rPr>
              <w:t xml:space="preserve">0.2628</w:t>
            </w:r>
          </w:p>
        </w:tc>
        <w:tc>
          <w:tcPr>
            <w:tcW w:type="dxa" w:w="1125"/>
            <w:tcBorders>
              <w:top w:val="single" w:color="BBBBBB" w:sz="4"/>
              <w:left w:val="single" w:color="BBBBBB" w:sz="4"/>
              <w:bottom w:val="single" w:color="BBBBBB" w:sz="4"/>
              <w:right w:val="single" w:color="BBBBBB" w:sz="4"/>
            </w:tcBorders>
            <w:shd w:fill="E2F0D9" w:color="auto" w:val="clear"/>
            <w:tcMar>
              <w:top w:type="dxa" w:w="60"/>
              <w:left w:type="dxa" w:w="80"/>
              <w:bottom w:type="dxa" w:w="60"/>
              <w:right w:type="dxa" w:w="80"/>
            </w:tcMar>
          </w:tcPr>
          <w:p>
            <w:pPr>
              <w:jc w:val="center"/>
            </w:pPr>
            <w:r>
              <w:rPr>
                <w:b/>
                <w:bCs/>
                <w:sz w:val="20"/>
                <w:szCs w:val="20"/>
              </w:rPr>
              <w:t xml:space="preserve">0.3845</w:t>
            </w:r>
          </w:p>
        </w:tc>
        <w:tc>
          <w:tcPr>
            <w:tcW w:type="dxa" w:w="1125"/>
            <w:tcBorders>
              <w:top w:val="single" w:color="BBBBBB" w:sz="4"/>
              <w:left w:val="single" w:color="BBBBBB" w:sz="4"/>
              <w:bottom w:val="single" w:color="BBBBBB" w:sz="4"/>
              <w:right w:val="single" w:color="BBBBBB" w:sz="4"/>
            </w:tcBorders>
            <w:shd w:fill="E2F0D9" w:color="auto" w:val="clear"/>
            <w:tcMar>
              <w:top w:type="dxa" w:w="60"/>
              <w:left w:type="dxa" w:w="80"/>
              <w:bottom w:type="dxa" w:w="60"/>
              <w:right w:type="dxa" w:w="80"/>
            </w:tcMar>
          </w:tcPr>
          <w:p>
            <w:pPr>
              <w:jc w:val="center"/>
            </w:pPr>
            <w:r>
              <w:rPr>
                <w:b/>
                <w:bCs/>
                <w:sz w:val="20"/>
                <w:szCs w:val="20"/>
              </w:rPr>
              <w:t xml:space="preserve">0.5215</w:t>
            </w:r>
          </w:p>
        </w:tc>
        <w:tc>
          <w:tcPr>
            <w:tcW w:type="dxa" w:w="1125"/>
            <w:tcBorders>
              <w:top w:val="single" w:color="BBBBBB" w:sz="4"/>
              <w:left w:val="single" w:color="BBBBBB" w:sz="4"/>
              <w:bottom w:val="single" w:color="BBBBBB" w:sz="4"/>
              <w:right w:val="single" w:color="BBBBBB" w:sz="4"/>
            </w:tcBorders>
            <w:shd w:fill="E2F0D9" w:color="auto" w:val="clear"/>
            <w:tcMar>
              <w:top w:type="dxa" w:w="60"/>
              <w:left w:type="dxa" w:w="80"/>
              <w:bottom w:type="dxa" w:w="60"/>
              <w:right w:type="dxa" w:w="80"/>
            </w:tcMar>
          </w:tcPr>
          <w:p>
            <w:pPr>
              <w:jc w:val="center"/>
            </w:pPr>
            <w:r>
              <w:rPr>
                <w:b/>
                <w:bCs/>
                <w:sz w:val="20"/>
                <w:szCs w:val="20"/>
              </w:rPr>
              <w:t xml:space="preserve">0.8445</w:t>
            </w:r>
          </w:p>
        </w:tc>
        <w:tc>
          <w:tcPr>
            <w:tcW w:type="dxa" w:w="1125"/>
            <w:tcBorders>
              <w:top w:val="single" w:color="BBBBBB" w:sz="4"/>
              <w:left w:val="single" w:color="BBBBBB" w:sz="4"/>
              <w:bottom w:val="single" w:color="BBBBBB" w:sz="4"/>
              <w:right w:val="single" w:color="BBBBBB" w:sz="4"/>
            </w:tcBorders>
            <w:shd w:fill="E2F0D9" w:color="auto" w:val="clear"/>
            <w:tcMar>
              <w:top w:type="dxa" w:w="60"/>
              <w:left w:type="dxa" w:w="80"/>
              <w:bottom w:type="dxa" w:w="60"/>
              <w:right w:type="dxa" w:w="80"/>
            </w:tcMar>
          </w:tcPr>
          <w:p>
            <w:pPr>
              <w:jc w:val="center"/>
            </w:pPr>
            <w:r>
              <w:rPr>
                <w:b/>
                <w:bCs/>
                <w:sz w:val="20"/>
                <w:szCs w:val="20"/>
              </w:rPr>
              <w:t xml:space="preserve">136.7</w:t>
            </w:r>
          </w:p>
        </w:tc>
      </w:tr>
    </w:tbl>
    <w:p>
      <w:pPr>
        <w:spacing w:after="60"/>
      </w:pPr>
    </w:p>
    <w:p>
      <w:pPr>
        <w:spacing w:after="120"/>
      </w:pPr>
      <w:r>
        <w:rPr>
          <w:i/>
          <w:iCs/>
          <w:sz w:val="20"/>
          <w:szCs w:val="20"/>
        </w:rPr>
        <w:t xml:space="preserve">Higher is better for MRR and Hits; lower is better for MR. Highlighted row = best validation MRR.</w:t>
      </w:r>
    </w:p>
    <w:p>
      <w:pPr>
        <w:pStyle w:val="Heading2"/>
        <w:spacing w:after="120" w:before="240"/>
      </w:pPr>
      <w:r>
        <w:rPr>
          <w:b/>
          <w:bCs/>
        </w:rPr>
        <w:t xml:space="preserve">2. Test results (report these, do not choose with them)</w:t>
      </w:r>
    </w:p>
    <w:tbl>
      <w:tblPr>
        <w:tblW w:type="dxa" w:w="10078"/>
        <w:tblBorders>
          <w:top w:val="single" w:color="auto" w:sz="4"/>
          <w:left w:val="single" w:color="auto" w:sz="4"/>
          <w:bottom w:val="single" w:color="auto" w:sz="4"/>
          <w:right w:val="single" w:color="auto" w:sz="4"/>
          <w:insideH w:val="single" w:color="auto" w:sz="4"/>
          <w:insideV w:val="single" w:color="auto" w:sz="4"/>
        </w:tblBorders>
      </w:tblPr>
      <w:tblGrid>
        <w:gridCol w:w="2200"/>
        <w:gridCol w:w="1313"/>
        <w:gridCol w:w="1313"/>
        <w:gridCol w:w="1313"/>
        <w:gridCol w:w="1313"/>
        <w:gridCol w:w="1313"/>
        <w:gridCol w:w="1313"/>
      </w:tblGrid>
      <w:tr>
        <w:trPr>
          <w:tblHeader/>
        </w:trPr>
        <w:tc>
          <w:tcPr>
            <w:tcW w:type="dxa" w:w="2200"/>
            <w:tcBorders>
              <w:top w:val="single" w:color="BBBBBB" w:sz="4"/>
              <w:left w:val="single" w:color="BBBBBB" w:sz="4"/>
              <w:bottom w:val="single" w:color="BBBBBB" w:sz="4"/>
              <w:right w:val="single" w:color="BBBBBB" w:sz="4"/>
            </w:tcBorders>
            <w:shd w:fill="D9E2F3" w:color="auto" w:val="clear"/>
            <w:tcMar>
              <w:top w:type="dxa" w:w="60"/>
              <w:left w:type="dxa" w:w="80"/>
              <w:bottom w:type="dxa" w:w="60"/>
              <w:right w:type="dxa" w:w="80"/>
            </w:tcMar>
          </w:tcPr>
          <w:p>
            <w:pPr>
              <w:jc w:val="left"/>
            </w:pPr>
            <w:r>
              <w:rPr>
                <w:b/>
                <w:bCs/>
                <w:sz w:val="20"/>
                <w:szCs w:val="20"/>
              </w:rPr>
              <w:t xml:space="preserve">Scorer</w:t>
            </w:r>
          </w:p>
        </w:tc>
        <w:tc>
          <w:tcPr>
            <w:tcW w:type="dxa" w:w="1313"/>
            <w:tcBorders>
              <w:top w:val="single" w:color="BBBBBB" w:sz="4"/>
              <w:left w:val="single" w:color="BBBBBB" w:sz="4"/>
              <w:bottom w:val="single" w:color="BBBBBB" w:sz="4"/>
              <w:right w:val="single" w:color="BBBBBB" w:sz="4"/>
            </w:tcBorders>
            <w:shd w:fill="D9E2F3" w:color="auto" w:val="clear"/>
            <w:tcMar>
              <w:top w:type="dxa" w:w="60"/>
              <w:left w:type="dxa" w:w="80"/>
              <w:bottom w:type="dxa" w:w="60"/>
              <w:right w:type="dxa" w:w="80"/>
            </w:tcMar>
          </w:tcPr>
          <w:p>
            <w:pPr>
              <w:jc w:val="center"/>
            </w:pPr>
            <w:r>
              <w:rPr>
                <w:b/>
                <w:bCs/>
                <w:sz w:val="20"/>
                <w:szCs w:val="20"/>
              </w:rPr>
              <w:t xml:space="preserve">MRR</w:t>
            </w:r>
          </w:p>
        </w:tc>
        <w:tc>
          <w:tcPr>
            <w:tcW w:type="dxa" w:w="1313"/>
            <w:tcBorders>
              <w:top w:val="single" w:color="BBBBBB" w:sz="4"/>
              <w:left w:val="single" w:color="BBBBBB" w:sz="4"/>
              <w:bottom w:val="single" w:color="BBBBBB" w:sz="4"/>
              <w:right w:val="single" w:color="BBBBBB" w:sz="4"/>
            </w:tcBorders>
            <w:shd w:fill="D9E2F3" w:color="auto" w:val="clear"/>
            <w:tcMar>
              <w:top w:type="dxa" w:w="60"/>
              <w:left w:type="dxa" w:w="80"/>
              <w:bottom w:type="dxa" w:w="60"/>
              <w:right w:type="dxa" w:w="80"/>
            </w:tcMar>
          </w:tcPr>
          <w:p>
            <w:pPr>
              <w:jc w:val="center"/>
            </w:pPr>
            <w:r>
              <w:rPr>
                <w:b/>
                <w:bCs/>
                <w:sz w:val="20"/>
                <w:szCs w:val="20"/>
              </w:rPr>
              <w:t xml:space="preserve">H@1</w:t>
            </w:r>
          </w:p>
        </w:tc>
        <w:tc>
          <w:tcPr>
            <w:tcW w:type="dxa" w:w="1313"/>
            <w:tcBorders>
              <w:top w:val="single" w:color="BBBBBB" w:sz="4"/>
              <w:left w:val="single" w:color="BBBBBB" w:sz="4"/>
              <w:bottom w:val="single" w:color="BBBBBB" w:sz="4"/>
              <w:right w:val="single" w:color="BBBBBB" w:sz="4"/>
            </w:tcBorders>
            <w:shd w:fill="D9E2F3" w:color="auto" w:val="clear"/>
            <w:tcMar>
              <w:top w:type="dxa" w:w="60"/>
              <w:left w:type="dxa" w:w="80"/>
              <w:bottom w:type="dxa" w:w="60"/>
              <w:right w:type="dxa" w:w="80"/>
            </w:tcMar>
          </w:tcPr>
          <w:p>
            <w:pPr>
              <w:jc w:val="center"/>
            </w:pPr>
            <w:r>
              <w:rPr>
                <w:b/>
                <w:bCs/>
                <w:sz w:val="20"/>
                <w:szCs w:val="20"/>
              </w:rPr>
              <w:t xml:space="preserve">H@3</w:t>
            </w:r>
          </w:p>
        </w:tc>
        <w:tc>
          <w:tcPr>
            <w:tcW w:type="dxa" w:w="1313"/>
            <w:tcBorders>
              <w:top w:val="single" w:color="BBBBBB" w:sz="4"/>
              <w:left w:val="single" w:color="BBBBBB" w:sz="4"/>
              <w:bottom w:val="single" w:color="BBBBBB" w:sz="4"/>
              <w:right w:val="single" w:color="BBBBBB" w:sz="4"/>
            </w:tcBorders>
            <w:shd w:fill="D9E2F3" w:color="auto" w:val="clear"/>
            <w:tcMar>
              <w:top w:type="dxa" w:w="60"/>
              <w:left w:type="dxa" w:w="80"/>
              <w:bottom w:type="dxa" w:w="60"/>
              <w:right w:type="dxa" w:w="80"/>
            </w:tcMar>
          </w:tcPr>
          <w:p>
            <w:pPr>
              <w:jc w:val="center"/>
            </w:pPr>
            <w:r>
              <w:rPr>
                <w:b/>
                <w:bCs/>
                <w:sz w:val="20"/>
                <w:szCs w:val="20"/>
              </w:rPr>
              <w:t xml:space="preserve">H@10</w:t>
            </w:r>
          </w:p>
        </w:tc>
        <w:tc>
          <w:tcPr>
            <w:tcW w:type="dxa" w:w="1313"/>
            <w:tcBorders>
              <w:top w:val="single" w:color="BBBBBB" w:sz="4"/>
              <w:left w:val="single" w:color="BBBBBB" w:sz="4"/>
              <w:bottom w:val="single" w:color="BBBBBB" w:sz="4"/>
              <w:right w:val="single" w:color="BBBBBB" w:sz="4"/>
            </w:tcBorders>
            <w:shd w:fill="D9E2F3" w:color="auto" w:val="clear"/>
            <w:tcMar>
              <w:top w:type="dxa" w:w="60"/>
              <w:left w:type="dxa" w:w="80"/>
              <w:bottom w:type="dxa" w:w="60"/>
              <w:right w:type="dxa" w:w="80"/>
            </w:tcMar>
          </w:tcPr>
          <w:p>
            <w:pPr>
              <w:jc w:val="center"/>
            </w:pPr>
            <w:r>
              <w:rPr>
                <w:b/>
                <w:bCs/>
                <w:sz w:val="20"/>
                <w:szCs w:val="20"/>
              </w:rPr>
              <w:t xml:space="preserve">H@10_50</w:t>
            </w:r>
          </w:p>
        </w:tc>
        <w:tc>
          <w:tcPr>
            <w:tcW w:type="dxa" w:w="1313"/>
            <w:tcBorders>
              <w:top w:val="single" w:color="BBBBBB" w:sz="4"/>
              <w:left w:val="single" w:color="BBBBBB" w:sz="4"/>
              <w:bottom w:val="single" w:color="BBBBBB" w:sz="4"/>
              <w:right w:val="single" w:color="BBBBBB" w:sz="4"/>
            </w:tcBorders>
            <w:shd w:fill="D9E2F3" w:color="auto" w:val="clear"/>
            <w:tcMar>
              <w:top w:type="dxa" w:w="60"/>
              <w:left w:type="dxa" w:w="80"/>
              <w:bottom w:type="dxa" w:w="60"/>
              <w:right w:type="dxa" w:w="80"/>
            </w:tcMar>
          </w:tcPr>
          <w:p>
            <w:pPr>
              <w:jc w:val="center"/>
            </w:pPr>
            <w:r>
              <w:rPr>
                <w:b/>
                <w:bCs/>
                <w:sz w:val="20"/>
                <w:szCs w:val="20"/>
              </w:rPr>
              <w:t xml:space="preserve">MR</w:t>
            </w:r>
          </w:p>
        </w:tc>
      </w:tr>
      <w:tr>
        <w:tc>
          <w:tcPr>
            <w:tcW w:type="dxa" w:w="22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left"/>
            </w:pPr>
            <w:r>
              <w:rPr>
                <w:b w:val="false"/>
                <w:bCs w:val="false"/>
                <w:sz w:val="20"/>
                <w:szCs w:val="20"/>
              </w:rPr>
              <w:t xml:space="preserve">A: dim 32, depth 1</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0.2429</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0.1610</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0.2854</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0.3951</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0.6143</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280.3</w:t>
            </w:r>
          </w:p>
        </w:tc>
      </w:tr>
      <w:tr>
        <w:tc>
          <w:tcPr>
            <w:tcW w:type="dxa" w:w="22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left"/>
            </w:pPr>
            <w:r>
              <w:rPr>
                <w:b w:val="false"/>
                <w:bCs w:val="false"/>
                <w:sz w:val="20"/>
                <w:szCs w:val="20"/>
              </w:rPr>
              <w:t xml:space="preserve">B: dim 32, depth 2</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0.2661</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0.1659</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0.3122</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0.4610</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0.6951</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221.7</w:t>
            </w:r>
          </w:p>
        </w:tc>
      </w:tr>
      <w:tr>
        <w:tc>
          <w:tcPr>
            <w:tcW w:type="dxa" w:w="22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left"/>
            </w:pPr>
            <w:r>
              <w:rPr>
                <w:b w:val="false"/>
                <w:bCs w:val="false"/>
                <w:sz w:val="20"/>
                <w:szCs w:val="20"/>
              </w:rPr>
              <w:t xml:space="preserve">C: dim 64, depth 1</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0.2400</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0.1561</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0.2805</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0.3951</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0.6263</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270.9</w:t>
            </w:r>
          </w:p>
        </w:tc>
      </w:tr>
      <w:tr>
        <w:tc>
          <w:tcPr>
            <w:tcW w:type="dxa" w:w="220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left"/>
            </w:pPr>
            <w:r>
              <w:rPr>
                <w:b w:val="false"/>
                <w:bCs w:val="false"/>
                <w:sz w:val="20"/>
                <w:szCs w:val="20"/>
              </w:rPr>
              <w:t xml:space="preserve">D: dim 64, depth 2</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0.2619</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0.1780</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0.3098</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0.4146</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0.6504</w:t>
            </w:r>
          </w:p>
        </w:tc>
        <w:tc>
          <w:tcPr>
            <w:tcW w:type="dxa" w:w="1313"/>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b w:val="false"/>
                <w:bCs w:val="false"/>
                <w:sz w:val="20"/>
                <w:szCs w:val="20"/>
              </w:rPr>
              <w:t xml:space="preserve">255.7</w:t>
            </w:r>
          </w:p>
        </w:tc>
      </w:tr>
    </w:tbl>
    <w:p>
      <w:pPr>
        <w:spacing w:after="60"/>
      </w:pPr>
    </w:p>
    <w:p>
      <w:pPr>
        <w:pStyle w:val="Heading2"/>
        <w:spacing w:after="120" w:before="240"/>
      </w:pPr>
      <w:r>
        <w:rPr>
          <w:b/>
          <w:bCs/>
        </w:rPr>
        <w:t xml:space="preserve">3. Which scorer to keep</w:t>
      </w:r>
    </w:p>
    <w:p>
      <w:pPr>
        <w:spacing w:after="120"/>
      </w:pPr>
      <w:r>
        <w:rPr>
          <w:sz w:val="22"/>
          <w:szCs w:val="22"/>
        </w:rPr>
        <w:t xml:space="preserve">Choose D (dim 64, depth 2). It has the best validation MRR (0.349) and also the best validation H@1, H@3 and H@10.</w:t>
      </w:r>
    </w:p>
    <w:p>
      <w:pPr>
        <w:pStyle w:val="ListParagraph"/>
        <w:numPr>
          <w:ilvl w:val="0"/>
          <w:numId w:val="2"/>
        </w:numPr>
        <w:spacing w:after="80"/>
      </w:pPr>
      <w:r>
        <w:rPr>
          <w:sz w:val="22"/>
          <w:szCs w:val="22"/>
        </w:rPr>
        <w:t xml:space="preserve">B has the best validation H@10_50 and MR, but its validation MRR is the same as A, so it loses on the main metric.</w:t>
      </w:r>
    </w:p>
    <w:p>
      <w:pPr>
        <w:pStyle w:val="ListParagraph"/>
        <w:numPr>
          <w:ilvl w:val="0"/>
          <w:numId w:val="2"/>
        </w:numPr>
        <w:spacing w:after="80"/>
      </w:pPr>
      <w:r>
        <w:rPr>
          <w:sz w:val="22"/>
          <w:szCs w:val="22"/>
        </w:rPr>
        <w:t xml:space="preserve">The gaps are small and from one seed, so treat D as a reasonable default, not a proven winner.</w:t>
      </w:r>
    </w:p>
    <w:p>
      <w:pPr>
        <w:pStyle w:val="ListParagraph"/>
        <w:numPr>
          <w:ilvl w:val="0"/>
          <w:numId w:val="2"/>
        </w:numPr>
        <w:spacing w:after="80"/>
      </w:pPr>
      <w:r>
        <w:rPr>
          <w:sz w:val="22"/>
          <w:szCs w:val="22"/>
        </w:rPr>
        <w:t xml:space="preserve">Test results are not used for this choice. B scoring best on test is likely noise from a small test set.</w:t>
      </w:r>
    </w:p>
    <w:p>
      <w:pPr>
        <w:pStyle w:val="ListParagraph"/>
        <w:numPr>
          <w:ilvl w:val="0"/>
          <w:numId w:val="2"/>
        </w:numPr>
        <w:spacing w:after="80"/>
      </w:pPr>
      <w:r>
        <w:rPr>
          <w:sz w:val="22"/>
          <w:szCs w:val="22"/>
        </w:rPr>
        <w:t xml:space="preserve">If you prefer the cheaper scorer, B is close. State the reason in the report either way.</w:t>
      </w:r>
    </w:p>
    <w:p>
      <w:pPr>
        <w:pStyle w:val="Heading2"/>
        <w:spacing w:after="120" w:before="240"/>
      </w:pPr>
      <w:r>
        <w:rPr>
          <w:b/>
          <w:bCs/>
        </w:rPr>
        <w:t xml:space="preserve">4. Why MR looks bad</w:t>
      </w:r>
    </w:p>
    <w:p>
      <w:pPr>
        <w:pStyle w:val="ListParagraph"/>
        <w:numPr>
          <w:ilvl w:val="0"/>
          <w:numId w:val="2"/>
        </w:numPr>
        <w:spacing w:after="80"/>
      </w:pPr>
      <w:r>
        <w:rPr>
          <w:sz w:val="22"/>
          <w:szCs w:val="22"/>
        </w:rPr>
        <w:t xml:space="preserve">MR is an average of ranks, so a few terrible predictions dominate it. MRR and Hits are not hurt that way.</w:t>
      </w:r>
    </w:p>
    <w:p>
      <w:pPr>
        <w:pStyle w:val="ListParagraph"/>
        <w:numPr>
          <w:ilvl w:val="0"/>
          <w:numId w:val="2"/>
        </w:numPr>
        <w:spacing w:after="80"/>
      </w:pPr>
      <w:r>
        <w:rPr>
          <w:sz w:val="22"/>
          <w:szCs w:val="22"/>
        </w:rPr>
        <w:t xml:space="preserve">The inductive v1 test graph is tiny and sparse (about 1,093 entities and 1,993 fact edges, per the paper's Table 11). Many true answers are simply not connected to the source within 6 hops.</w:t>
      </w:r>
    </w:p>
    <w:p>
      <w:pPr>
        <w:pStyle w:val="ListParagraph"/>
        <w:numPr>
          <w:ilvl w:val="0"/>
          <w:numId w:val="2"/>
        </w:numPr>
        <w:spacing w:after="80"/>
      </w:pPr>
      <w:r>
        <w:rPr>
          <w:sz w:val="22"/>
          <w:szCs w:val="22"/>
        </w:rPr>
        <w:t xml:space="preserve">An unreached answer gets a near-random rank (hundreds), which pushes MR up even when most other predictions are good. Pruning can make this worse.</w:t>
      </w:r>
    </w:p>
    <w:p>
      <w:pPr>
        <w:pStyle w:val="ListParagraph"/>
        <w:numPr>
          <w:ilvl w:val="0"/>
          <w:numId w:val="2"/>
        </w:numPr>
        <w:spacing w:after="80"/>
      </w:pPr>
      <w:r>
        <w:rPr>
          <w:sz w:val="22"/>
          <w:szCs w:val="22"/>
        </w:rPr>
        <w:t xml:space="preserve">The paper reports no MR for the inductive setting, so there is no published MR to compare against. Use H@10_50 for comparison.</w:t>
      </w:r>
    </w:p>
    <w:p>
      <w:pPr>
        <w:pStyle w:val="Heading2"/>
        <w:spacing w:after="120" w:before="240"/>
      </w:pPr>
      <w:r>
        <w:rPr>
          <w:b/>
          <w:bCs/>
        </w:rPr>
        <w:t xml:space="preserve">5. Why test is lower than validation</w:t>
      </w:r>
    </w:p>
    <w:p>
      <w:pPr>
        <w:pStyle w:val="ListParagraph"/>
        <w:numPr>
          <w:ilvl w:val="0"/>
          <w:numId w:val="2"/>
        </w:numPr>
        <w:spacing w:after="80"/>
      </w:pPr>
      <w:r>
        <w:rPr>
          <w:sz w:val="22"/>
          <w:szCs w:val="22"/>
        </w:rPr>
        <w:t xml:space="preserve">In the inductive splits the validation set shares facts with the training graph, so it is easier. A validation-test gap is expected.</w:t>
      </w:r>
    </w:p>
    <w:p>
      <w:pPr>
        <w:pStyle w:val="ListParagraph"/>
        <w:numPr>
          <w:ilvl w:val="0"/>
          <w:numId w:val="2"/>
        </w:numPr>
        <w:spacing w:after="80"/>
      </w:pPr>
      <w:r>
        <w:rPr>
          <w:sz w:val="22"/>
          <w:szCs w:val="22"/>
        </w:rPr>
        <w:t xml:space="preserve">The test set is small (205 queries in v1, about 410 rankings including both directions). The noise on MRR is likely larger than the differences between A, B, C and D.</w:t>
      </w:r>
    </w:p>
    <w:p>
      <w:pPr>
        <w:pStyle w:val="Heading2"/>
        <w:spacing w:after="120" w:before="240"/>
      </w:pPr>
      <w:r>
        <w:rPr>
          <w:b/>
          <w:bCs/>
        </w:rPr>
        <w:t xml:space="preserve">6. Do you need a deeper model?</w:t>
      </w:r>
    </w:p>
    <w:p>
      <w:pPr>
        <w:spacing w:after="120"/>
      </w:pPr>
      <w:r>
        <w:rPr>
          <w:sz w:val="22"/>
          <w:szCs w:val="22"/>
        </w:rPr>
        <w:t xml:space="preserve">Probably not. Changing the scorer from depth 1 to 2 moved results by about the size of the noise, and the paper found NBFNet saturates around 6 layers. More likely causes of the gap to the paper's 0.834 H@10_50 on this split:</w:t>
      </w:r>
    </w:p>
    <w:p>
      <w:pPr>
        <w:pStyle w:val="ListParagraph"/>
        <w:numPr>
          <w:ilvl w:val="0"/>
          <w:numId w:val="2"/>
        </w:numPr>
        <w:spacing w:after="80"/>
      </w:pPr>
      <w:r>
        <w:rPr>
          <w:sz w:val="22"/>
          <w:szCs w:val="22"/>
        </w:rPr>
        <w:t xml:space="preserve">Pruning (rho) cutting useful paths, or targets never being reached.</w:t>
      </w:r>
    </w:p>
    <w:p>
      <w:pPr>
        <w:pStyle w:val="ListParagraph"/>
        <w:numPr>
          <w:ilvl w:val="0"/>
          <w:numId w:val="2"/>
        </w:numPr>
        <w:spacing w:after="80"/>
      </w:pPr>
      <w:r>
        <w:rPr>
          <w:sz w:val="22"/>
          <w:szCs w:val="22"/>
        </w:rPr>
        <w:t xml:space="preserve">Your model uses DistMult + sum. The paper's best results used PNA aggregation.</w:t>
      </w:r>
    </w:p>
    <w:p>
      <w:pPr>
        <w:pStyle w:val="ListParagraph"/>
        <w:numPr>
          <w:ilvl w:val="0"/>
          <w:numId w:val="2"/>
        </w:numPr>
        <w:spacing w:after="80"/>
      </w:pPr>
      <w:r>
        <w:rPr>
          <w:sz w:val="22"/>
          <w:szCs w:val="22"/>
        </w:rPr>
        <w:t xml:space="preserve">Different training budget or settings from the paper.</w:t>
      </w:r>
    </w:p>
    <w:p>
      <w:pPr>
        <w:pStyle w:val="Heading2"/>
        <w:spacing w:after="120" w:before="240"/>
      </w:pPr>
      <w:r>
        <w:rPr>
          <w:b/>
          <w:bCs/>
        </w:rPr>
        <w:t xml:space="preserve">7. Next steps (in order)</w:t>
      </w:r>
    </w:p>
    <w:p>
      <w:pPr>
        <w:pStyle w:val="ListParagraph"/>
        <w:numPr>
          <w:ilvl w:val="0"/>
          <w:numId w:val="2"/>
        </w:numPr>
        <w:spacing w:after="80"/>
      </w:pPr>
      <w:r>
        <w:rPr>
          <w:sz w:val="22"/>
          <w:szCs w:val="22"/>
        </w:rPr>
        <w:t xml:space="preserve">Run selector = full (no pruning) with the same code. This is your ceiling. If it also lands near 0.70 on test, the gap is the simplified architecture, not pruning.</w:t>
      </w:r>
    </w:p>
    <w:p>
      <w:pPr>
        <w:pStyle w:val="ListParagraph"/>
        <w:numPr>
          <w:ilvl w:val="0"/>
          <w:numId w:val="2"/>
        </w:numPr>
        <w:spacing w:after="80"/>
      </w:pPr>
      <w:r>
        <w:rPr>
          <w:sz w:val="22"/>
          <w:szCs w:val="22"/>
        </w:rPr>
        <w:t xml:space="preserve">Log the percentage of test targets that are never reached, for full and pruned runs.</w:t>
      </w:r>
    </w:p>
    <w:p>
      <w:pPr>
        <w:pStyle w:val="ListParagraph"/>
        <w:numPr>
          <w:ilvl w:val="0"/>
          <w:numId w:val="2"/>
        </w:numPr>
        <w:spacing w:after="80"/>
      </w:pPr>
      <w:r>
        <w:rPr>
          <w:sz w:val="22"/>
          <w:szCs w:val="22"/>
        </w:rPr>
        <w:t xml:space="preserve">Fix the scorer (D), then tune aux weight and explore together on validation.</w:t>
      </w:r>
    </w:p>
    <w:p>
      <w:pPr>
        <w:pStyle w:val="ListParagraph"/>
        <w:numPr>
          <w:ilvl w:val="0"/>
          <w:numId w:val="2"/>
        </w:numPr>
        <w:spacing w:after="80"/>
      </w:pPr>
      <w:r>
        <w:rPr>
          <w:sz w:val="22"/>
          <w:szCs w:val="22"/>
        </w:rPr>
        <w:t xml:space="preserve">Repeat final runs with 2 or 3 seeds and report mean and spread.</w:t>
      </w:r>
    </w:p>
    <w:p>
      <w:pPr>
        <w:pStyle w:val="ListParagraph"/>
        <w:numPr>
          <w:ilvl w:val="0"/>
          <w:numId w:val="2"/>
        </w:numPr>
        <w:spacing w:after="80"/>
      </w:pPr>
      <w:r>
        <w:rPr>
          <w:sz w:val="22"/>
          <w:szCs w:val="22"/>
        </w:rPr>
        <w:t xml:space="preserve">Note the rho used for these four runs and keep it identical across compared runs.</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2026-10-23T18:50:08.599Z</dcterms:created>
  <dcterms:modified xsi:type="dcterms:W3CDTF">2026-10-23T18:50:08.607Z</dcterms:modified>
</cp:coreProperties>
</file>

<file path=docProps/custom.xml><?xml version="1.0" encoding="utf-8"?>
<Properties xmlns="http://schemas.openxmlformats.org/officeDocument/2006/custom-properties" xmlns:vt="http://schemas.openxmlformats.org/officeDocument/2006/docPropsVTypes"/>
</file>