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25DC6" w:rsidRDefault="00C34A5E" w:rsidP="00D24A0C">
      <w:pPr>
        <w:jc w:val="center"/>
        <w:rPr>
          <w:b/>
          <w:bCs/>
          <w:sz w:val="28"/>
          <w:szCs w:val="28"/>
          <w:u w:val="single"/>
        </w:rPr>
      </w:pPr>
      <w:r w:rsidRPr="00D24A0C">
        <w:rPr>
          <w:b/>
          <w:bCs/>
          <w:sz w:val="28"/>
          <w:szCs w:val="28"/>
          <w:u w:val="single"/>
        </w:rPr>
        <w:t>Prac</w:t>
      </w:r>
      <w:r w:rsidR="00562DAE" w:rsidRPr="00D24A0C">
        <w:rPr>
          <w:b/>
          <w:bCs/>
          <w:sz w:val="28"/>
          <w:szCs w:val="28"/>
          <w:u w:val="single"/>
        </w:rPr>
        <w:t>tical-</w:t>
      </w:r>
      <w:r w:rsidRPr="00D24A0C">
        <w:rPr>
          <w:b/>
          <w:bCs/>
          <w:sz w:val="28"/>
          <w:szCs w:val="28"/>
          <w:u w:val="single"/>
        </w:rPr>
        <w:t>3</w:t>
      </w:r>
    </w:p>
    <w:p w:rsidR="00D24A0C" w:rsidRPr="00D24A0C" w:rsidRDefault="00D24A0C" w:rsidP="00D24A0C">
      <w:pPr>
        <w:rPr>
          <w:b/>
          <w:bCs/>
          <w:sz w:val="28"/>
          <w:szCs w:val="28"/>
          <w:lang w:val="en-US"/>
        </w:rPr>
      </w:pPr>
      <w:r w:rsidRPr="00D24A0C">
        <w:rPr>
          <w:b/>
          <w:bCs/>
          <w:sz w:val="28"/>
          <w:szCs w:val="28"/>
          <w:lang w:val="en-US"/>
        </w:rPr>
        <w:t>Azure and Generative AI</w:t>
      </w:r>
      <w:r>
        <w:rPr>
          <w:b/>
          <w:bCs/>
          <w:sz w:val="28"/>
          <w:szCs w:val="28"/>
          <w:lang w:val="en-US"/>
        </w:rPr>
        <w:t>:</w:t>
      </w:r>
    </w:p>
    <w:p w:rsidR="00D24A0C" w:rsidRPr="00D24A0C" w:rsidRDefault="00D24A0C" w:rsidP="00D24A0C">
      <w:pPr>
        <w:rPr>
          <w:sz w:val="24"/>
          <w:szCs w:val="24"/>
          <w:lang w:val="en-US"/>
        </w:rPr>
      </w:pPr>
      <w:r w:rsidRPr="00D24A0C">
        <w:rPr>
          <w:sz w:val="24"/>
          <w:szCs w:val="24"/>
          <w:lang w:val="en-US"/>
        </w:rPr>
        <w:t>Microsoft Azure is a leading cloud computing platform that provides a vast ecosystem of services, tools, and infrastructure, empowering organizations to develop, deploy, and manage applications and services through a global network of Microsoft-managed data centers. Azure provides comprehensive solutions across various computing models, including Infrastructure as a Service (IaaS), Platform as a Service (PaaS), and Software as a Service (SaaS), catering to a broad spectrum of business and technological requirements, from basic storage solutions to advanced artificial intelligence and machine learning deployments.</w:t>
      </w:r>
    </w:p>
    <w:p w:rsidR="00D24A0C" w:rsidRPr="00D24A0C" w:rsidRDefault="00D24A0C" w:rsidP="00D24A0C">
      <w:pPr>
        <w:rPr>
          <w:b/>
          <w:bCs/>
          <w:sz w:val="24"/>
          <w:szCs w:val="24"/>
          <w:lang w:val="en-US"/>
        </w:rPr>
      </w:pPr>
      <w:r w:rsidRPr="00D24A0C">
        <w:rPr>
          <w:b/>
          <w:bCs/>
          <w:sz w:val="24"/>
          <w:szCs w:val="24"/>
          <w:lang w:val="en-US"/>
        </w:rPr>
        <w:t>Fundamental Azure Concepts</w:t>
      </w:r>
    </w:p>
    <w:p w:rsidR="00D24A0C" w:rsidRPr="00D24A0C" w:rsidRDefault="00D24A0C" w:rsidP="00D24A0C">
      <w:pPr>
        <w:numPr>
          <w:ilvl w:val="0"/>
          <w:numId w:val="1"/>
        </w:numPr>
        <w:rPr>
          <w:sz w:val="24"/>
          <w:szCs w:val="24"/>
          <w:lang w:val="en-US"/>
        </w:rPr>
      </w:pPr>
      <w:r w:rsidRPr="00D24A0C">
        <w:rPr>
          <w:b/>
          <w:bCs/>
          <w:sz w:val="24"/>
          <w:szCs w:val="24"/>
          <w:lang w:val="en-US"/>
        </w:rPr>
        <w:t>Resource Groups</w:t>
      </w:r>
      <w:r w:rsidRPr="00D24A0C">
        <w:rPr>
          <w:sz w:val="24"/>
          <w:szCs w:val="24"/>
          <w:lang w:val="en-US"/>
        </w:rPr>
        <w:t>: Azure resource groups are logical containers used to manage and organize related Azure resources. A resource group serves as a unit of management, allowing users to deploy, update, and delete all resources within the group in a coordinated manner. This facilitates efficient management, simplifies access control, and streamlines cost tracking. All resources within a resource group share the same lifecycle, ensuring consistent management and deployment.</w:t>
      </w:r>
    </w:p>
    <w:p w:rsidR="00D24A0C" w:rsidRPr="00D24A0C" w:rsidRDefault="00D24A0C" w:rsidP="00D24A0C">
      <w:pPr>
        <w:numPr>
          <w:ilvl w:val="0"/>
          <w:numId w:val="1"/>
        </w:numPr>
        <w:rPr>
          <w:sz w:val="24"/>
          <w:szCs w:val="24"/>
          <w:lang w:val="en-US"/>
        </w:rPr>
      </w:pPr>
      <w:r w:rsidRPr="00D24A0C">
        <w:rPr>
          <w:b/>
          <w:bCs/>
          <w:sz w:val="24"/>
          <w:szCs w:val="24"/>
          <w:lang w:val="en-US"/>
        </w:rPr>
        <w:t>Azure Services</w:t>
      </w:r>
      <w:r w:rsidRPr="00D24A0C">
        <w:rPr>
          <w:sz w:val="24"/>
          <w:szCs w:val="24"/>
          <w:lang w:val="en-US"/>
        </w:rPr>
        <w:t>: The Azure platform offers a wide range of services designed to meet diverse computing needs. Key services relevant to AI and machine learning include:</w:t>
      </w:r>
    </w:p>
    <w:p w:rsidR="00D24A0C" w:rsidRPr="00D24A0C" w:rsidRDefault="00D24A0C" w:rsidP="00D24A0C">
      <w:pPr>
        <w:numPr>
          <w:ilvl w:val="1"/>
          <w:numId w:val="1"/>
        </w:numPr>
        <w:rPr>
          <w:sz w:val="24"/>
          <w:szCs w:val="24"/>
          <w:lang w:val="en-US"/>
        </w:rPr>
      </w:pPr>
      <w:r w:rsidRPr="00D24A0C">
        <w:rPr>
          <w:b/>
          <w:bCs/>
          <w:sz w:val="24"/>
          <w:szCs w:val="24"/>
          <w:lang w:val="en-US"/>
        </w:rPr>
        <w:t>Azure OpenAI Service</w:t>
      </w:r>
      <w:r w:rsidRPr="00D24A0C">
        <w:rPr>
          <w:sz w:val="24"/>
          <w:szCs w:val="24"/>
          <w:lang w:val="en-US"/>
        </w:rPr>
        <w:t>: This service enables organizations to leverage state-of-the-art OpenAI models, such as GPT-3.5, GPT-4, and various embedding models, directly within the Azure environment. It provides enterprise-grade security, compliance certifications, and global availability, making it suitable for a range of commercial applications. The Azure OpenAI Service ensures data privacy and security, with Microsoft guaranteeing that customer data is not used to train OpenAI models.</w:t>
      </w:r>
    </w:p>
    <w:p w:rsidR="00D24A0C" w:rsidRPr="00D24A0C" w:rsidRDefault="00D24A0C" w:rsidP="00D24A0C">
      <w:pPr>
        <w:numPr>
          <w:ilvl w:val="1"/>
          <w:numId w:val="1"/>
        </w:numPr>
        <w:rPr>
          <w:sz w:val="24"/>
          <w:szCs w:val="24"/>
          <w:lang w:val="en-US"/>
        </w:rPr>
      </w:pPr>
      <w:r w:rsidRPr="00D24A0C">
        <w:rPr>
          <w:b/>
          <w:bCs/>
          <w:sz w:val="24"/>
          <w:szCs w:val="24"/>
          <w:lang w:val="en-US"/>
        </w:rPr>
        <w:t>Azure AI Studio/Foundry</w:t>
      </w:r>
      <w:r w:rsidRPr="00D24A0C">
        <w:rPr>
          <w:sz w:val="24"/>
          <w:szCs w:val="24"/>
          <w:lang w:val="en-US"/>
        </w:rPr>
        <w:t>: Azure AI Studio (formerly AI Foundry) is a unified platform for building, evaluating, and deploying AI models. It supports both proprietary models available through Azure and open-source models, providing a flexible environment for AI innovation. Azure AI Studio streamlines the AI development lifecycle, offering tools for data preparation, model training, evaluation, and deployment. This facilitates the integration of AI capabilities into various applications and services.</w:t>
      </w:r>
    </w:p>
    <w:p w:rsidR="00D24A0C" w:rsidRPr="00D24A0C" w:rsidRDefault="00D24A0C" w:rsidP="00D24A0C">
      <w:pPr>
        <w:numPr>
          <w:ilvl w:val="1"/>
          <w:numId w:val="1"/>
        </w:numPr>
        <w:rPr>
          <w:sz w:val="24"/>
          <w:szCs w:val="24"/>
          <w:lang w:val="en-US"/>
        </w:rPr>
      </w:pPr>
      <w:r w:rsidRPr="00D24A0C">
        <w:rPr>
          <w:b/>
          <w:bCs/>
          <w:sz w:val="24"/>
          <w:szCs w:val="24"/>
          <w:lang w:val="en-US"/>
        </w:rPr>
        <w:t>Azure Machine Learning</w:t>
      </w:r>
      <w:r w:rsidRPr="00D24A0C">
        <w:rPr>
          <w:sz w:val="24"/>
          <w:szCs w:val="24"/>
          <w:lang w:val="en-US"/>
        </w:rPr>
        <w:t>: A cloud-based platform for developing, training, and deploying machine learning models. It supports various machine learning frameworks and languages, offering automated machine learning (</w:t>
      </w:r>
      <w:proofErr w:type="spellStart"/>
      <w:r w:rsidRPr="00D24A0C">
        <w:rPr>
          <w:sz w:val="24"/>
          <w:szCs w:val="24"/>
          <w:lang w:val="en-US"/>
        </w:rPr>
        <w:t>AutoML</w:t>
      </w:r>
      <w:proofErr w:type="spellEnd"/>
      <w:r w:rsidRPr="00D24A0C">
        <w:rPr>
          <w:sz w:val="24"/>
          <w:szCs w:val="24"/>
          <w:lang w:val="en-US"/>
        </w:rPr>
        <w:t>) capabilities to simplify model creation.</w:t>
      </w:r>
    </w:p>
    <w:p w:rsidR="00D24A0C" w:rsidRPr="00D24A0C" w:rsidRDefault="00D24A0C" w:rsidP="00D24A0C">
      <w:pPr>
        <w:rPr>
          <w:b/>
          <w:bCs/>
          <w:sz w:val="24"/>
          <w:szCs w:val="24"/>
          <w:lang w:val="en-US"/>
        </w:rPr>
      </w:pPr>
    </w:p>
    <w:p w:rsidR="00D24A0C" w:rsidRPr="00D24A0C" w:rsidRDefault="00D24A0C" w:rsidP="00D24A0C">
      <w:pPr>
        <w:rPr>
          <w:b/>
          <w:bCs/>
          <w:sz w:val="24"/>
          <w:szCs w:val="24"/>
          <w:lang w:val="en-US"/>
        </w:rPr>
      </w:pPr>
      <w:r w:rsidRPr="00D24A0C">
        <w:rPr>
          <w:b/>
          <w:bCs/>
          <w:sz w:val="24"/>
          <w:szCs w:val="24"/>
          <w:lang w:val="en-US"/>
        </w:rPr>
        <w:lastRenderedPageBreak/>
        <w:t>Deployment Process and Troubleshooting</w:t>
      </w:r>
    </w:p>
    <w:p w:rsidR="00D24A0C" w:rsidRPr="00D24A0C" w:rsidRDefault="00D24A0C" w:rsidP="00D24A0C">
      <w:pPr>
        <w:numPr>
          <w:ilvl w:val="0"/>
          <w:numId w:val="2"/>
        </w:numPr>
        <w:rPr>
          <w:sz w:val="24"/>
          <w:szCs w:val="24"/>
          <w:lang w:val="en-US"/>
        </w:rPr>
      </w:pPr>
      <w:r w:rsidRPr="00D24A0C">
        <w:rPr>
          <w:b/>
          <w:bCs/>
          <w:sz w:val="24"/>
          <w:szCs w:val="24"/>
          <w:lang w:val="en-US"/>
        </w:rPr>
        <w:t>Resource Group Creation</w:t>
      </w:r>
      <w:r w:rsidRPr="00D24A0C">
        <w:rPr>
          <w:sz w:val="24"/>
          <w:szCs w:val="24"/>
          <w:lang w:val="en-US"/>
        </w:rPr>
        <w:t>: The first step in utilizing Azure services involves creating a resource group via the Azure portal. The resource group serves as a logical container for all related resources, such as the Azure OpenAI instance, virtual networks, and storage accounts. When creating a resource group, it is necessary to specify a region, which determines the physical location where resources are deployed.</w:t>
      </w:r>
    </w:p>
    <w:p w:rsidR="00D24A0C" w:rsidRPr="00D24A0C" w:rsidRDefault="00D24A0C" w:rsidP="00D24A0C">
      <w:pPr>
        <w:numPr>
          <w:ilvl w:val="0"/>
          <w:numId w:val="2"/>
        </w:numPr>
        <w:rPr>
          <w:sz w:val="24"/>
          <w:szCs w:val="24"/>
          <w:lang w:val="en-US"/>
        </w:rPr>
      </w:pPr>
      <w:r w:rsidRPr="00D24A0C">
        <w:rPr>
          <w:b/>
          <w:bCs/>
          <w:sz w:val="24"/>
          <w:szCs w:val="24"/>
          <w:lang w:val="en-US"/>
        </w:rPr>
        <w:t>Service Provisioning</w:t>
      </w:r>
      <w:r w:rsidRPr="00D24A0C">
        <w:rPr>
          <w:sz w:val="24"/>
          <w:szCs w:val="24"/>
          <w:lang w:val="en-US"/>
        </w:rPr>
        <w:t>: Once the resource group is created, the required services, such as Azure OpenAI, can be provisioned within it. Provisioning Azure OpenAI involves selecting a pricing tier (e.g., S0), specifying the region for deployment, and configuring other settings as needed. The pricing tier determines the performance characteristics and cost of the service.</w:t>
      </w:r>
    </w:p>
    <w:p w:rsidR="00D24A0C" w:rsidRPr="00D24A0C" w:rsidRDefault="00D24A0C" w:rsidP="00D24A0C">
      <w:pPr>
        <w:numPr>
          <w:ilvl w:val="0"/>
          <w:numId w:val="2"/>
        </w:numPr>
        <w:rPr>
          <w:sz w:val="24"/>
          <w:szCs w:val="24"/>
          <w:lang w:val="en-US"/>
        </w:rPr>
      </w:pPr>
      <w:r w:rsidRPr="00D24A0C">
        <w:rPr>
          <w:b/>
          <w:bCs/>
          <w:sz w:val="24"/>
          <w:szCs w:val="24"/>
          <w:lang w:val="en-US"/>
        </w:rPr>
        <w:t>Model Deployment</w:t>
      </w:r>
      <w:r w:rsidRPr="00D24A0C">
        <w:rPr>
          <w:sz w:val="24"/>
          <w:szCs w:val="24"/>
          <w:lang w:val="en-US"/>
        </w:rPr>
        <w:t>: After provisioning the Azure OpenAI service, the next step is to deploy a specific model, such as GPT-3.5-turbo. Model deployment involves selecting the desired model and creating a deployment with a unique name. Azure OpenAI Service allows multiple deployments within a single instance, enabling users to experiment with different configurations and versions of models.</w:t>
      </w:r>
    </w:p>
    <w:p w:rsidR="00D24A0C" w:rsidRPr="00D24A0C" w:rsidRDefault="00D24A0C" w:rsidP="00D24A0C">
      <w:pPr>
        <w:numPr>
          <w:ilvl w:val="0"/>
          <w:numId w:val="2"/>
        </w:numPr>
        <w:rPr>
          <w:sz w:val="24"/>
          <w:szCs w:val="24"/>
          <w:lang w:val="en-US"/>
        </w:rPr>
      </w:pPr>
      <w:r w:rsidRPr="00D24A0C">
        <w:rPr>
          <w:b/>
          <w:bCs/>
          <w:sz w:val="24"/>
          <w:szCs w:val="24"/>
          <w:lang w:val="en-US"/>
        </w:rPr>
        <w:t>Subscription and Eligibility Issues</w:t>
      </w:r>
      <w:r w:rsidRPr="00D24A0C">
        <w:rPr>
          <w:sz w:val="24"/>
          <w:szCs w:val="24"/>
          <w:lang w:val="en-US"/>
        </w:rPr>
        <w:t>: As seen in the initial error (</w:t>
      </w:r>
      <w:proofErr w:type="spellStart"/>
      <w:r w:rsidRPr="00D24A0C">
        <w:rPr>
          <w:sz w:val="24"/>
          <w:szCs w:val="24"/>
          <w:lang w:val="en-US"/>
        </w:rPr>
        <w:t>UserError</w:t>
      </w:r>
      <w:proofErr w:type="spellEnd"/>
      <w:r w:rsidRPr="00D24A0C">
        <w:rPr>
          <w:sz w:val="24"/>
          <w:szCs w:val="24"/>
          <w:lang w:val="en-US"/>
        </w:rPr>
        <w:t>: Error occurred when subscribing to Marketplace: Marketplace Subscription purchase eligibility check failed), deploying certain models, especially those from the Azure Marketplace (e.g., Llama-3.3-70B-Instruct), requires a paid Azure subscription. This error indicates that the user’s current subscription (likely a free trial) is not eligible to purchase and deploy the selected model. Paid subscriptions provide the necessary entitlements and resources for deploying such models, which often have specialized licensing and infrastructure requirements.</w:t>
      </w:r>
    </w:p>
    <w:p w:rsidR="00D24A0C" w:rsidRPr="00D24A0C" w:rsidRDefault="00D24A0C" w:rsidP="00D24A0C">
      <w:pPr>
        <w:numPr>
          <w:ilvl w:val="1"/>
          <w:numId w:val="2"/>
        </w:numPr>
        <w:rPr>
          <w:sz w:val="24"/>
          <w:szCs w:val="24"/>
          <w:lang w:val="en-US"/>
        </w:rPr>
      </w:pPr>
      <w:r w:rsidRPr="00D24A0C">
        <w:rPr>
          <w:b/>
          <w:bCs/>
          <w:sz w:val="24"/>
          <w:szCs w:val="24"/>
          <w:lang w:val="en-US"/>
        </w:rPr>
        <w:t>Troubleshooting Subscription Issues</w:t>
      </w:r>
      <w:r w:rsidRPr="00D24A0C">
        <w:rPr>
          <w:sz w:val="24"/>
          <w:szCs w:val="24"/>
          <w:lang w:val="en-US"/>
        </w:rPr>
        <w:t>: Resolving subscription-related errors involves upgrading to a Pay-As-You-Go subscription or another eligible paid plan. This ensures that the account has the required permissions and billing setup to deploy and use marketplace models.</w:t>
      </w:r>
    </w:p>
    <w:p w:rsidR="00D24A0C" w:rsidRPr="00D24A0C" w:rsidRDefault="00D24A0C" w:rsidP="00D24A0C">
      <w:pPr>
        <w:numPr>
          <w:ilvl w:val="0"/>
          <w:numId w:val="2"/>
        </w:numPr>
        <w:rPr>
          <w:sz w:val="24"/>
          <w:szCs w:val="24"/>
          <w:lang w:val="en-US"/>
        </w:rPr>
      </w:pPr>
      <w:r w:rsidRPr="00D24A0C">
        <w:rPr>
          <w:b/>
          <w:bCs/>
          <w:sz w:val="24"/>
          <w:szCs w:val="24"/>
          <w:lang w:val="en-US"/>
        </w:rPr>
        <w:t>Connecting to Models</w:t>
      </w:r>
      <w:r w:rsidRPr="00D24A0C">
        <w:rPr>
          <w:sz w:val="24"/>
          <w:szCs w:val="24"/>
          <w:lang w:val="en-US"/>
        </w:rPr>
        <w:t>: Once a model is successfully deployed, it can be accessed via an API endpoint. Azure provides an API endpoint and access keys (or Azure Active Directory authentication) to secure access to the deployed model. These credentials are used to authenticate API requests and authorize access to the model.</w:t>
      </w:r>
    </w:p>
    <w:p w:rsidR="00D24A0C" w:rsidRPr="00D24A0C" w:rsidRDefault="00D24A0C" w:rsidP="00D24A0C">
      <w:pPr>
        <w:rPr>
          <w:sz w:val="28"/>
          <w:szCs w:val="28"/>
        </w:rPr>
      </w:pPr>
    </w:p>
    <w:p w:rsidR="00C34A5E" w:rsidRDefault="00C34A5E"/>
    <w:p w:rsidR="00D24A0C" w:rsidRDefault="00D24A0C">
      <w:pPr>
        <w:rPr>
          <w:noProof/>
        </w:rPr>
      </w:pPr>
    </w:p>
    <w:p w:rsidR="00C34A5E" w:rsidRDefault="00C34A5E">
      <w:r>
        <w:rPr>
          <w:noProof/>
        </w:rPr>
        <w:lastRenderedPageBreak/>
        <w:drawing>
          <wp:inline distT="0" distB="0" distL="0" distR="0" wp14:anchorId="663B0C58" wp14:editId="495D4062">
            <wp:extent cx="6111240" cy="2754323"/>
            <wp:effectExtent l="0" t="0" r="3810" b="8255"/>
            <wp:docPr id="205278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84910" name=""/>
                    <pic:cNvPicPr/>
                  </pic:nvPicPr>
                  <pic:blipFill rotWithShape="1">
                    <a:blip r:embed="rId5"/>
                    <a:srcRect t="13709" b="6165"/>
                    <a:stretch/>
                  </pic:blipFill>
                  <pic:spPr bwMode="auto">
                    <a:xfrm>
                      <a:off x="0" y="0"/>
                      <a:ext cx="6155863" cy="2774434"/>
                    </a:xfrm>
                    <a:prstGeom prst="rect">
                      <a:avLst/>
                    </a:prstGeom>
                    <a:ln>
                      <a:noFill/>
                    </a:ln>
                    <a:extLst>
                      <a:ext uri="{53640926-AAD7-44D8-BBD7-CCE9431645EC}">
                        <a14:shadowObscured xmlns:a14="http://schemas.microsoft.com/office/drawing/2010/main"/>
                      </a:ext>
                    </a:extLst>
                  </pic:spPr>
                </pic:pic>
              </a:graphicData>
            </a:graphic>
          </wp:inline>
        </w:drawing>
      </w:r>
    </w:p>
    <w:p w:rsidR="00D24A0C" w:rsidRDefault="00C34A5E">
      <w:r>
        <w:rPr>
          <w:noProof/>
        </w:rPr>
        <w:drawing>
          <wp:inline distT="0" distB="0" distL="0" distR="0" wp14:anchorId="2C37174A" wp14:editId="12F0CBE9">
            <wp:extent cx="6118860" cy="2741488"/>
            <wp:effectExtent l="0" t="0" r="0" b="1905"/>
            <wp:docPr id="85655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51744" name=""/>
                    <pic:cNvPicPr/>
                  </pic:nvPicPr>
                  <pic:blipFill rotWithShape="1">
                    <a:blip r:embed="rId6"/>
                    <a:srcRect t="14183" b="6165"/>
                    <a:stretch/>
                  </pic:blipFill>
                  <pic:spPr bwMode="auto">
                    <a:xfrm>
                      <a:off x="0" y="0"/>
                      <a:ext cx="6174076" cy="2766227"/>
                    </a:xfrm>
                    <a:prstGeom prst="rect">
                      <a:avLst/>
                    </a:prstGeom>
                    <a:ln>
                      <a:noFill/>
                    </a:ln>
                    <a:extLst>
                      <a:ext uri="{53640926-AAD7-44D8-BBD7-CCE9431645EC}">
                        <a14:shadowObscured xmlns:a14="http://schemas.microsoft.com/office/drawing/2010/main"/>
                      </a:ext>
                    </a:extLst>
                  </pic:spPr>
                </pic:pic>
              </a:graphicData>
            </a:graphic>
          </wp:inline>
        </w:drawing>
      </w:r>
    </w:p>
    <w:p w:rsidR="00C34A5E" w:rsidRDefault="00C34A5E">
      <w:r>
        <w:rPr>
          <w:noProof/>
        </w:rPr>
        <w:drawing>
          <wp:inline distT="0" distB="0" distL="0" distR="0" wp14:anchorId="5F03E8EE" wp14:editId="634EFE43">
            <wp:extent cx="6156960" cy="2783115"/>
            <wp:effectExtent l="0" t="0" r="0" b="0"/>
            <wp:docPr id="173661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9592" name=""/>
                    <pic:cNvPicPr/>
                  </pic:nvPicPr>
                  <pic:blipFill rotWithShape="1">
                    <a:blip r:embed="rId7"/>
                    <a:srcRect t="14182" b="5456"/>
                    <a:stretch/>
                  </pic:blipFill>
                  <pic:spPr bwMode="auto">
                    <a:xfrm>
                      <a:off x="0" y="0"/>
                      <a:ext cx="6183680" cy="2795193"/>
                    </a:xfrm>
                    <a:prstGeom prst="rect">
                      <a:avLst/>
                    </a:prstGeom>
                    <a:ln>
                      <a:noFill/>
                    </a:ln>
                    <a:extLst>
                      <a:ext uri="{53640926-AAD7-44D8-BBD7-CCE9431645EC}">
                        <a14:shadowObscured xmlns:a14="http://schemas.microsoft.com/office/drawing/2010/main"/>
                      </a:ext>
                    </a:extLst>
                  </pic:spPr>
                </pic:pic>
              </a:graphicData>
            </a:graphic>
          </wp:inline>
        </w:drawing>
      </w:r>
    </w:p>
    <w:p w:rsidR="00D24A0C" w:rsidRDefault="00D24A0C">
      <w:pPr>
        <w:rPr>
          <w:noProof/>
        </w:rPr>
      </w:pPr>
    </w:p>
    <w:p w:rsidR="00D24A0C" w:rsidRDefault="00C34A5E">
      <w:r>
        <w:rPr>
          <w:noProof/>
        </w:rPr>
        <w:lastRenderedPageBreak/>
        <w:drawing>
          <wp:inline distT="0" distB="0" distL="0" distR="0" wp14:anchorId="23983DCD" wp14:editId="50004F0A">
            <wp:extent cx="6119231" cy="2766060"/>
            <wp:effectExtent l="0" t="0" r="0" b="0"/>
            <wp:docPr id="28157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72133" name=""/>
                    <pic:cNvPicPr/>
                  </pic:nvPicPr>
                  <pic:blipFill rotWithShape="1">
                    <a:blip r:embed="rId8"/>
                    <a:srcRect t="13946" b="5692"/>
                    <a:stretch/>
                  </pic:blipFill>
                  <pic:spPr bwMode="auto">
                    <a:xfrm>
                      <a:off x="0" y="0"/>
                      <a:ext cx="6129661" cy="2770774"/>
                    </a:xfrm>
                    <a:prstGeom prst="rect">
                      <a:avLst/>
                    </a:prstGeom>
                    <a:ln>
                      <a:noFill/>
                    </a:ln>
                    <a:extLst>
                      <a:ext uri="{53640926-AAD7-44D8-BBD7-CCE9431645EC}">
                        <a14:shadowObscured xmlns:a14="http://schemas.microsoft.com/office/drawing/2010/main"/>
                      </a:ext>
                    </a:extLst>
                  </pic:spPr>
                </pic:pic>
              </a:graphicData>
            </a:graphic>
          </wp:inline>
        </w:drawing>
      </w:r>
    </w:p>
    <w:p w:rsidR="00D24A0C" w:rsidRDefault="00E40A4A">
      <w:r>
        <w:rPr>
          <w:noProof/>
        </w:rPr>
        <w:drawing>
          <wp:inline distT="0" distB="0" distL="0" distR="0" wp14:anchorId="471EC5EC" wp14:editId="30057B8F">
            <wp:extent cx="6141720" cy="2800722"/>
            <wp:effectExtent l="0" t="0" r="0" b="0"/>
            <wp:docPr id="15077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991" name=""/>
                    <pic:cNvPicPr/>
                  </pic:nvPicPr>
                  <pic:blipFill rotWithShape="1">
                    <a:blip r:embed="rId9"/>
                    <a:srcRect t="13708" b="5220"/>
                    <a:stretch/>
                  </pic:blipFill>
                  <pic:spPr bwMode="auto">
                    <a:xfrm>
                      <a:off x="0" y="0"/>
                      <a:ext cx="6171942" cy="2814504"/>
                    </a:xfrm>
                    <a:prstGeom prst="rect">
                      <a:avLst/>
                    </a:prstGeom>
                    <a:ln>
                      <a:noFill/>
                    </a:ln>
                    <a:extLst>
                      <a:ext uri="{53640926-AAD7-44D8-BBD7-CCE9431645EC}">
                        <a14:shadowObscured xmlns:a14="http://schemas.microsoft.com/office/drawing/2010/main"/>
                      </a:ext>
                    </a:extLst>
                  </pic:spPr>
                </pic:pic>
              </a:graphicData>
            </a:graphic>
          </wp:inline>
        </w:drawing>
      </w:r>
    </w:p>
    <w:p w:rsidR="00D24A0C" w:rsidRDefault="004E5698">
      <w:r w:rsidRPr="004E5698">
        <w:rPr>
          <w:noProof/>
        </w:rPr>
        <w:drawing>
          <wp:inline distT="0" distB="0" distL="0" distR="0" wp14:anchorId="2C620FB8" wp14:editId="57505BAD">
            <wp:extent cx="6164580" cy="2835734"/>
            <wp:effectExtent l="0" t="0" r="7620" b="3175"/>
            <wp:docPr id="139873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34837" name=""/>
                    <pic:cNvPicPr/>
                  </pic:nvPicPr>
                  <pic:blipFill rotWithShape="1">
                    <a:blip r:embed="rId10"/>
                    <a:srcRect t="13000" b="5219"/>
                    <a:stretch/>
                  </pic:blipFill>
                  <pic:spPr bwMode="auto">
                    <a:xfrm>
                      <a:off x="0" y="0"/>
                      <a:ext cx="6192073" cy="2848381"/>
                    </a:xfrm>
                    <a:prstGeom prst="rect">
                      <a:avLst/>
                    </a:prstGeom>
                    <a:ln>
                      <a:noFill/>
                    </a:ln>
                    <a:extLst>
                      <a:ext uri="{53640926-AAD7-44D8-BBD7-CCE9431645EC}">
                        <a14:shadowObscured xmlns:a14="http://schemas.microsoft.com/office/drawing/2010/main"/>
                      </a:ext>
                    </a:extLst>
                  </pic:spPr>
                </pic:pic>
              </a:graphicData>
            </a:graphic>
          </wp:inline>
        </w:drawing>
      </w:r>
    </w:p>
    <w:p w:rsidR="00D24A0C" w:rsidRDefault="004E5698">
      <w:r>
        <w:rPr>
          <w:noProof/>
        </w:rPr>
        <w:lastRenderedPageBreak/>
        <w:drawing>
          <wp:inline distT="0" distB="0" distL="0" distR="0" wp14:anchorId="3535805F" wp14:editId="5659BACE">
            <wp:extent cx="6065520" cy="2757910"/>
            <wp:effectExtent l="0" t="0" r="0" b="4445"/>
            <wp:docPr id="180623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36379" name=""/>
                    <pic:cNvPicPr/>
                  </pic:nvPicPr>
                  <pic:blipFill rotWithShape="1">
                    <a:blip r:embed="rId11"/>
                    <a:srcRect t="13946" b="5219"/>
                    <a:stretch/>
                  </pic:blipFill>
                  <pic:spPr bwMode="auto">
                    <a:xfrm>
                      <a:off x="0" y="0"/>
                      <a:ext cx="6086428" cy="2767416"/>
                    </a:xfrm>
                    <a:prstGeom prst="rect">
                      <a:avLst/>
                    </a:prstGeom>
                    <a:ln>
                      <a:noFill/>
                    </a:ln>
                    <a:extLst>
                      <a:ext uri="{53640926-AAD7-44D8-BBD7-CCE9431645EC}">
                        <a14:shadowObscured xmlns:a14="http://schemas.microsoft.com/office/drawing/2010/main"/>
                      </a:ext>
                    </a:extLst>
                  </pic:spPr>
                </pic:pic>
              </a:graphicData>
            </a:graphic>
          </wp:inline>
        </w:drawing>
      </w:r>
    </w:p>
    <w:p w:rsidR="004E5698" w:rsidRDefault="004E5698">
      <w:r>
        <w:rPr>
          <w:noProof/>
        </w:rPr>
        <w:drawing>
          <wp:inline distT="0" distB="0" distL="0" distR="0" wp14:anchorId="4666F21A" wp14:editId="7D25F601">
            <wp:extent cx="6073140" cy="2809820"/>
            <wp:effectExtent l="0" t="0" r="3810" b="0"/>
            <wp:docPr id="167352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21125" name=""/>
                    <pic:cNvPicPr/>
                  </pic:nvPicPr>
                  <pic:blipFill rotWithShape="1">
                    <a:blip r:embed="rId12"/>
                    <a:srcRect t="12527" b="5220"/>
                    <a:stretch/>
                  </pic:blipFill>
                  <pic:spPr bwMode="auto">
                    <a:xfrm>
                      <a:off x="0" y="0"/>
                      <a:ext cx="6109280" cy="2826540"/>
                    </a:xfrm>
                    <a:prstGeom prst="rect">
                      <a:avLst/>
                    </a:prstGeom>
                    <a:ln>
                      <a:noFill/>
                    </a:ln>
                    <a:extLst>
                      <a:ext uri="{53640926-AAD7-44D8-BBD7-CCE9431645EC}">
                        <a14:shadowObscured xmlns:a14="http://schemas.microsoft.com/office/drawing/2010/main"/>
                      </a:ext>
                    </a:extLst>
                  </pic:spPr>
                </pic:pic>
              </a:graphicData>
            </a:graphic>
          </wp:inline>
        </w:drawing>
      </w:r>
    </w:p>
    <w:p w:rsidR="004E5698" w:rsidRDefault="004E5698">
      <w:r>
        <w:rPr>
          <w:noProof/>
        </w:rPr>
        <w:drawing>
          <wp:inline distT="0" distB="0" distL="0" distR="0" wp14:anchorId="692EDD6D" wp14:editId="67DA9511">
            <wp:extent cx="6080760" cy="2797177"/>
            <wp:effectExtent l="0" t="0" r="0" b="3175"/>
            <wp:docPr id="73851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18258" name=""/>
                    <pic:cNvPicPr/>
                  </pic:nvPicPr>
                  <pic:blipFill rotWithShape="1">
                    <a:blip r:embed="rId13"/>
                    <a:srcRect t="12763" b="5456"/>
                    <a:stretch/>
                  </pic:blipFill>
                  <pic:spPr bwMode="auto">
                    <a:xfrm>
                      <a:off x="0" y="0"/>
                      <a:ext cx="6092097" cy="2802392"/>
                    </a:xfrm>
                    <a:prstGeom prst="rect">
                      <a:avLst/>
                    </a:prstGeom>
                    <a:ln>
                      <a:noFill/>
                    </a:ln>
                    <a:extLst>
                      <a:ext uri="{53640926-AAD7-44D8-BBD7-CCE9431645EC}">
                        <a14:shadowObscured xmlns:a14="http://schemas.microsoft.com/office/drawing/2010/main"/>
                      </a:ext>
                    </a:extLst>
                  </pic:spPr>
                </pic:pic>
              </a:graphicData>
            </a:graphic>
          </wp:inline>
        </w:drawing>
      </w:r>
    </w:p>
    <w:p w:rsidR="004E5698" w:rsidRDefault="009552AD">
      <w:r w:rsidRPr="009552AD">
        <w:rPr>
          <w:noProof/>
        </w:rPr>
        <w:lastRenderedPageBreak/>
        <w:drawing>
          <wp:inline distT="0" distB="0" distL="0" distR="0" wp14:anchorId="72DE544C" wp14:editId="04A0C63F">
            <wp:extent cx="6150338" cy="3459480"/>
            <wp:effectExtent l="0" t="0" r="3175" b="7620"/>
            <wp:docPr id="201208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89256" name=""/>
                    <pic:cNvPicPr/>
                  </pic:nvPicPr>
                  <pic:blipFill>
                    <a:blip r:embed="rId14"/>
                    <a:stretch>
                      <a:fillRect/>
                    </a:stretch>
                  </pic:blipFill>
                  <pic:spPr>
                    <a:xfrm>
                      <a:off x="0" y="0"/>
                      <a:ext cx="6171424" cy="3471341"/>
                    </a:xfrm>
                    <a:prstGeom prst="rect">
                      <a:avLst/>
                    </a:prstGeom>
                  </pic:spPr>
                </pic:pic>
              </a:graphicData>
            </a:graphic>
          </wp:inline>
        </w:drawing>
      </w:r>
    </w:p>
    <w:p w:rsidR="009552AD" w:rsidRDefault="009552AD">
      <w:r>
        <w:rPr>
          <w:noProof/>
        </w:rPr>
        <w:drawing>
          <wp:inline distT="0" distB="0" distL="0" distR="0" wp14:anchorId="058A34DC" wp14:editId="78A0E541">
            <wp:extent cx="6149975" cy="3459276"/>
            <wp:effectExtent l="0" t="0" r="3175" b="8255"/>
            <wp:docPr id="117583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30664" name=""/>
                    <pic:cNvPicPr/>
                  </pic:nvPicPr>
                  <pic:blipFill>
                    <a:blip r:embed="rId15"/>
                    <a:stretch>
                      <a:fillRect/>
                    </a:stretch>
                  </pic:blipFill>
                  <pic:spPr>
                    <a:xfrm>
                      <a:off x="0" y="0"/>
                      <a:ext cx="6177981" cy="3475029"/>
                    </a:xfrm>
                    <a:prstGeom prst="rect">
                      <a:avLst/>
                    </a:prstGeom>
                  </pic:spPr>
                </pic:pic>
              </a:graphicData>
            </a:graphic>
          </wp:inline>
        </w:drawing>
      </w:r>
    </w:p>
    <w:sectPr w:rsidR="00955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B77C1A"/>
    <w:multiLevelType w:val="multilevel"/>
    <w:tmpl w:val="6F52F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6F674A"/>
    <w:multiLevelType w:val="multilevel"/>
    <w:tmpl w:val="8B00E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15356321">
    <w:abstractNumId w:val="0"/>
    <w:lvlOverride w:ilvl="0"/>
    <w:lvlOverride w:ilvl="1"/>
    <w:lvlOverride w:ilvl="2"/>
    <w:lvlOverride w:ilvl="3"/>
    <w:lvlOverride w:ilvl="4"/>
    <w:lvlOverride w:ilvl="5"/>
    <w:lvlOverride w:ilvl="6"/>
    <w:lvlOverride w:ilvl="7"/>
    <w:lvlOverride w:ilvl="8"/>
  </w:num>
  <w:num w:numId="2" w16cid:durableId="1753887589">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A5E"/>
    <w:rsid w:val="0023779A"/>
    <w:rsid w:val="00325DC6"/>
    <w:rsid w:val="004B58D7"/>
    <w:rsid w:val="004E5698"/>
    <w:rsid w:val="00562DAE"/>
    <w:rsid w:val="00611037"/>
    <w:rsid w:val="0070692D"/>
    <w:rsid w:val="0083405A"/>
    <w:rsid w:val="009552AD"/>
    <w:rsid w:val="009D0905"/>
    <w:rsid w:val="00C34A5E"/>
    <w:rsid w:val="00D0788F"/>
    <w:rsid w:val="00D24A0C"/>
    <w:rsid w:val="00E40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5ECBF"/>
  <w15:chartTrackingRefBased/>
  <w15:docId w15:val="{BEF5DF3C-5067-4BD8-8EB3-B926CDD5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A5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A5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A5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A5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A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A5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A5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A5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A5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A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A5E"/>
    <w:rPr>
      <w:rFonts w:eastAsiaTheme="majorEastAsia" w:cstheme="majorBidi"/>
      <w:color w:val="272727" w:themeColor="text1" w:themeTint="D8"/>
    </w:rPr>
  </w:style>
  <w:style w:type="paragraph" w:styleId="Title">
    <w:name w:val="Title"/>
    <w:basedOn w:val="Normal"/>
    <w:next w:val="Normal"/>
    <w:link w:val="TitleChar"/>
    <w:uiPriority w:val="10"/>
    <w:qFormat/>
    <w:rsid w:val="00C34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A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A5E"/>
    <w:pPr>
      <w:spacing w:before="160"/>
      <w:jc w:val="center"/>
    </w:pPr>
    <w:rPr>
      <w:i/>
      <w:iCs/>
      <w:color w:val="404040" w:themeColor="text1" w:themeTint="BF"/>
    </w:rPr>
  </w:style>
  <w:style w:type="character" w:customStyle="1" w:styleId="QuoteChar">
    <w:name w:val="Quote Char"/>
    <w:basedOn w:val="DefaultParagraphFont"/>
    <w:link w:val="Quote"/>
    <w:uiPriority w:val="29"/>
    <w:rsid w:val="00C34A5E"/>
    <w:rPr>
      <w:i/>
      <w:iCs/>
      <w:color w:val="404040" w:themeColor="text1" w:themeTint="BF"/>
    </w:rPr>
  </w:style>
  <w:style w:type="paragraph" w:styleId="ListParagraph">
    <w:name w:val="List Paragraph"/>
    <w:basedOn w:val="Normal"/>
    <w:uiPriority w:val="34"/>
    <w:qFormat/>
    <w:rsid w:val="00C34A5E"/>
    <w:pPr>
      <w:ind w:left="720"/>
      <w:contextualSpacing/>
    </w:pPr>
  </w:style>
  <w:style w:type="character" w:styleId="IntenseEmphasis">
    <w:name w:val="Intense Emphasis"/>
    <w:basedOn w:val="DefaultParagraphFont"/>
    <w:uiPriority w:val="21"/>
    <w:qFormat/>
    <w:rsid w:val="00C34A5E"/>
    <w:rPr>
      <w:i/>
      <w:iCs/>
      <w:color w:val="2F5496" w:themeColor="accent1" w:themeShade="BF"/>
    </w:rPr>
  </w:style>
  <w:style w:type="paragraph" w:styleId="IntenseQuote">
    <w:name w:val="Intense Quote"/>
    <w:basedOn w:val="Normal"/>
    <w:next w:val="Normal"/>
    <w:link w:val="IntenseQuoteChar"/>
    <w:uiPriority w:val="30"/>
    <w:qFormat/>
    <w:rsid w:val="00C34A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A5E"/>
    <w:rPr>
      <w:i/>
      <w:iCs/>
      <w:color w:val="2F5496" w:themeColor="accent1" w:themeShade="BF"/>
    </w:rPr>
  </w:style>
  <w:style w:type="character" w:styleId="IntenseReference">
    <w:name w:val="Intense Reference"/>
    <w:basedOn w:val="DefaultParagraphFont"/>
    <w:uiPriority w:val="32"/>
    <w:qFormat/>
    <w:rsid w:val="00C34A5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644516">
      <w:bodyDiv w:val="1"/>
      <w:marLeft w:val="0"/>
      <w:marRight w:val="0"/>
      <w:marTop w:val="0"/>
      <w:marBottom w:val="0"/>
      <w:divBdr>
        <w:top w:val="none" w:sz="0" w:space="0" w:color="auto"/>
        <w:left w:val="none" w:sz="0" w:space="0" w:color="auto"/>
        <w:bottom w:val="none" w:sz="0" w:space="0" w:color="auto"/>
        <w:right w:val="none" w:sz="0" w:space="0" w:color="auto"/>
      </w:divBdr>
    </w:div>
    <w:div w:id="157254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752</Words>
  <Characters>4288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Yadav</dc:creator>
  <cp:keywords/>
  <dc:description/>
  <cp:lastModifiedBy>Shivani Yadav</cp:lastModifiedBy>
  <cp:revision>2</cp:revision>
  <dcterms:created xsi:type="dcterms:W3CDTF">2025-04-18T21:15:00Z</dcterms:created>
  <dcterms:modified xsi:type="dcterms:W3CDTF">2025-04-18T21:15:00Z</dcterms:modified>
</cp:coreProperties>
</file>