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0" w:before="0"/>
        <w:jc w:val="center"/>
      </w:pPr>
      <w:r>
        <w:rPr>
          <w:rFonts w:ascii="Calibri" w:cs="Calibri" w:eastAsia="Calibri" w:hAnsi="Calibri"/>
          <w:b/>
          <w:bCs/>
          <w:color w:val="3B0F6B"/>
          <w:sz w:val="84"/>
          <w:szCs w:val="84"/>
        </w:rPr>
        <w:t xml:space="preserve">METRON</w:t>
      </w:r>
    </w:p>
    <w:p>
      <w:pPr>
        <w:pBdr>
          <w:bottom w:val="single" w:color="8B5CF6" w:sz="6" w:space="6"/>
        </w:pBdr>
        <w:spacing w:after="80" w:before="80"/>
        <w:jc w:val="center"/>
      </w:pPr>
      <w:r>
        <w:rPr>
          <w:rFonts w:ascii="Calibri" w:cs="Calibri" w:eastAsia="Calibri" w:hAnsi="Calibri"/>
          <w:color w:val="5B21A0"/>
          <w:sz w:val="32"/>
          <w:szCs w:val="32"/>
        </w:rPr>
        <w:t xml:space="preserve">AI Application Testing Platform</w:t>
      </w:r>
    </w:p>
    <w:p>
      <w:pPr>
        <w:spacing w:after="0" w:before="160"/>
      </w:pPr>
      <w:r>
        <w:t xml:space="preserve"/>
      </w:r>
    </w:p>
    <w:p>
      <w:pPr>
        <w:spacing w:after="40" w:before="0"/>
        <w:jc w:val="center"/>
      </w:pPr>
      <w:r>
        <w:rPr>
          <w:rFonts w:ascii="Calibri" w:cs="Calibri" w:eastAsia="Calibri" w:hAnsi="Calibri"/>
          <w:b/>
          <w:bCs/>
          <w:color w:val="5B21A0"/>
          <w:sz w:val="28"/>
          <w:szCs w:val="28"/>
        </w:rPr>
        <w:t xml:space="preserve">Technical Documentation</w:t>
      </w:r>
    </w:p>
    <w:p>
      <w:pPr>
        <w:spacing w:after="0" w:before="0"/>
        <w:jc w:val="center"/>
      </w:pPr>
      <w:r>
        <w:rPr>
          <w:rFonts w:ascii="Calibri" w:cs="Calibri" w:eastAsia="Calibri" w:hAnsi="Calibri"/>
          <w:i/>
          <w:iCs/>
          <w:color w:val="6B6B6B"/>
          <w:sz w:val="22"/>
          <w:szCs w:val="22"/>
        </w:rPr>
        <w:t xml:space="preserve">Version 1.0  ·  April 2026</w:t>
      </w:r>
    </w:p>
    <w:p>
      <w:pPr>
        <w:spacing w:after="0" w:before="600"/>
      </w:pPr>
      <w:r>
        <w:t xml:space="preserve"/>
      </w:r>
    </w:p>
    <w:p>
      <w:pPr>
        <w:spacing w:after="0" w:before="0"/>
        <w:jc w:val="center"/>
      </w:pPr>
      <w:r>
        <w:rPr>
          <w:rFonts w:ascii="Calibri" w:cs="Calibri" w:eastAsia="Calibri" w:hAnsi="Calibri"/>
          <w:color w:val="6B6B6B"/>
          <w:sz w:val="20"/>
          <w:szCs w:val="20"/>
        </w:rPr>
        <w:t xml:space="preserve">Confidential — For Internal Review</w:t>
      </w:r>
    </w:p>
    <w:p>
      <w:r>
        <w:br w:type="page"/>
      </w:r>
    </w:p>
    <w:p>
      <w:pPr>
        <w:pStyle w:val="Heading1"/>
        <w:pBdr>
          <w:bottom w:val="single" w:color="8B5CF6" w:sz="6" w:space="4"/>
        </w:pBdr>
        <w:spacing w:after="120" w:before="360"/>
      </w:pPr>
      <w:r>
        <w:rPr>
          <w:rFonts w:ascii="Calibri" w:cs="Calibri" w:eastAsia="Calibri" w:hAnsi="Calibri"/>
          <w:b/>
          <w:bCs/>
          <w:color w:val="3B0F6B"/>
          <w:sz w:val="34"/>
          <w:szCs w:val="34"/>
        </w:rPr>
        <w:t xml:space="preserve">1.  Introduction</w:t>
      </w:r>
    </w:p>
    <w:p>
      <w:pPr>
        <w:spacing w:after="80" w:before="60" w:line="276" w:lineRule="auto"/>
      </w:pPr>
      <w:r>
        <w:rPr>
          <w:rFonts w:ascii="Calibri" w:cs="Calibri" w:eastAsia="Calibri" w:hAnsi="Calibri"/>
          <w:color w:val="3D3D3D"/>
          <w:sz w:val="21"/>
          <w:szCs w:val="21"/>
        </w:rPr>
        <w:t xml:space="preserve">METRON is an automated AI application testing platform. It answers a single critical question: is your AI agent ready for production? Not simply whether it responds, but whether it responds correctly, safely, consistently, and fast enough — across the full range of real users who will interact with it.</w:t>
      </w:r>
    </w:p>
    <w:p>
      <w:pPr>
        <w:spacing w:after="0" w:before="80"/>
      </w:pPr>
      <w:r>
        <w:t xml:space="preserve"/>
      </w:r>
    </w:p>
    <w:p>
      <w:pPr>
        <w:spacing w:after="80" w:before="60" w:line="276" w:lineRule="auto"/>
      </w:pPr>
      <w:r>
        <w:rPr>
          <w:rFonts w:ascii="Calibri" w:cs="Calibri" w:eastAsia="Calibri" w:hAnsi="Calibri"/>
          <w:color w:val="3D3D3D"/>
          <w:sz w:val="21"/>
          <w:szCs w:val="21"/>
        </w:rPr>
        <w:t xml:space="preserve">Traditional AI testing is largely manual. A developer writes a handful of prompts, eyeballs the outputs, and ships. METRON replaces this ad-hoc approach with a structured, end-to-end pipeline that generates realistic user personas, runs authentic multi-turn conversations, and evaluates results using a suite of industry-standard tools. The output is a single, actionable health score backed by a detailed breakdown of every pass and failure.</w:t>
      </w:r>
    </w:p>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B5CF6" w:sz="8"/>
              <w:left w:val="single" w:color="8B5CF6" w:sz="18"/>
              <w:bottom w:val="single" w:color="D8B8F0" w:sz="2"/>
              <w:right w:val="single" w:color="D8B8F0" w:sz="2"/>
            </w:tcBorders>
            <w:shd w:fill="F9F3FE" w:val="clear"/>
            <w:tcMar>
              <w:top w:type="dxa" w:w="120"/>
              <w:left w:type="dxa" w:w="200"/>
              <w:bottom w:type="dxa" w:w="120"/>
              <w:right w:type="dxa" w:w="120"/>
            </w:tcMar>
          </w:tcPr>
          <w:p>
            <w:pPr>
              <w:spacing w:after="40" w:before="0"/>
            </w:pPr>
            <w:r>
              <w:rPr>
                <w:rFonts w:ascii="Calibri" w:cs="Calibri" w:eastAsia="Calibri" w:hAnsi="Calibri"/>
                <w:b/>
                <w:bCs/>
                <w:color w:val="3B0F6B"/>
                <w:sz w:val="20"/>
                <w:szCs w:val="20"/>
              </w:rPr>
              <w:t xml:space="preserve">Core Value Proposition</w:t>
            </w:r>
          </w:p>
          <w:p>
            <w:pPr>
              <w:spacing w:after="0" w:before="0"/>
            </w:pPr>
            <w:r>
              <w:rPr>
                <w:rFonts w:ascii="Calibri" w:cs="Calibri" w:eastAsia="Calibri" w:hAnsi="Calibri"/>
                <w:color w:val="3D3D3D"/>
                <w:sz w:val="20"/>
                <w:szCs w:val="20"/>
              </w:rPr>
              <w:t xml:space="preserve">METRON tests AI agents the way real users do — with varied expertise, emotional states, and intentions — so teams can ship with confidence instead of guesswork.</w:t>
            </w:r>
          </w:p>
        </w:tc>
      </w:tr>
    </w:tbl>
    <w:p>
      <w:pPr>
        <w:spacing w:after="0" w:before="160"/>
      </w:pPr>
      <w:r>
        <w:t xml:space="preserve"/>
      </w:r>
    </w:p>
    <w:p>
      <w:pPr>
        <w:pStyle w:val="Heading1"/>
        <w:pBdr>
          <w:bottom w:val="single" w:color="8B5CF6" w:sz="6" w:space="4"/>
        </w:pBdr>
        <w:spacing w:after="120" w:before="360"/>
      </w:pPr>
      <w:r>
        <w:rPr>
          <w:rFonts w:ascii="Calibri" w:cs="Calibri" w:eastAsia="Calibri" w:hAnsi="Calibri"/>
          <w:b/>
          <w:bCs/>
          <w:color w:val="3B0F6B"/>
          <w:sz w:val="34"/>
          <w:szCs w:val="34"/>
        </w:rPr>
        <w:t xml:space="preserve">2.  Product Overview</w:t>
      </w:r>
    </w:p>
    <w:p>
      <w:pPr>
        <w:pStyle w:val="Heading2"/>
        <w:spacing w:after="80" w:before="240"/>
      </w:pPr>
      <w:r>
        <w:rPr>
          <w:rFonts w:ascii="Calibri" w:cs="Calibri" w:eastAsia="Calibri" w:hAnsi="Calibri"/>
          <w:b/>
          <w:bCs/>
          <w:color w:val="5B21A0"/>
          <w:sz w:val="26"/>
          <w:szCs w:val="26"/>
        </w:rPr>
        <w:t xml:space="preserve">2.1  What Problem Does It Solve?</w:t>
      </w:r>
    </w:p>
    <w:p>
      <w:pPr>
        <w:spacing w:after="80" w:before="60" w:line="276" w:lineRule="auto"/>
      </w:pPr>
      <w:r>
        <w:rPr>
          <w:rFonts w:ascii="Calibri" w:cs="Calibri" w:eastAsia="Calibri" w:hAnsi="Calibri"/>
          <w:color w:val="3D3D3D"/>
          <w:sz w:val="21"/>
          <w:szCs w:val="21"/>
        </w:rPr>
        <w:t xml:space="preserve">As AI agents move into production environments — healthcare portals, finance chatbots, legal assistants — the cost of a poorly behaving model grows dramatically. A single hallucination, PII leak, or successful jailbreak can expose an organisation to legal liability, reputational damage, or worse. Yet most teams lack the tooling or time to test AI behaviour systematically.</w:t>
      </w:r>
    </w:p>
    <w:p>
      <w:pPr>
        <w:spacing w:after="0" w:before="80"/>
      </w:pPr>
      <w:r>
        <w:t xml:space="preserve"/>
      </w:r>
    </w:p>
    <w:p>
      <w:pPr>
        <w:spacing w:after="80" w:before="60" w:line="276" w:lineRule="auto"/>
      </w:pPr>
      <w:r>
        <w:rPr>
          <w:rFonts w:ascii="Calibri" w:cs="Calibri" w:eastAsia="Calibri" w:hAnsi="Calibri"/>
          <w:color w:val="3D3D3D"/>
          <w:sz w:val="21"/>
          <w:szCs w:val="21"/>
        </w:rPr>
        <w:t xml:space="preserve">METRON closes this gap by automating the entire evaluation lifecycle: from understanding what the AI is supposed to do, to generating a diverse population of simulated users, to running real conversations, to scoring the results across functional, security, quality, and performance dimensions.</w:t>
      </w:r>
    </w:p>
    <w:p>
      <w:pPr>
        <w:spacing w:after="0" w:before="120"/>
      </w:pPr>
      <w:r>
        <w:t xml:space="preserve"/>
      </w:r>
    </w:p>
    <w:p>
      <w:pPr>
        <w:pStyle w:val="Heading2"/>
        <w:spacing w:after="80" w:before="240"/>
      </w:pPr>
      <w:r>
        <w:rPr>
          <w:rFonts w:ascii="Calibri" w:cs="Calibri" w:eastAsia="Calibri" w:hAnsi="Calibri"/>
          <w:b/>
          <w:bCs/>
          <w:color w:val="5B21A0"/>
          <w:sz w:val="26"/>
          <w:szCs w:val="26"/>
        </w:rPr>
        <w:t xml:space="preserve">2.2  Supported Application Types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5840"/>
      </w:tblGrid>
      <w:tr>
        <w:tc>
          <w:tcPr>
            <w:tcW w:type="dxa" w:w="2800"/>
            <w:tcBorders>
              <w:top w:val="single" w:color="D8B8F0" w:sz="4"/>
              <w:left w:val="single" w:color="D8B8F0" w:sz="4"/>
              <w:bottom w:val="single" w:color="D8B8F0" w:sz="4"/>
              <w:right w:val="single" w:color="D8B8F0" w:sz="4"/>
            </w:tcBorders>
            <w:shd w:fill="EFE3FA" w:val="clear"/>
            <w:tcMar>
              <w:top w:type="dxa" w:w="80"/>
              <w:left w:type="dxa" w:w="120"/>
              <w:bottom w:type="dxa" w:w="80"/>
              <w:right w:type="dxa" w:w="120"/>
            </w:tcMar>
          </w:tcPr>
          <w:p>
            <w:r>
              <w:rPr>
                <w:rFonts w:ascii="Calibri" w:cs="Calibri" w:eastAsia="Calibri" w:hAnsi="Calibri"/>
                <w:b/>
                <w:bCs/>
                <w:color w:val="3B0F6B"/>
                <w:sz w:val="20"/>
                <w:szCs w:val="20"/>
              </w:rPr>
              <w:t xml:space="preserve">Application Type</w:t>
            </w:r>
          </w:p>
        </w:tc>
        <w:tc>
          <w:tcPr>
            <w:tcW w:type="dxa" w:w="5840"/>
            <w:tcBorders>
              <w:top w:val="single" w:color="D8B8F0" w:sz="4"/>
              <w:left w:val="single" w:color="D8B8F0" w:sz="4"/>
              <w:bottom w:val="single" w:color="D8B8F0" w:sz="4"/>
              <w:right w:val="single" w:color="D8B8F0" w:sz="4"/>
            </w:tcBorders>
            <w:shd w:fill="EFE3FA" w:val="clear"/>
            <w:tcMar>
              <w:top w:type="dxa" w:w="80"/>
              <w:left w:type="dxa" w:w="120"/>
              <w:bottom w:type="dxa" w:w="80"/>
              <w:right w:type="dxa" w:w="120"/>
            </w:tcMar>
          </w:tcPr>
          <w:p>
            <w:r>
              <w:rPr>
                <w:rFonts w:ascii="Calibri" w:cs="Calibri" w:eastAsia="Calibri" w:hAnsi="Calibri"/>
                <w:b/>
                <w:bCs/>
                <w:color w:val="3B0F6B"/>
                <w:sz w:val="20"/>
                <w:szCs w:val="20"/>
              </w:rPr>
              <w:t xml:space="preserve">Description</w:t>
            </w:r>
          </w:p>
        </w:tc>
      </w:tr>
      <w:tr>
        <w:tc>
          <w:tcPr>
            <w:tcW w:type="dxa" w:w="28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Chatbot</w:t>
            </w:r>
          </w:p>
        </w:tc>
        <w:tc>
          <w:tcPr>
            <w:tcW w:type="dxa" w:w="58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General-purpose conversational assistant (REST/JSON)</w:t>
            </w:r>
          </w:p>
        </w:tc>
      </w:tr>
      <w:tr>
        <w:tc>
          <w:tcPr>
            <w:tcW w:type="dxa" w:w="28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RAG</w:t>
            </w:r>
          </w:p>
        </w:tc>
        <w:tc>
          <w:tcPr>
            <w:tcW w:type="dxa" w:w="58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Retrieval-Augmented Generation system with source context</w:t>
            </w:r>
          </w:p>
        </w:tc>
      </w:tr>
      <w:tr>
        <w:tc>
          <w:tcPr>
            <w:tcW w:type="dxa" w:w="28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Multi-Agent</w:t>
            </w:r>
          </w:p>
        </w:tc>
        <w:tc>
          <w:tcPr>
            <w:tcW w:type="dxa" w:w="58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Systems that expose an agent trace across multiple sub-agents</w:t>
            </w:r>
          </w:p>
        </w:tc>
      </w:tr>
      <w:tr>
        <w:tc>
          <w:tcPr>
            <w:tcW w:type="dxa" w:w="28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Form</w:t>
            </w:r>
          </w:p>
        </w:tc>
        <w:tc>
          <w:tcPr>
            <w:tcW w:type="dxa" w:w="58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Structured form-submission interfaces</w:t>
            </w:r>
          </w:p>
        </w:tc>
      </w:tr>
    </w:tbl>
    <w:p>
      <w:pPr>
        <w:spacing w:after="0" w:before="160"/>
      </w:pPr>
      <w:r>
        <w:t xml:space="preserve"/>
      </w:r>
    </w:p>
    <w:p>
      <w:pPr>
        <w:pStyle w:val="Heading1"/>
        <w:pBdr>
          <w:bottom w:val="single" w:color="8B5CF6" w:sz="6" w:space="4"/>
        </w:pBdr>
        <w:spacing w:after="120" w:before="360"/>
      </w:pPr>
      <w:r>
        <w:rPr>
          <w:rFonts w:ascii="Calibri" w:cs="Calibri" w:eastAsia="Calibri" w:hAnsi="Calibri"/>
          <w:b/>
          <w:bCs/>
          <w:color w:val="3B0F6B"/>
          <w:sz w:val="34"/>
          <w:szCs w:val="34"/>
        </w:rPr>
        <w:t xml:space="preserve">3.  Technology Stack</w:t>
      </w:r>
    </w:p>
    <w:p>
      <w:pPr>
        <w:pStyle w:val="Heading2"/>
        <w:spacing w:after="80" w:before="240"/>
      </w:pPr>
      <w:r>
        <w:rPr>
          <w:rFonts w:ascii="Calibri" w:cs="Calibri" w:eastAsia="Calibri" w:hAnsi="Calibri"/>
          <w:b/>
          <w:bCs/>
          <w:color w:val="5B21A0"/>
          <w:sz w:val="26"/>
          <w:szCs w:val="26"/>
        </w:rPr>
        <w:t xml:space="preserve">3.1  Backend</w:t>
      </w:r>
    </w:p>
    <w:p>
      <w:pPr>
        <w:spacing w:after="80" w:before="60" w:line="276" w:lineRule="auto"/>
      </w:pPr>
      <w:r>
        <w:rPr>
          <w:rFonts w:ascii="Calibri" w:cs="Calibri" w:eastAsia="Calibri" w:hAnsi="Calibri"/>
          <w:color w:val="3D3D3D"/>
          <w:sz w:val="21"/>
          <w:szCs w:val="21"/>
        </w:rPr>
        <w:t xml:space="preserve">The backend is a Python 3.11 service built on FastAPI with Uvicorn as the ASGI server. All pipeline work is fully asynchronous using Python's asyncio library, which allows persona generation, conversation execution, and evaluations to run concurrently without blocking. Pydantic v2 is used for all data modelling, ensuring consistent validation throughout the pipeline.</w:t>
      </w:r>
    </w:p>
    <w:p>
      <w:pPr>
        <w:spacing w:after="0" w:before="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840"/>
      </w:tblGrid>
      <w:tr>
        <w:tc>
          <w:tcPr>
            <w:tcW w:type="dxa" w:w="22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Component</w:t>
            </w:r>
          </w:p>
        </w:tc>
        <w:tc>
          <w:tcPr>
            <w:tcW w:type="dxa" w:w="26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Technology</w:t>
            </w:r>
          </w:p>
        </w:tc>
        <w:tc>
          <w:tcPr>
            <w:tcW w:type="dxa" w:w="38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Purpose</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Web framework</w:t>
            </w:r>
          </w:p>
        </w:tc>
        <w:tc>
          <w:tcPr>
            <w:tcW w:type="dxa" w:w="26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FastAPI + Uvicorn</w:t>
            </w:r>
          </w:p>
        </w:tc>
        <w:tc>
          <w:tcPr>
            <w:tcW w:type="dxa" w:w="38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REST API, background task management</w:t>
            </w:r>
          </w:p>
        </w:tc>
      </w:tr>
      <w:tr>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Data models</w:t>
            </w:r>
          </w:p>
        </w:tc>
        <w:tc>
          <w:tcPr>
            <w:tcW w:type="dxa" w:w="26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Pydantic v2</w:t>
            </w:r>
          </w:p>
        </w:tc>
        <w:tc>
          <w:tcPr>
            <w:tcW w:type="dxa" w:w="38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Validation and serialisation</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LLM routing</w:t>
            </w:r>
          </w:p>
        </w:tc>
        <w:tc>
          <w:tcPr>
            <w:tcW w:type="dxa" w:w="26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litellm</w:t>
            </w:r>
          </w:p>
        </w:tc>
        <w:tc>
          <w:tcPr>
            <w:tcW w:type="dxa" w:w="38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Unified interface across 4 LLM providers</w:t>
            </w:r>
          </w:p>
        </w:tc>
      </w:tr>
      <w:tr>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HTTP client</w:t>
            </w:r>
          </w:p>
        </w:tc>
        <w:tc>
          <w:tcPr>
            <w:tcW w:type="dxa" w:w="26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aiohttp</w:t>
            </w:r>
          </w:p>
        </w:tc>
        <w:tc>
          <w:tcPr>
            <w:tcW w:type="dxa" w:w="38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Async calls to the target AI endpoint</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Concurrency</w:t>
            </w:r>
          </w:p>
        </w:tc>
        <w:tc>
          <w:tcPr>
            <w:tcW w:type="dxa" w:w="26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asyncio</w:t>
            </w:r>
          </w:p>
        </w:tc>
        <w:tc>
          <w:tcPr>
            <w:tcW w:type="dxa" w:w="38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Parallel pipeline stages</w:t>
            </w:r>
          </w:p>
        </w:tc>
      </w:tr>
    </w:tbl>
    <w:p>
      <w:pPr>
        <w:spacing w:after="0" w:before="160"/>
      </w:pPr>
      <w:r>
        <w:t xml:space="preserve"/>
      </w:r>
    </w:p>
    <w:p>
      <w:pPr>
        <w:pStyle w:val="Heading2"/>
        <w:spacing w:after="80" w:before="240"/>
      </w:pPr>
      <w:r>
        <w:rPr>
          <w:rFonts w:ascii="Calibri" w:cs="Calibri" w:eastAsia="Calibri" w:hAnsi="Calibri"/>
          <w:b/>
          <w:bCs/>
          <w:color w:val="5B21A0"/>
          <w:sz w:val="26"/>
          <w:szCs w:val="26"/>
        </w:rPr>
        <w:t xml:space="preserve">3.2  Frontend</w:t>
      </w:r>
    </w:p>
    <w:p>
      <w:pPr>
        <w:spacing w:after="80" w:before="60" w:line="276" w:lineRule="auto"/>
      </w:pPr>
      <w:r>
        <w:rPr>
          <w:rFonts w:ascii="Calibri" w:cs="Calibri" w:eastAsia="Calibri" w:hAnsi="Calibri"/>
          <w:color w:val="3D3D3D"/>
          <w:sz w:val="21"/>
          <w:szCs w:val="21"/>
        </w:rPr>
        <w:t xml:space="preserve">The frontend is a Next.js application (React 19, TypeScript) styled with Tailwind CSS. Configuration and project state are held in sessionStorage keyed by project ID, avoiding the need for a user authentication system in the MVP. The live run feed is driven by polling the backend every 2 500 milliseconds, rendering log events as they arrive.</w:t>
      </w:r>
    </w:p>
    <w:p>
      <w:pPr>
        <w:spacing w:after="0" w:before="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6440"/>
      </w:tblGrid>
      <w:tr>
        <w:tc>
          <w:tcPr>
            <w:tcW w:type="dxa" w:w="22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Route</w:t>
            </w:r>
          </w:p>
        </w:tc>
        <w:tc>
          <w:tcPr>
            <w:tcW w:type="dxa" w:w="64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Purpose</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/dashboard</w:t>
            </w:r>
          </w:p>
        </w:tc>
        <w:tc>
          <w:tcPr>
            <w:tcW w:type="dxa" w:w="64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Project hub — list and manage test runs</w:t>
            </w:r>
          </w:p>
        </w:tc>
      </w:tr>
      <w:tr>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/configure</w:t>
            </w:r>
          </w:p>
        </w:tc>
        <w:tc>
          <w:tcPr>
            <w:tcW w:type="dxa" w:w="64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Test configuration form (endpoint, domain, options)</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/preview</w:t>
            </w:r>
          </w:p>
        </w:tc>
        <w:tc>
          <w:tcPr>
            <w:tcW w:type="dxa" w:w="64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Test plan preview and tool availability check</w:t>
            </w:r>
          </w:p>
        </w:tc>
      </w:tr>
      <w:tr>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/run</w:t>
            </w:r>
          </w:p>
        </w:tc>
        <w:tc>
          <w:tcPr>
            <w:tcW w:type="dxa" w:w="64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Live execution feed with real-time log cards</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/results</w:t>
            </w:r>
          </w:p>
        </w:tc>
        <w:tc>
          <w:tcPr>
            <w:tcW w:type="dxa" w:w="64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Full results dashboard — health score and drill-down</w:t>
            </w:r>
          </w:p>
        </w:tc>
      </w:tr>
    </w:tbl>
    <w:p>
      <w:pPr>
        <w:spacing w:after="0" w:before="160"/>
      </w:pPr>
      <w:r>
        <w:t xml:space="preserve"/>
      </w:r>
    </w:p>
    <w:p>
      <w:pPr>
        <w:pStyle w:val="Heading2"/>
        <w:spacing w:after="80" w:before="240"/>
      </w:pPr>
      <w:r>
        <w:rPr>
          <w:rFonts w:ascii="Calibri" w:cs="Calibri" w:eastAsia="Calibri" w:hAnsi="Calibri"/>
          <w:b/>
          <w:bCs/>
          <w:color w:val="5B21A0"/>
          <w:sz w:val="26"/>
          <w:szCs w:val="26"/>
        </w:rPr>
        <w:t xml:space="preserve">3.3  Evaluation Tools</w:t>
      </w:r>
    </w:p>
    <w:p>
      <w:pPr>
        <w:spacing w:after="80" w:before="60" w:line="276" w:lineRule="auto"/>
      </w:pPr>
      <w:r>
        <w:rPr>
          <w:rFonts w:ascii="Calibri" w:cs="Calibri" w:eastAsia="Calibri" w:hAnsi="Calibri"/>
          <w:color w:val="3D3D3D"/>
          <w:sz w:val="21"/>
          <w:szCs w:val="21"/>
        </w:rPr>
        <w:t xml:space="preserve">METRON integrates six specialised evaluation libraries rather than relying on a single general-purpose LLM judge. Each tool is chosen for a specific signal it can detect reliably.</w:t>
      </w:r>
    </w:p>
    <w:p>
      <w:pPr>
        <w:spacing w:after="0" w:before="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840"/>
      </w:tblGrid>
      <w:tr>
        <w:tc>
          <w:tcPr>
            <w:tcW w:type="dxa" w:w="24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Tool</w:t>
            </w:r>
          </w:p>
        </w:tc>
        <w:tc>
          <w:tcPr>
            <w:tcW w:type="dxa" w:w="14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Version</w:t>
            </w:r>
          </w:p>
        </w:tc>
        <w:tc>
          <w:tcPr>
            <w:tcW w:type="dxa" w:w="48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What It Measures</w:t>
            </w:r>
          </w:p>
        </w:tc>
      </w:tr>
      <w:tr>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DeepEval</w:t>
            </w:r>
          </w:p>
        </w:tc>
        <w:tc>
          <w:tcPr>
            <w:tcW w:type="dxa" w:w="1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3.8.8</w:t>
            </w:r>
          </w:p>
        </w:tc>
        <w:tc>
          <w:tcPr>
            <w:tcW w:type="dxa" w:w="48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Hallucination, answer relevancy, GEval criteria, bias</w:t>
            </w:r>
          </w:p>
        </w:tc>
      </w:tr>
      <w:tr>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RAGAS</w:t>
            </w:r>
          </w:p>
        </w:tc>
        <w:tc>
          <w:tcPr>
            <w:tcW w:type="dxa" w:w="1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0.4.3</w:t>
            </w:r>
          </w:p>
        </w:tc>
        <w:tc>
          <w:tcPr>
            <w:tcW w:type="dxa" w:w="48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RAG faithfulness, context recall and precision</w:t>
            </w:r>
          </w:p>
        </w:tc>
      </w:tr>
      <w:tr>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Presidio Analyzer</w:t>
            </w:r>
          </w:p>
        </w:tc>
        <w:tc>
          <w:tcPr>
            <w:tcW w:type="dxa" w:w="1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w:t>
            </w:r>
          </w:p>
        </w:tc>
        <w:tc>
          <w:tcPr>
            <w:tcW w:type="dxa" w:w="48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PII entity detection (SSN, email, phone, card)</w:t>
            </w:r>
          </w:p>
        </w:tc>
      </w:tr>
      <w:tr>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Detoxify</w:t>
            </w:r>
          </w:p>
        </w:tc>
        <w:tc>
          <w:tcPr>
            <w:tcW w:type="dxa" w:w="1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w:t>
            </w:r>
          </w:p>
        </w:tc>
        <w:tc>
          <w:tcPr>
            <w:tcW w:type="dxa" w:w="48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BERT-based toxicity scoring on inputs and outputs</w:t>
            </w:r>
          </w:p>
        </w:tc>
      </w:tr>
      <w:tr>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LLM Guard</w:t>
            </w:r>
          </w:p>
        </w:tc>
        <w:tc>
          <w:tcPr>
            <w:tcW w:type="dxa" w:w="1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w:t>
            </w:r>
          </w:p>
        </w:tc>
        <w:tc>
          <w:tcPr>
            <w:tcW w:type="dxa" w:w="48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DeBERTa prompt injection detection</w:t>
            </w:r>
          </w:p>
        </w:tc>
      </w:tr>
      <w:tr>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Locust</w:t>
            </w:r>
          </w:p>
        </w:tc>
        <w:tc>
          <w:tcPr>
            <w:tcW w:type="dxa" w:w="1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w:t>
            </w:r>
          </w:p>
        </w:tc>
        <w:tc>
          <w:tcPr>
            <w:tcW w:type="dxa" w:w="48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Load and concurrency testing</w:t>
            </w:r>
          </w:p>
        </w:tc>
      </w:tr>
    </w:tbl>
    <w:p>
      <w:pPr>
        <w:spacing w:after="0" w:before="160"/>
      </w:pPr>
      <w:r>
        <w:t xml:space="preserve"/>
      </w:r>
    </w:p>
    <w:p>
      <w:pPr>
        <w:pStyle w:val="Heading2"/>
        <w:spacing w:after="80" w:before="240"/>
      </w:pPr>
      <w:r>
        <w:rPr>
          <w:rFonts w:ascii="Calibri" w:cs="Calibri" w:eastAsia="Calibri" w:hAnsi="Calibri"/>
          <w:b/>
          <w:bCs/>
          <w:color w:val="5B21A0"/>
          <w:sz w:val="26"/>
          <w:szCs w:val="26"/>
        </w:rPr>
        <w:t xml:space="preserve">3.4  LLM Providers</w:t>
      </w:r>
    </w:p>
    <w:p>
      <w:pPr>
        <w:spacing w:after="80" w:before="60" w:line="276" w:lineRule="auto"/>
      </w:pPr>
      <w:r>
        <w:rPr>
          <w:rFonts w:ascii="Calibri" w:cs="Calibri" w:eastAsia="Calibri" w:hAnsi="Calibri"/>
          <w:color w:val="3D3D3D"/>
          <w:sz w:val="21"/>
          <w:szCs w:val="21"/>
        </w:rPr>
        <w:t xml:space="preserve">All internal LLM calls (persona generation, test generation, evaluation judging) are routed through a single LLMClient class backed by litellm. Four providers are configured with automatic fallback on rate-limit errors.</w:t>
      </w:r>
    </w:p>
    <w:p>
      <w:pPr>
        <w:spacing w:after="0" w:before="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240"/>
      </w:tblGrid>
      <w:tr>
        <w:tc>
          <w:tcPr>
            <w:tcW w:type="dxa" w:w="18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Provider</w:t>
            </w:r>
          </w:p>
        </w:tc>
        <w:tc>
          <w:tcPr>
            <w:tcW w:type="dxa" w:w="24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Models Available</w:t>
            </w:r>
          </w:p>
        </w:tc>
        <w:tc>
          <w:tcPr>
            <w:tcW w:type="dxa" w:w="22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Default Limits</w:t>
            </w:r>
          </w:p>
        </w:tc>
        <w:tc>
          <w:tcPr>
            <w:tcW w:type="dxa" w:w="22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Role</w:t>
            </w:r>
          </w:p>
        </w:tc>
      </w:tr>
      <w:tr>
        <w:tc>
          <w:tcPr>
            <w:tcW w:type="dxa" w:w="18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NVIDIA NIM</w:t>
            </w:r>
          </w:p>
        </w:tc>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Llama 3.1 8B / 70B</w:t>
            </w:r>
          </w:p>
        </w:tc>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40 RPM (free tier)</w:t>
            </w:r>
          </w:p>
        </w:tc>
        <w:tc>
          <w:tcPr>
            <w:tcW w:type="dxa" w:w="22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Primary default</w:t>
            </w:r>
          </w:p>
        </w:tc>
      </w:tr>
      <w:tr>
        <w:tc>
          <w:tcPr>
            <w:tcW w:type="dxa" w:w="18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Azure OpenAI</w:t>
            </w:r>
          </w:p>
        </w:tc>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GPT-4o</w:t>
            </w:r>
          </w:p>
        </w:tc>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600 RPM, 100K TPM</w:t>
            </w:r>
          </w:p>
        </w:tc>
        <w:tc>
          <w:tcPr>
            <w:tcW w:type="dxa" w:w="22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Judge &amp; evaluation</w:t>
            </w:r>
          </w:p>
        </w:tc>
      </w:tr>
      <w:tr>
        <w:tc>
          <w:tcPr>
            <w:tcW w:type="dxa" w:w="18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Groq</w:t>
            </w:r>
          </w:p>
        </w:tc>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Llama 3.1 / 3.3 70B</w:t>
            </w:r>
          </w:p>
        </w:tc>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30 RPM, 100K t/day</w:t>
            </w:r>
          </w:p>
        </w:tc>
        <w:tc>
          <w:tcPr>
            <w:tcW w:type="dxa" w:w="22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Fallback</w:t>
            </w:r>
          </w:p>
        </w:tc>
      </w:tr>
      <w:tr>
        <w:tc>
          <w:tcPr>
            <w:tcW w:type="dxa" w:w="18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Google Gemini</w:t>
            </w:r>
          </w:p>
        </w:tc>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Gemini 2.0 Flash / 1.5 Pro</w:t>
            </w:r>
          </w:p>
        </w:tc>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60 RPM</w:t>
            </w:r>
          </w:p>
        </w:tc>
        <w:tc>
          <w:tcPr>
            <w:tcW w:type="dxa" w:w="22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Supplemental</w:t>
            </w:r>
          </w:p>
        </w:tc>
      </w:tr>
    </w:tbl>
    <w:p>
      <w:pPr>
        <w:spacing w:after="0" w:before="200"/>
      </w:pPr>
      <w:r>
        <w:t xml:space="preserve"/>
      </w:r>
    </w:p>
    <w:p>
      <w:r>
        <w:br w:type="page"/>
      </w:r>
    </w:p>
    <w:p>
      <w:pPr>
        <w:pStyle w:val="Heading1"/>
        <w:pBdr>
          <w:bottom w:val="single" w:color="8B5CF6" w:sz="6" w:space="4"/>
        </w:pBdr>
        <w:spacing w:after="120" w:before="360"/>
      </w:pPr>
      <w:r>
        <w:rPr>
          <w:rFonts w:ascii="Calibri" w:cs="Calibri" w:eastAsia="Calibri" w:hAnsi="Calibri"/>
          <w:b/>
          <w:bCs/>
          <w:color w:val="3B0F6B"/>
          <w:sz w:val="34"/>
          <w:szCs w:val="34"/>
        </w:rPr>
        <w:t xml:space="preserve">4.  System Architecture</w:t>
      </w:r>
    </w:p>
    <w:p>
      <w:pPr>
        <w:spacing w:after="80" w:before="60" w:line="276" w:lineRule="auto"/>
      </w:pPr>
      <w:r>
        <w:rPr>
          <w:rFonts w:ascii="Calibri" w:cs="Calibri" w:eastAsia="Calibri" w:hAnsi="Calibri"/>
          <w:color w:val="3D3D3D"/>
          <w:sz w:val="21"/>
          <w:szCs w:val="21"/>
        </w:rPr>
        <w:t xml:space="preserve">METRON is split into two independently running services: a Next.js frontend on port 3000 and a FastAPI backend on port 8000. They communicate over HTTP REST. The backend in turn talks to the target AI endpoint — the real application being tested — over async HTTP using aiohttp.</w:t>
      </w:r>
    </w:p>
    <w:p>
      <w:pPr>
        <w:spacing w:after="0" w:before="120"/>
      </w:pPr>
      <w:r>
        <w:t xml:space="preserve"/>
      </w:r>
    </w:p>
    <w:p>
      <w:pPr>
        <w:spacing w:after="60" w:before="120"/>
        <w:jc w:val="center"/>
      </w:pPr>
      <w:r>
        <w:drawing>
          <wp:inline distT="0" distB="0" distL="0" distR="0">
            <wp:extent cx="4114800" cy="607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6076950"/>
                    </a:xfrm>
                    <a:prstGeom prst="rect">
                      <a:avLst/>
                    </a:prstGeom>
                  </pic:spPr>
                </pic:pic>
              </a:graphicData>
            </a:graphic>
          </wp:inline>
        </w:drawing>
      </w:r>
    </w:p>
    <w:p>
      <w:pPr>
        <w:spacing w:after="160" w:before="60"/>
        <w:jc w:val="center"/>
      </w:pPr>
      <w:r>
        <w:rPr>
          <w:rFonts w:ascii="Calibri" w:cs="Calibri" w:eastAsia="Calibri" w:hAnsi="Calibri"/>
          <w:i/>
          <w:iCs/>
          <w:color w:val="6B6B6B"/>
          <w:sz w:val="18"/>
          <w:szCs w:val="18"/>
        </w:rPr>
        <w:t xml:space="preserve">Figure 1 — METRON System Architecture: Frontend, Backend, 8-Stage Pipeline, and Target AI Endpoint</w:t>
      </w:r>
    </w:p>
    <w:p>
      <w:pPr>
        <w:spacing w:after="0" w:before="120"/>
      </w:pPr>
      <w:r>
        <w:t xml:space="preserve"/>
      </w:r>
    </w:p>
    <w:p>
      <w:pPr>
        <w:pStyle w:val="Heading2"/>
        <w:spacing w:after="80" w:before="240"/>
      </w:pPr>
      <w:r>
        <w:rPr>
          <w:rFonts w:ascii="Calibri" w:cs="Calibri" w:eastAsia="Calibri" w:hAnsi="Calibri"/>
          <w:b/>
          <w:bCs/>
          <w:color w:val="5B21A0"/>
          <w:sz w:val="26"/>
          <w:szCs w:val="26"/>
        </w:rPr>
        <w:t xml:space="preserve">4.1  Frontend Layer</w:t>
      </w:r>
    </w:p>
    <w:p>
      <w:pPr>
        <w:spacing w:after="80" w:before="60" w:line="276" w:lineRule="auto"/>
      </w:pPr>
      <w:r>
        <w:rPr>
          <w:rFonts w:ascii="Calibri" w:cs="Calibri" w:eastAsia="Calibri" w:hAnsi="Calibri"/>
          <w:color w:val="3D3D3D"/>
          <w:sz w:val="21"/>
          <w:szCs w:val="21"/>
        </w:rPr>
        <w:t xml:space="preserve">The Next.js frontend handles all user interaction: configuring test runs, previewing what will be tested, watching a live execution feed, and viewing the final results. State flows through sessionStorage so there is no login system or database on the frontend side. When the user starts a run, the frontend POSTs the configuration and any uploaded files to the backend, receives a run_id, and begins polling for status.</w:t>
      </w:r>
    </w:p>
    <w:p>
      <w:pPr>
        <w:spacing w:after="0" w:before="120"/>
      </w:pPr>
      <w:r>
        <w:t xml:space="preserve"/>
      </w:r>
    </w:p>
    <w:p>
      <w:pPr>
        <w:pStyle w:val="Heading2"/>
        <w:spacing w:after="80" w:before="240"/>
      </w:pPr>
      <w:r>
        <w:rPr>
          <w:rFonts w:ascii="Calibri" w:cs="Calibri" w:eastAsia="Calibri" w:hAnsi="Calibri"/>
          <w:b/>
          <w:bCs/>
          <w:color w:val="5B21A0"/>
          <w:sz w:val="26"/>
          <w:szCs w:val="26"/>
        </w:rPr>
        <w:t xml:space="preserve">4.2  Backend Layer</w:t>
      </w:r>
    </w:p>
    <w:p>
      <w:pPr>
        <w:spacing w:after="80" w:before="60" w:line="276" w:lineRule="auto"/>
      </w:pPr>
      <w:r>
        <w:rPr>
          <w:rFonts w:ascii="Calibri" w:cs="Calibri" w:eastAsia="Calibri" w:hAnsi="Calibri"/>
          <w:color w:val="3D3D3D"/>
          <w:sz w:val="21"/>
          <w:szCs w:val="21"/>
        </w:rPr>
        <w:t xml:space="preserve">The FastAPI backend exposes eight REST endpoints. The most important is POST /api/run, which accepts the test configuration and starts the 8-stage pipeline as a FastAPI background task. The pipeline writes progress events and results into an in-memory job store (a Python dict keyed by run_id), which the frontend reads via GET /api/job/{id}/status and GET /api/job/{id}/results.</w:t>
      </w:r>
    </w:p>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B5CF6" w:sz="8"/>
              <w:left w:val="single" w:color="8B5CF6" w:sz="18"/>
              <w:bottom w:val="single" w:color="D8B8F0" w:sz="2"/>
              <w:right w:val="single" w:color="D8B8F0" w:sz="2"/>
            </w:tcBorders>
            <w:shd w:fill="F9F3FE" w:val="clear"/>
            <w:tcMar>
              <w:top w:type="dxa" w:w="120"/>
              <w:left w:type="dxa" w:w="200"/>
              <w:bottom w:type="dxa" w:w="120"/>
              <w:right w:type="dxa" w:w="120"/>
            </w:tcMar>
          </w:tcPr>
          <w:p>
            <w:pPr>
              <w:spacing w:after="40" w:before="0"/>
            </w:pPr>
            <w:r>
              <w:rPr>
                <w:rFonts w:ascii="Calibri" w:cs="Calibri" w:eastAsia="Calibri" w:hAnsi="Calibri"/>
                <w:b/>
                <w:bCs/>
                <w:color w:val="3B0F6B"/>
                <w:sz w:val="20"/>
                <w:szCs w:val="20"/>
              </w:rPr>
              <w:t xml:space="preserve">Design Decision — In-Memory Job Store</w:t>
            </w:r>
          </w:p>
          <w:p>
            <w:pPr>
              <w:spacing w:after="0" w:before="0"/>
            </w:pPr>
            <w:r>
              <w:rPr>
                <w:rFonts w:ascii="Calibri" w:cs="Calibri" w:eastAsia="Calibri" w:hAnsi="Calibri"/>
                <w:color w:val="3D3D3D"/>
                <w:sz w:val="20"/>
                <w:szCs w:val="20"/>
              </w:rPr>
              <w:t xml:space="preserve">The job store is process-local and intentionally simple — no database dependency was needed for the MVP. The trade-off is that jobs are lost on a server restart and the service cannot scale across multiple processes without an external state layer.</w:t>
            </w:r>
          </w:p>
        </w:tc>
      </w:tr>
    </w:tbl>
    <w:p>
      <w:pPr>
        <w:spacing w:after="0" w:before="120"/>
      </w:pPr>
      <w:r>
        <w:t xml:space="preserve"/>
      </w:r>
    </w:p>
    <w:p>
      <w:pPr>
        <w:pStyle w:val="Heading2"/>
        <w:spacing w:after="80" w:before="240"/>
      </w:pPr>
      <w:r>
        <w:rPr>
          <w:rFonts w:ascii="Calibri" w:cs="Calibri" w:eastAsia="Calibri" w:hAnsi="Calibri"/>
          <w:b/>
          <w:bCs/>
          <w:color w:val="5B21A0"/>
          <w:sz w:val="26"/>
          <w:szCs w:val="26"/>
        </w:rPr>
        <w:t xml:space="preserve">4.3  Target AI Endpoint</w:t>
      </w:r>
    </w:p>
    <w:p>
      <w:pPr>
        <w:spacing w:after="80" w:before="60" w:line="276" w:lineRule="auto"/>
      </w:pPr>
      <w:r>
        <w:rPr>
          <w:rFonts w:ascii="Calibri" w:cs="Calibri" w:eastAsia="Calibri" w:hAnsi="Calibri"/>
          <w:color w:val="3D3D3D"/>
          <w:sz w:val="21"/>
          <w:szCs w:val="21"/>
        </w:rPr>
        <w:t xml:space="preserve">METRON never mocks the application under test. Every conversation in Stage 3 sends real HTTP requests to the configured endpoint. This is a deliberate design choice: synthetic mocks would hide the integration failures, latency characteristics, and content-filter behaviours that matter most in production.</w:t>
      </w:r>
    </w:p>
    <w:p>
      <w:pPr>
        <w:spacing w:after="0" w:before="200"/>
      </w:pPr>
      <w:r>
        <w:t xml:space="preserve"/>
      </w:r>
    </w:p>
    <w:p>
      <w:r>
        <w:br w:type="page"/>
      </w:r>
    </w:p>
    <w:p>
      <w:pPr>
        <w:pStyle w:val="Heading1"/>
        <w:pBdr>
          <w:bottom w:val="single" w:color="8B5CF6" w:sz="6" w:space="4"/>
        </w:pBdr>
        <w:spacing w:after="120" w:before="360"/>
      </w:pPr>
      <w:r>
        <w:rPr>
          <w:rFonts w:ascii="Calibri" w:cs="Calibri" w:eastAsia="Calibri" w:hAnsi="Calibri"/>
          <w:b/>
          <w:bCs/>
          <w:color w:val="3B0F6B"/>
          <w:sz w:val="34"/>
          <w:szCs w:val="34"/>
        </w:rPr>
        <w:t xml:space="preserve">5.  The Eight-Stage Testing Pipeline</w:t>
      </w:r>
    </w:p>
    <w:p>
      <w:pPr>
        <w:spacing w:after="80" w:before="60" w:line="276" w:lineRule="auto"/>
      </w:pPr>
      <w:r>
        <w:rPr>
          <w:rFonts w:ascii="Calibri" w:cs="Calibri" w:eastAsia="Calibri" w:hAnsi="Calibri"/>
          <w:color w:val="3D3D3D"/>
          <w:sz w:val="21"/>
          <w:szCs w:val="21"/>
        </w:rPr>
        <w:t xml:space="preserve">Every METRON test run follows the same fixed pipeline. Stages 0 through 3 run sequentially. Stage 4 splits into six parallel evaluation tracks that all complete before aggregation begins. Stages 5 through 7 run sequentially again to produce the final report.</w:t>
      </w:r>
    </w:p>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B5CF6" w:sz="8"/>
              <w:left w:val="single" w:color="8B5CF6" w:sz="18"/>
              <w:bottom w:val="single" w:color="D8B8F0" w:sz="2"/>
              <w:right w:val="single" w:color="D8B8F0" w:sz="2"/>
            </w:tcBorders>
            <w:shd w:fill="F9F3FE" w:val="clear"/>
            <w:tcMar>
              <w:top w:type="dxa" w:w="120"/>
              <w:left w:type="dxa" w:w="200"/>
              <w:bottom w:type="dxa" w:w="120"/>
              <w:right w:type="dxa" w:w="120"/>
            </w:tcMar>
          </w:tcPr>
          <w:p>
            <w:pPr>
              <w:spacing w:after="40" w:before="0"/>
            </w:pPr>
            <w:r>
              <w:rPr>
                <w:rFonts w:ascii="Calibri" w:cs="Calibri" w:eastAsia="Calibri" w:hAnsi="Calibri"/>
                <w:b/>
                <w:bCs/>
                <w:color w:val="3B0F6B"/>
                <w:sz w:val="20"/>
                <w:szCs w:val="20"/>
              </w:rPr>
              <w:t xml:space="preserve">Pipeline at a Glance</w:t>
            </w:r>
          </w:p>
          <w:p>
            <w:pPr>
              <w:spacing w:after="0" w:before="0"/>
            </w:pPr>
            <w:r>
              <w:rPr>
                <w:rFonts w:ascii="Calibri" w:cs="Calibri" w:eastAsia="Calibri" w:hAnsi="Calibri"/>
                <w:color w:val="3D3D3D"/>
                <w:sz w:val="20"/>
                <w:szCs w:val="20"/>
              </w:rPr>
              <w:t xml:space="preserve">S0 Profile → S1 Personas → S2 Tests → S3 Conversations → S4a/b/c/d/e/f Evaluations (parallel) → S5 Aggregation → S6 Feedback → S7 Report</w:t>
            </w:r>
          </w:p>
        </w:tc>
      </w:tr>
    </w:tbl>
    <w:p>
      <w:pPr>
        <w:spacing w:after="0" w:before="160"/>
      </w:pPr>
      <w:r>
        <w:t xml:space="preserve"/>
      </w:r>
    </w:p>
    <w:p>
      <w:pPr>
        <w:pStyle w:val="Heading2"/>
        <w:spacing w:after="80" w:before="240"/>
      </w:pPr>
      <w:r>
        <w:rPr>
          <w:rFonts w:ascii="Calibri" w:cs="Calibri" w:eastAsia="Calibri" w:hAnsi="Calibri"/>
          <w:b/>
          <w:bCs/>
          <w:color w:val="5B21A0"/>
          <w:sz w:val="26"/>
          <w:szCs w:val="26"/>
        </w:rPr>
        <w:t xml:space="preserve">Stage 0 — Application Profile Extraction</w:t>
      </w:r>
    </w:p>
    <w:p>
      <w:pPr>
        <w:spacing w:after="80" w:before="60" w:line="276" w:lineRule="auto"/>
      </w:pPr>
      <w:r>
        <w:rPr>
          <w:rFonts w:ascii="Calibri" w:cs="Calibri" w:eastAsia="Calibri" w:hAnsi="Calibri"/>
          <w:color w:val="3D3D3D"/>
          <w:sz w:val="21"/>
          <w:szCs w:val="21"/>
        </w:rPr>
        <w:t xml:space="preserve">The first thing METRON needs to know is what the AI is supposed to do. The user can upload a document (product spec, README, data sheet) describing their application. Stage 0 passes this document to an LLM which extracts a structured AppProfile containing: the application type (chatbot, RAG, multi-agent, or form), the domain (healthcare, finance, retail, etc.), the intended user types, the key use cases, known boundaries (things the AI should refuse), domain vocabulary, and success criteria.</w:t>
      </w:r>
    </w:p>
    <w:p>
      <w:pPr>
        <w:spacing w:after="0" w:before="80"/>
      </w:pPr>
      <w:r>
        <w:t xml:space="preserve"/>
      </w:r>
    </w:p>
    <w:p>
      <w:pPr>
        <w:spacing w:after="80" w:before="60" w:line="276" w:lineRule="auto"/>
      </w:pPr>
      <w:r>
        <w:rPr>
          <w:rFonts w:ascii="Calibri" w:cs="Calibri" w:eastAsia="Calibri" w:hAnsi="Calibri"/>
          <w:color w:val="3D3D3D"/>
          <w:sz w:val="21"/>
          <w:szCs w:val="21"/>
        </w:rPr>
        <w:t xml:space="preserve">If no document is uploaded, the profile is built from the form fields the user filled in — agent description, domain, and application type. This minimal profile still drives the rest of the pipeline; it simply produces less diverse personas than a full document would.</w:t>
      </w:r>
    </w:p>
    <w:p>
      <w:pPr>
        <w:spacing w:after="0" w:before="160"/>
      </w:pPr>
      <w:r>
        <w:t xml:space="preserve"/>
      </w:r>
    </w:p>
    <w:p>
      <w:pPr>
        <w:pStyle w:val="Heading2"/>
        <w:spacing w:after="80" w:before="240"/>
      </w:pPr>
      <w:r>
        <w:rPr>
          <w:rFonts w:ascii="Calibri" w:cs="Calibri" w:eastAsia="Calibri" w:hAnsi="Calibri"/>
          <w:b/>
          <w:bCs/>
          <w:color w:val="5B21A0"/>
          <w:sz w:val="26"/>
          <w:szCs w:val="26"/>
        </w:rPr>
        <w:t xml:space="preserve">Stage 1 — Persona Generation</w:t>
      </w:r>
    </w:p>
    <w:p>
      <w:pPr>
        <w:pStyle w:val="Heading3"/>
        <w:spacing w:after="60" w:before="160"/>
      </w:pPr>
      <w:r>
        <w:rPr>
          <w:rFonts w:ascii="Calibri" w:cs="Calibri" w:eastAsia="Calibri" w:hAnsi="Calibri"/>
          <w:b/>
          <w:bCs/>
          <w:color w:val="3B0F6B"/>
          <w:sz w:val="22"/>
          <w:szCs w:val="22"/>
        </w:rPr>
        <w:t xml:space="preserve">1a · Fishbone Coverage Matrix</w:t>
      </w:r>
    </w:p>
    <w:p>
      <w:pPr>
        <w:spacing w:after="80" w:before="60" w:line="276" w:lineRule="auto"/>
      </w:pPr>
      <w:r>
        <w:rPr>
          <w:rFonts w:ascii="Calibri" w:cs="Calibri" w:eastAsia="Calibri" w:hAnsi="Calibri"/>
          <w:color w:val="3D3D3D"/>
          <w:sz w:val="21"/>
          <w:szCs w:val="21"/>
        </w:rPr>
        <w:t xml:space="preserve">METRON does not generate random users. It uses a structured fishbone matrix to ensure that the population of test personas covers the important dimensions of real user behaviour. The five dimensions are: user type (drawn from the AppProfile), expertise level (novice / intermediate / expert), emotional state (calm / frustrated / urgent), intent (genuine / adversarial / edge-case), and goal type (drawn from the AppProfile use cases).</w:t>
      </w:r>
    </w:p>
    <w:p>
      <w:pPr>
        <w:spacing w:after="0" w:before="80"/>
      </w:pPr>
      <w:r>
        <w:t xml:space="preserve"/>
      </w:r>
    </w:p>
    <w:p>
      <w:pPr>
        <w:spacing w:after="80" w:before="60" w:line="276" w:lineRule="auto"/>
      </w:pPr>
      <w:r>
        <w:rPr>
          <w:rFonts w:ascii="Calibri" w:cs="Calibri" w:eastAsia="Calibri" w:hAnsi="Calibri"/>
          <w:color w:val="3D3D3D"/>
          <w:sz w:val="21"/>
          <w:szCs w:val="21"/>
        </w:rPr>
        <w:t xml:space="preserve">The number of adversarial and edge-case slots is tuned by domain. Healthcare and finance applications get more adversarial users because the consequences of a security failure are higher. Retail and e-commerce applications get more frustrated genuine users because high traffic and service failures are the dominant failure mode.</w:t>
      </w:r>
    </w:p>
    <w:p>
      <w:pPr>
        <w:spacing w:after="0" w:before="80"/>
      </w:pPr>
      <w:r>
        <w:t xml:space="preserve"/>
      </w:r>
    </w:p>
    <w:p>
      <w:pPr>
        <w:pStyle w:val="Heading3"/>
        <w:spacing w:after="60" w:before="160"/>
      </w:pPr>
      <w:r>
        <w:rPr>
          <w:rFonts w:ascii="Calibri" w:cs="Calibri" w:eastAsia="Calibri" w:hAnsi="Calibri"/>
          <w:b/>
          <w:bCs/>
          <w:color w:val="3B0F6B"/>
          <w:sz w:val="22"/>
          <w:szCs w:val="22"/>
        </w:rPr>
        <w:t xml:space="preserve">1b · LLM Persona Builder</w:t>
      </w:r>
    </w:p>
    <w:p>
      <w:pPr>
        <w:spacing w:after="80" w:before="60" w:line="276" w:lineRule="auto"/>
      </w:pPr>
      <w:r>
        <w:rPr>
          <w:rFonts w:ascii="Calibri" w:cs="Calibri" w:eastAsia="Calibri" w:hAnsi="Calibri"/>
          <w:color w:val="3D3D3D"/>
          <w:sz w:val="21"/>
          <w:szCs w:val="21"/>
        </w:rPr>
        <w:t xml:space="preserve">Each slot in the fishbone matrix is handed to an LLM which writes a detailed persona JSON. The persona includes a name, background story, primary goal, mental model (what the person believes the AI can do, and what they don't know), language style (vocabulary preferences, how they speak when frustrated), behavioural parameters (patience level, how persistent they are, what triggers them to escalate or give up), and a list of opening messages they might send. Adversarial personas additionally carry an explicit adversarial goal and attack category (e.g., prompt injection, jailbreak, PII extraction).</w:t>
      </w:r>
    </w:p>
    <w:p>
      <w:pPr>
        <w:spacing w:after="0" w:before="80"/>
      </w:pPr>
      <w:r>
        <w:t xml:space="preserve"/>
      </w:r>
    </w:p>
    <w:p>
      <w:pPr>
        <w:spacing w:after="80" w:before="60" w:line="276" w:lineRule="auto"/>
      </w:pPr>
      <w:r>
        <w:rPr>
          <w:rFonts w:ascii="Calibri" w:cs="Calibri" w:eastAsia="Calibri" w:hAnsi="Calibri"/>
          <w:color w:val="3D3D3D"/>
          <w:sz w:val="21"/>
          <w:szCs w:val="21"/>
        </w:rPr>
        <w:t xml:space="preserve">All personas are generated in parallel with a concurrency limit of 5 simultaneous LLM calls.</w:t>
      </w:r>
    </w:p>
    <w:p>
      <w:pPr>
        <w:spacing w:after="0" w:before="80"/>
      </w:pPr>
      <w:r>
        <w:t xml:space="preserve"/>
      </w:r>
    </w:p>
    <w:p>
      <w:pPr>
        <w:pStyle w:val="Heading3"/>
        <w:spacing w:after="60" w:before="160"/>
      </w:pPr>
      <w:r>
        <w:rPr>
          <w:rFonts w:ascii="Calibri" w:cs="Calibri" w:eastAsia="Calibri" w:hAnsi="Calibri"/>
          <w:b/>
          <w:bCs/>
          <w:color w:val="3B0F6B"/>
          <w:sz w:val="22"/>
          <w:szCs w:val="22"/>
        </w:rPr>
        <w:t xml:space="preserve">1c · Coverage Validator</w:t>
      </w:r>
    </w:p>
    <w:p>
      <w:pPr>
        <w:spacing w:after="80" w:before="60" w:line="276" w:lineRule="auto"/>
      </w:pPr>
      <w:r>
        <w:rPr>
          <w:rFonts w:ascii="Calibri" w:cs="Calibri" w:eastAsia="Calibri" w:hAnsi="Calibri"/>
          <w:color w:val="3D3D3D"/>
          <w:sz w:val="21"/>
          <w:szCs w:val="21"/>
        </w:rPr>
        <w:t xml:space="preserve">After generation, a validator checks the persona set for gaps. If a critical dimension (e.g., frustrated user, expert-level user) is missing, up to three additional slots are created and filled. This prevents accidental blind spots from LLM generation variance.</w:t>
      </w:r>
    </w:p>
    <w:p>
      <w:pPr>
        <w:spacing w:after="0" w:before="160"/>
      </w:pPr>
      <w:r>
        <w:t xml:space="preserve"/>
      </w:r>
    </w:p>
    <w:p>
      <w:pPr>
        <w:pStyle w:val="Heading2"/>
        <w:spacing w:after="80" w:before="240"/>
      </w:pPr>
      <w:r>
        <w:rPr>
          <w:rFonts w:ascii="Calibri" w:cs="Calibri" w:eastAsia="Calibri" w:hAnsi="Calibri"/>
          <w:b/>
          <w:bCs/>
          <w:color w:val="5B21A0"/>
          <w:sz w:val="26"/>
          <w:szCs w:val="26"/>
        </w:rPr>
        <w:t xml:space="preserve">Stage 2 — Test Generation</w:t>
      </w:r>
    </w:p>
    <w:p>
      <w:pPr>
        <w:pStyle w:val="Heading3"/>
        <w:spacing w:after="60" w:before="160"/>
      </w:pPr>
      <w:r>
        <w:rPr>
          <w:rFonts w:ascii="Calibri" w:cs="Calibri" w:eastAsia="Calibri" w:hAnsi="Calibri"/>
          <w:b/>
          <w:bCs/>
          <w:color w:val="3B0F6B"/>
          <w:sz w:val="22"/>
          <w:szCs w:val="22"/>
        </w:rPr>
        <w:t xml:space="preserve">2a · Functional Prompts</w:t>
      </w:r>
    </w:p>
    <w:p>
      <w:pPr>
        <w:spacing w:after="80" w:before="60" w:line="276" w:lineRule="auto"/>
      </w:pPr>
      <w:r>
        <w:rPr>
          <w:rFonts w:ascii="Calibri" w:cs="Calibri" w:eastAsia="Calibri" w:hAnsi="Calibri"/>
          <w:color w:val="3D3D3D"/>
          <w:sz w:val="21"/>
          <w:szCs w:val="21"/>
        </w:rPr>
        <w:t xml:space="preserve">For each persona, the pipeline generates three functional test prompts in that persona's exact voice and vocabulary. The first prompt captures how they would first approach the AI. The second takes a different angle on the same goal. The third is a follow-up prompt that a user might send after receiving a vague or incomplete answer. Each prompt includes an expected_behavior field describing what a correct response should contain.</w:t>
      </w:r>
    </w:p>
    <w:p>
      <w:pPr>
        <w:spacing w:after="0" w:before="80"/>
      </w:pPr>
      <w:r>
        <w:t xml:space="preserve"/>
      </w:r>
    </w:p>
    <w:p>
      <w:pPr>
        <w:spacing w:after="80" w:before="60" w:line="276" w:lineRule="auto"/>
      </w:pPr>
      <w:r>
        <w:rPr>
          <w:rFonts w:ascii="Calibri" w:cs="Calibri" w:eastAsia="Calibri" w:hAnsi="Calibri"/>
          <w:color w:val="3D3D3D"/>
          <w:sz w:val="21"/>
          <w:szCs w:val="21"/>
        </w:rPr>
        <w:t xml:space="preserve">For RAG applications with an uploaded ground truth file, this stage skips LLM generation entirely and converts the Q&amp;A pairs directly into test prompts. The context from the ground truth file becomes the authoritative reference for all RAGAS evaluation.</w:t>
      </w:r>
    </w:p>
    <w:p>
      <w:pPr>
        <w:spacing w:after="0" w:before="80"/>
      </w:pPr>
      <w:r>
        <w:t xml:space="preserve"/>
      </w:r>
    </w:p>
    <w:p>
      <w:pPr>
        <w:pStyle w:val="Heading3"/>
        <w:spacing w:after="60" w:before="160"/>
      </w:pPr>
      <w:r>
        <w:rPr>
          <w:rFonts w:ascii="Calibri" w:cs="Calibri" w:eastAsia="Calibri" w:hAnsi="Calibri"/>
          <w:b/>
          <w:bCs/>
          <w:color w:val="3B0F6B"/>
          <w:sz w:val="22"/>
          <w:szCs w:val="22"/>
        </w:rPr>
        <w:t xml:space="preserve">2b · Security Prompts</w:t>
      </w:r>
    </w:p>
    <w:p>
      <w:pPr>
        <w:spacing w:after="80" w:before="60" w:line="276" w:lineRule="auto"/>
      </w:pPr>
      <w:r>
        <w:rPr>
          <w:rFonts w:ascii="Calibri" w:cs="Calibri" w:eastAsia="Calibri" w:hAnsi="Calibri"/>
          <w:color w:val="3D3D3D"/>
          <w:sz w:val="21"/>
          <w:szCs w:val="21"/>
        </w:rPr>
        <w:t xml:space="preserve">Only adversarial personas receive security prompts. METRON maintains a library of 25 hand-crafted attack templates organised by category: jailbreak, prompt injection, PII extraction, toxicity, social engineering, and encoding attacks. For each adversarial persona, appropriate attack templates are selected and adapted to the application domain via an LLM call — so the attack looks like a plausible message from a real user rather than an obviously malicious string. Golden-dataset adversarial prompts from AdvBench (injection) and HarmBench (toxic requests) are also included.</w:t>
      </w:r>
    </w:p>
    <w:p>
      <w:pPr>
        <w:spacing w:after="0" w:before="80"/>
      </w:pPr>
      <w:r>
        <w:t xml:space="preserve"/>
      </w:r>
    </w:p>
    <w:p>
      <w:pPr>
        <w:pStyle w:val="Heading3"/>
        <w:spacing w:after="60" w:before="160"/>
      </w:pPr>
      <w:r>
        <w:rPr>
          <w:rFonts w:ascii="Calibri" w:cs="Calibri" w:eastAsia="Calibri" w:hAnsi="Calibri"/>
          <w:b/>
          <w:bCs/>
          <w:color w:val="3B0F6B"/>
          <w:sz w:val="22"/>
          <w:szCs w:val="22"/>
        </w:rPr>
        <w:t xml:space="preserve">2c · Quality Criteria</w:t>
      </w:r>
    </w:p>
    <w:p>
      <w:pPr>
        <w:spacing w:after="80" w:before="60" w:line="276" w:lineRule="auto"/>
      </w:pPr>
      <w:r>
        <w:rPr>
          <w:rFonts w:ascii="Calibri" w:cs="Calibri" w:eastAsia="Calibri" w:hAnsi="Calibri"/>
          <w:color w:val="3D3D3D"/>
          <w:sz w:val="21"/>
          <w:szCs w:val="21"/>
        </w:rPr>
        <w:t xml:space="preserve">One LLM call generates domain-specific evaluation criteria for GEval. For a healthcare chatbot, this might be Clinical Accuracy, Empathy, and Safety Compliance. For a finance assistant, it might be Regulatory Accuracy, Clarity, and Disclaimers. These criteria are used in Stage 4c to score quality beyond generic relevance metrics.</w:t>
      </w:r>
    </w:p>
    <w:p>
      <w:pPr>
        <w:spacing w:after="0" w:before="160"/>
      </w:pPr>
      <w:r>
        <w:t xml:space="preserve"/>
      </w:r>
    </w:p>
    <w:p>
      <w:pPr>
        <w:pStyle w:val="Heading2"/>
        <w:spacing w:after="80" w:before="240"/>
      </w:pPr>
      <w:r>
        <w:rPr>
          <w:rFonts w:ascii="Calibri" w:cs="Calibri" w:eastAsia="Calibri" w:hAnsi="Calibri"/>
          <w:b/>
          <w:bCs/>
          <w:color w:val="5B21A0"/>
          <w:sz w:val="26"/>
          <w:szCs w:val="26"/>
        </w:rPr>
        <w:t xml:space="preserve">Stage 3 — Conversation Execution</w:t>
      </w:r>
    </w:p>
    <w:p>
      <w:pPr>
        <w:spacing w:after="80" w:before="60" w:line="276" w:lineRule="auto"/>
      </w:pPr>
      <w:r>
        <w:rPr>
          <w:rFonts w:ascii="Calibri" w:cs="Calibri" w:eastAsia="Calibri" w:hAnsi="Calibri"/>
          <w:color w:val="3D3D3D"/>
          <w:sz w:val="21"/>
          <w:szCs w:val="21"/>
        </w:rPr>
        <w:t xml:space="preserve">Stage 3 is where METRON actually talks to the target AI. For each persona and prompt pair, the pipeline runs a multi-turn conversation using real HTTP calls — not mocked responses. The conversation begins with the generated entry prompt and continues for up to three turns.</w:t>
      </w:r>
    </w:p>
    <w:p>
      <w:pPr>
        <w:spacing w:after="0" w:before="80"/>
      </w:pPr>
      <w:r>
        <w:t xml:space="preserve"/>
      </w:r>
    </w:p>
    <w:p>
      <w:pPr>
        <w:spacing w:after="80" w:before="60" w:line="276" w:lineRule="auto"/>
      </w:pPr>
      <w:r>
        <w:rPr>
          <w:rFonts w:ascii="Calibri" w:cs="Calibri" w:eastAsia="Calibri" w:hAnsi="Calibri"/>
          <w:color w:val="3D3D3D"/>
          <w:sz w:val="21"/>
          <w:szCs w:val="21"/>
        </w:rPr>
        <w:t xml:space="preserve">On Turn 1, the generated prompt is sent to the target endpoint via the appropriate adapter. On Turns 2 and 3, a combined LLM call simultaneously evaluates the AI's previous response and generates the persona's next message, staying in character. The conversation ends early if the persona's goal is achieved, they indicate satisfaction, or they give up.</w:t>
      </w:r>
    </w:p>
    <w:p>
      <w:pPr>
        <w:spacing w:after="0" w:before="80"/>
      </w:pPr>
      <w:r>
        <w:t xml:space="preserve"/>
      </w:r>
    </w:p>
    <w:p>
      <w:pPr>
        <w:spacing w:after="80" w:before="60" w:line="276" w:lineRule="auto"/>
      </w:pPr>
      <w:r>
        <w:rPr>
          <w:rFonts w:ascii="Calibri" w:cs="Calibri" w:eastAsia="Calibri" w:hAnsi="Calibri"/>
          <w:color w:val="3D3D3D"/>
          <w:sz w:val="21"/>
          <w:szCs w:val="21"/>
        </w:rPr>
        <w:t xml:space="preserve">A semaphore of 3 limits how many conversations run simultaneously, preventing the target AI from being overwhelmed. A 429 (rate limit) response from the target triggers a 2-second pause and one automatic retry. All conversations run concurrently within the semaphore constraint via asyncio.gather.</w:t>
      </w:r>
    </w:p>
    <w:p>
      <w:pPr>
        <w:spacing w:after="0" w:before="160"/>
      </w:pPr>
      <w:r>
        <w:t xml:space="preserve"/>
      </w:r>
    </w:p>
    <w:p>
      <w:r>
        <w:br w:type="page"/>
      </w:r>
    </w:p>
    <w:p>
      <w:pPr>
        <w:pStyle w:val="Heading2"/>
        <w:spacing w:after="80" w:before="240"/>
      </w:pPr>
      <w:r>
        <w:rPr>
          <w:rFonts w:ascii="Calibri" w:cs="Calibri" w:eastAsia="Calibri" w:hAnsi="Calibri"/>
          <w:b/>
          <w:bCs/>
          <w:color w:val="5B21A0"/>
          <w:sz w:val="26"/>
          <w:szCs w:val="26"/>
        </w:rPr>
        <w:t xml:space="preserve">Stage 4 — Parallel Evaluation</w:t>
      </w:r>
    </w:p>
    <w:p>
      <w:pPr>
        <w:spacing w:after="80" w:before="60" w:line="276" w:lineRule="auto"/>
      </w:pPr>
      <w:r>
        <w:rPr>
          <w:rFonts w:ascii="Calibri" w:cs="Calibri" w:eastAsia="Calibri" w:hAnsi="Calibri"/>
          <w:color w:val="3D3D3D"/>
          <w:sz w:val="21"/>
          <w:szCs w:val="21"/>
        </w:rPr>
        <w:t xml:space="preserve">Stage 4 is the most computationally intensive part of the pipeline. Six evaluation tracks run in parallel using asyncio.gather. Each track processes the completed conversations from Stage 3 and adds scored MetricResult records.</w:t>
      </w:r>
    </w:p>
    <w:p>
      <w:pPr>
        <w:spacing w:after="0" w:before="120"/>
      </w:pPr>
      <w:r>
        <w:t xml:space="preserve"/>
      </w:r>
    </w:p>
    <w:p>
      <w:pPr>
        <w:pStyle w:val="Heading3"/>
        <w:spacing w:after="60" w:before="160"/>
      </w:pPr>
      <w:r>
        <w:rPr>
          <w:rFonts w:ascii="Calibri" w:cs="Calibri" w:eastAsia="Calibri" w:hAnsi="Calibri"/>
          <w:b/>
          <w:bCs/>
          <w:color w:val="3B0F6B"/>
          <w:sz w:val="22"/>
          <w:szCs w:val="22"/>
        </w:rPr>
        <w:t xml:space="preserve">4a · Functional Evaluation</w:t>
      </w:r>
    </w:p>
    <w:p>
      <w:pPr>
        <w:spacing w:after="80" w:before="60" w:line="276" w:lineRule="auto"/>
      </w:pPr>
      <w:r>
        <w:rPr>
          <w:rFonts w:ascii="Calibri" w:cs="Calibri" w:eastAsia="Calibri" w:hAnsi="Calibri"/>
          <w:color w:val="3D3D3D"/>
          <w:sz w:val="21"/>
          <w:szCs w:val="21"/>
        </w:rPr>
        <w:t xml:space="preserve">Every functional conversation is evaluated on four metrics: hallucination (using DeepEval's HallucinationMetric — a low hallucination score means the AI stayed grounded in facts), answer relevancy (does the response address the question asked), usefulness (GEval with custom criteria), and an LLM-as-judge score for domain-specific accuracy. DeepEval is a synchronous library, so all calls run in a thread pool to avoid blocking the async event loop.</w:t>
      </w:r>
    </w:p>
    <w:p>
      <w:pPr>
        <w:spacing w:after="0" w:before="120"/>
      </w:pPr>
      <w:r>
        <w:t xml:space="preserve"/>
      </w:r>
    </w:p>
    <w:p>
      <w:pPr>
        <w:pStyle w:val="Heading3"/>
        <w:spacing w:after="60" w:before="160"/>
      </w:pPr>
      <w:r>
        <w:rPr>
          <w:rFonts w:ascii="Calibri" w:cs="Calibri" w:eastAsia="Calibri" w:hAnsi="Calibri"/>
          <w:b/>
          <w:bCs/>
          <w:color w:val="3B0F6B"/>
          <w:sz w:val="22"/>
          <w:szCs w:val="22"/>
        </w:rPr>
        <w:t xml:space="preserve">4b · Security Evaluation</w:t>
      </w:r>
    </w:p>
    <w:p>
      <w:pPr>
        <w:spacing w:after="80" w:before="60" w:line="276" w:lineRule="auto"/>
      </w:pPr>
      <w:r>
        <w:rPr>
          <w:rFonts w:ascii="Calibri" w:cs="Calibri" w:eastAsia="Calibri" w:hAnsi="Calibri"/>
          <w:color w:val="3D3D3D"/>
          <w:sz w:val="21"/>
          <w:szCs w:val="21"/>
        </w:rPr>
        <w:t xml:space="preserve">Security evaluation runs on all conversations for baseline checks, and only on adversarial conversations for attack-specific metrics. The full set covers six signals:</w:t>
      </w:r>
    </w:p>
    <w:p>
      <w:pPr>
        <w:spacing w:after="0" w:before="60"/>
      </w:pPr>
      <w:r>
        <w:t xml:space="preserve"/>
      </w:r>
    </w:p>
    <w:p>
      <w:pPr>
        <w:pStyle w:val="ListParagraph"/>
        <w:numPr>
          <w:ilvl w:val="0"/>
          <w:numId w:val="2"/>
        </w:numPr>
        <w:spacing w:after="40" w:before="40"/>
      </w:pPr>
      <w:r>
        <w:rPr>
          <w:rFonts w:ascii="Calibri" w:cs="Calibri" w:eastAsia="Calibri" w:hAnsi="Calibri"/>
          <w:color w:val="3D3D3D"/>
          <w:sz w:val="21"/>
          <w:szCs w:val="21"/>
        </w:rPr>
        <w:t xml:space="preserve">PII Leakage — Presidio scans the AI's response for sensitive entity types: SSN, email address, phone number, credit card number. Common false-positive types (dates, locations, person names in normal context) are filtered out.</w:t>
      </w:r>
    </w:p>
    <w:p>
      <w:pPr>
        <w:pStyle w:val="ListParagraph"/>
        <w:numPr>
          <w:ilvl w:val="0"/>
          <w:numId w:val="2"/>
        </w:numPr>
        <w:spacing w:after="40" w:before="40"/>
      </w:pPr>
      <w:r>
        <w:rPr>
          <w:rFonts w:ascii="Calibri" w:cs="Calibri" w:eastAsia="Calibri" w:hAnsi="Calibri"/>
          <w:color w:val="3D3D3D"/>
          <w:sz w:val="21"/>
          <w:szCs w:val="21"/>
        </w:rPr>
        <w:t xml:space="preserve">Toxicity — Detoxify (a BERT-based classifier) scores the AI's output for toxic language.</w:t>
      </w:r>
    </w:p>
    <w:p>
      <w:pPr>
        <w:pStyle w:val="ListParagraph"/>
        <w:numPr>
          <w:ilvl w:val="0"/>
          <w:numId w:val="2"/>
        </w:numPr>
        <w:spacing w:after="40" w:before="40"/>
      </w:pPr>
      <w:r>
        <w:rPr>
          <w:rFonts w:ascii="Calibri" w:cs="Calibri" w:eastAsia="Calibri" w:hAnsi="Calibri"/>
          <w:color w:val="3D3D3D"/>
          <w:sz w:val="21"/>
          <w:szCs w:val="21"/>
        </w:rPr>
        <w:t xml:space="preserve">Bias and Fairness — DeepEval's BiasMetric checks for stereotyping or discriminatory responses. This check is skipped on security conversations because attack prompts trigger Azure's content filter during evaluation.</w:t>
      </w:r>
    </w:p>
    <w:p>
      <w:pPr>
        <w:pStyle w:val="ListParagraph"/>
        <w:numPr>
          <w:ilvl w:val="0"/>
          <w:numId w:val="2"/>
        </w:numPr>
        <w:spacing w:after="40" w:before="40"/>
      </w:pPr>
      <w:r>
        <w:rPr>
          <w:rFonts w:ascii="Calibri" w:cs="Calibri" w:eastAsia="Calibri" w:hAnsi="Calibri"/>
          <w:color w:val="3D3D3D"/>
          <w:sz w:val="21"/>
          <w:szCs w:val="21"/>
        </w:rPr>
        <w:t xml:space="preserve">Prompt Injection — LLM Guard's DeBERTa model scans conversations where an injection attack was attempted.</w:t>
      </w:r>
    </w:p>
    <w:p>
      <w:pPr>
        <w:pStyle w:val="ListParagraph"/>
        <w:numPr>
          <w:ilvl w:val="0"/>
          <w:numId w:val="2"/>
        </w:numPr>
        <w:spacing w:after="40" w:before="40"/>
      </w:pPr>
      <w:r>
        <w:rPr>
          <w:rFonts w:ascii="Calibri" w:cs="Calibri" w:eastAsia="Calibri" w:hAnsi="Calibri"/>
          <w:color w:val="3D3D3D"/>
          <w:sz w:val="21"/>
          <w:szCs w:val="21"/>
        </w:rPr>
        <w:t xml:space="preserve">Toxic Request Handling — A heuristic refusal check verifies that the AI explicitly refused harmful requests rather than complying or deflecting ambiguously.</w:t>
      </w:r>
    </w:p>
    <w:p>
      <w:pPr>
        <w:pStyle w:val="ListParagraph"/>
        <w:numPr>
          <w:ilvl w:val="0"/>
          <w:numId w:val="2"/>
        </w:numPr>
        <w:spacing w:after="40" w:before="40"/>
      </w:pPr>
      <w:r>
        <w:rPr>
          <w:rFonts w:ascii="Calibri" w:cs="Calibri" w:eastAsia="Calibri" w:hAnsi="Calibri"/>
          <w:color w:val="3D3D3D"/>
          <w:sz w:val="21"/>
          <w:szCs w:val="21"/>
        </w:rPr>
        <w:t xml:space="preserve">Attack Resistance — An LLM judge evaluates how well the AI handled the full adversarial conversation, scoring resistance to manipulation.</w:t>
      </w:r>
    </w:p>
    <w:p>
      <w:pPr>
        <w:spacing w:after="0" w:before="80"/>
      </w:pPr>
      <w:r>
        <w:t xml:space="preserve"/>
      </w:r>
    </w:p>
    <w:p>
      <w:pPr>
        <w:spacing w:after="80" w:before="60" w:line="276" w:lineRule="auto"/>
      </w:pPr>
      <w:r>
        <w:rPr>
          <w:rFonts w:ascii="Calibri" w:cs="Calibri" w:eastAsia="Calibri" w:hAnsi="Calibri"/>
          <w:color w:val="3D3D3D"/>
          <w:sz w:val="21"/>
          <w:szCs w:val="21"/>
        </w:rPr>
        <w:t xml:space="preserve">HTTP 502 responses from the target are treated as a successful defence (the gateway blocked the attack). HTTP 500 responses are treated as a vulnerability (the attack caused a crash).</w:t>
      </w:r>
    </w:p>
    <w:p>
      <w:pPr>
        <w:spacing w:after="0" w:before="120"/>
      </w:pPr>
      <w:r>
        <w:t xml:space="preserve"/>
      </w:r>
    </w:p>
    <w:p>
      <w:pPr>
        <w:pStyle w:val="Heading3"/>
        <w:spacing w:after="60" w:before="160"/>
      </w:pPr>
      <w:r>
        <w:rPr>
          <w:rFonts w:ascii="Calibri" w:cs="Calibri" w:eastAsia="Calibri" w:hAnsi="Calibri"/>
          <w:b/>
          <w:bCs/>
          <w:color w:val="3B0F6B"/>
          <w:sz w:val="22"/>
          <w:szCs w:val="22"/>
        </w:rPr>
        <w:t xml:space="preserve">4c · Quality Evaluation</w:t>
      </w:r>
    </w:p>
    <w:p>
      <w:pPr>
        <w:spacing w:after="80" w:before="60" w:line="276" w:lineRule="auto"/>
      </w:pPr>
      <w:r>
        <w:rPr>
          <w:rFonts w:ascii="Calibri" w:cs="Calibri" w:eastAsia="Calibri" w:hAnsi="Calibri"/>
          <w:color w:val="3D3D3D"/>
          <w:sz w:val="21"/>
          <w:szCs w:val="21"/>
        </w:rPr>
        <w:t xml:space="preserve">Quality evaluation applies the domain-specific GEval criteria generated in Stage 2c. Each criterion is scored 0–1. For RAG applications, RAGAS also runs here: faithfulness (does the answer reflect the retrieved context), context recall (did the retrieval capture the relevant ground truth), and context precision (were the retrieved chunks actually useful).</w:t>
      </w:r>
    </w:p>
    <w:p>
      <w:pPr>
        <w:spacing w:after="0" w:before="120"/>
      </w:pPr>
      <w:r>
        <w:t xml:space="preserve"/>
      </w:r>
    </w:p>
    <w:p>
      <w:pPr>
        <w:pStyle w:val="Heading3"/>
        <w:spacing w:after="60" w:before="160"/>
      </w:pPr>
      <w:r>
        <w:rPr>
          <w:rFonts w:ascii="Calibri" w:cs="Calibri" w:eastAsia="Calibri" w:hAnsi="Calibri"/>
          <w:b/>
          <w:bCs/>
          <w:color w:val="3B0F6B"/>
          <w:sz w:val="22"/>
          <w:szCs w:val="22"/>
        </w:rPr>
        <w:t xml:space="preserve">4d · Performance Evaluation</w:t>
      </w:r>
    </w:p>
    <w:p>
      <w:pPr>
        <w:spacing w:after="80" w:before="60" w:line="276" w:lineRule="auto"/>
      </w:pPr>
      <w:r>
        <w:rPr>
          <w:rFonts w:ascii="Calibri" w:cs="Calibri" w:eastAsia="Calibri" w:hAnsi="Calibri"/>
          <w:color w:val="3D3D3D"/>
          <w:sz w:val="21"/>
          <w:szCs w:val="21"/>
        </w:rPr>
        <w:t xml:space="preserve">Twenty requests cycle through five test prompts in batches of five, with a short pause between batches. Latency is measured wall-clock per request. The evaluator reports average, minimum, maximum, median, P50, P95, and P99 latency, along with throughput (requests per second). The pass threshold is P95 latency under 5 000 ms and error rate below 5%.</w:t>
      </w:r>
    </w:p>
    <w:p>
      <w:pPr>
        <w:spacing w:after="0" w:before="120"/>
      </w:pPr>
      <w:r>
        <w:t xml:space="preserve"/>
      </w:r>
    </w:p>
    <w:p>
      <w:pPr>
        <w:pStyle w:val="Heading3"/>
        <w:spacing w:after="60" w:before="160"/>
      </w:pPr>
      <w:r>
        <w:rPr>
          <w:rFonts w:ascii="Calibri" w:cs="Calibri" w:eastAsia="Calibri" w:hAnsi="Calibri"/>
          <w:b/>
          <w:bCs/>
          <w:color w:val="3B0F6B"/>
          <w:sz w:val="22"/>
          <w:szCs w:val="22"/>
        </w:rPr>
        <w:t xml:space="preserve">4e · Load Evaluation</w:t>
      </w:r>
    </w:p>
    <w:p>
      <w:pPr>
        <w:spacing w:after="80" w:before="60" w:line="276" w:lineRule="auto"/>
      </w:pPr>
      <w:r>
        <w:rPr>
          <w:rFonts w:ascii="Calibri" w:cs="Calibri" w:eastAsia="Calibri" w:hAnsi="Calibri"/>
          <w:color w:val="3D3D3D"/>
          <w:sz w:val="21"/>
          <w:szCs w:val="21"/>
        </w:rPr>
        <w:t xml:space="preserve">A Locust load test file is generated at runtime using the actual endpoint configuration and test prompts, then executed as a headless subprocess with a gradual user ramp-up. Results are parsed from Locust's CSV output — RPS, error rate, and P95 latency under sustained load.</w:t>
      </w:r>
    </w:p>
    <w:p>
      <w:pPr>
        <w:spacing w:after="0" w:before="120"/>
      </w:pPr>
      <w:r>
        <w:t xml:space="preserve"/>
      </w:r>
    </w:p>
    <w:p>
      <w:pPr>
        <w:pStyle w:val="Heading3"/>
        <w:spacing w:after="60" w:before="160"/>
      </w:pPr>
      <w:r>
        <w:rPr>
          <w:rFonts w:ascii="Calibri" w:cs="Calibri" w:eastAsia="Calibri" w:hAnsi="Calibri"/>
          <w:b/>
          <w:bCs/>
          <w:color w:val="3B0F6B"/>
          <w:sz w:val="22"/>
          <w:szCs w:val="22"/>
        </w:rPr>
        <w:t xml:space="preserve">4f · RAG Evaluation (RAG Mode Only)</w:t>
      </w:r>
    </w:p>
    <w:p>
      <w:pPr>
        <w:spacing w:after="80" w:before="60" w:line="276" w:lineRule="auto"/>
      </w:pPr>
      <w:r>
        <w:rPr>
          <w:rFonts w:ascii="Calibri" w:cs="Calibri" w:eastAsia="Calibri" w:hAnsi="Calibri"/>
          <w:color w:val="3D3D3D"/>
          <w:sz w:val="21"/>
          <w:szCs w:val="21"/>
        </w:rPr>
        <w:t xml:space="preserve">When the application type is RAG and retrieved context is available, RAGAS runs as a batch evaluation across all conversations. The batch approach means RAGAS makes one LLM API call per metric across the whole dataset rather than one call per conversation, which is significantly more efficient. DeepEval's AnswerRelevancyMetric and ContextualRelevancyMetric also run per conversation with a concurrency limit of 3.</w:t>
      </w:r>
    </w:p>
    <w:p>
      <w:pPr>
        <w:spacing w:after="0" w:before="160"/>
      </w:pPr>
      <w:r>
        <w:t xml:space="preserve"/>
      </w:r>
    </w:p>
    <w:p>
      <w:pPr>
        <w:pStyle w:val="Heading2"/>
        <w:spacing w:after="80" w:before="240"/>
      </w:pPr>
      <w:r>
        <w:rPr>
          <w:rFonts w:ascii="Calibri" w:cs="Calibri" w:eastAsia="Calibri" w:hAnsi="Calibri"/>
          <w:b/>
          <w:bCs/>
          <w:color w:val="5B21A0"/>
          <w:sz w:val="26"/>
          <w:szCs w:val="26"/>
        </w:rPr>
        <w:t xml:space="preserve">Stage 5 — Aggregation and Health Score</w:t>
      </w:r>
    </w:p>
    <w:p>
      <w:pPr>
        <w:spacing w:after="80" w:before="60" w:line="276" w:lineRule="auto"/>
      </w:pPr>
      <w:r>
        <w:rPr>
          <w:rFonts w:ascii="Calibri" w:cs="Calibri" w:eastAsia="Calibri" w:hAnsi="Calibri"/>
          <w:color w:val="3D3D3D"/>
          <w:sz w:val="21"/>
          <w:szCs w:val="21"/>
        </w:rPr>
        <w:t xml:space="preserve">Stage 5 collects all MetricResult records and computes the overall health score. Rather than treating every metric equally, METRON applies domain-weighted averaging — the relative importance of security versus performance versus quality shifts depending on what domain the AI operates in.</w:t>
      </w:r>
    </w:p>
    <w:p>
      <w:pPr>
        <w:spacing w:after="0" w:before="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1360"/>
        <w:gridCol w:w="1360"/>
        <w:gridCol w:w="1360"/>
        <w:gridCol w:w="1000"/>
      </w:tblGrid>
      <w:tr>
        <w:tc>
          <w:tcPr>
            <w:tcW w:type="dxa" w:w="22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Domain</w:t>
            </w:r>
          </w:p>
        </w:tc>
        <w:tc>
          <w:tcPr>
            <w:tcW w:type="dxa" w:w="136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Security</w:t>
            </w:r>
          </w:p>
        </w:tc>
        <w:tc>
          <w:tcPr>
            <w:tcW w:type="dxa" w:w="136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Functional</w:t>
            </w:r>
          </w:p>
        </w:tc>
        <w:tc>
          <w:tcPr>
            <w:tcW w:type="dxa" w:w="136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Quality</w:t>
            </w:r>
          </w:p>
        </w:tc>
        <w:tc>
          <w:tcPr>
            <w:tcW w:type="dxa" w:w="136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Performance</w:t>
            </w:r>
          </w:p>
        </w:tc>
        <w:tc>
          <w:tcPr>
            <w:tcW w:type="dxa" w:w="10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Load</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Healthcare</w:t>
            </w:r>
          </w:p>
        </w:tc>
        <w:tc>
          <w:tcPr>
            <w:tcW w:type="dxa" w:w="136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45%</w:t>
            </w:r>
          </w:p>
        </w:tc>
        <w:tc>
          <w:tcPr>
            <w:tcW w:type="dxa" w:w="136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35%</w:t>
            </w:r>
          </w:p>
        </w:tc>
        <w:tc>
          <w:tcPr>
            <w:tcW w:type="dxa" w:w="136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10%</w:t>
            </w:r>
          </w:p>
        </w:tc>
        <w:tc>
          <w:tcPr>
            <w:tcW w:type="dxa" w:w="136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5%</w:t>
            </w:r>
          </w:p>
        </w:tc>
        <w:tc>
          <w:tcPr>
            <w:tcW w:type="dxa" w:w="1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5%</w:t>
            </w:r>
          </w:p>
        </w:tc>
      </w:tr>
      <w:tr>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Finance</w:t>
            </w:r>
          </w:p>
        </w:tc>
        <w:tc>
          <w:tcPr>
            <w:tcW w:type="dxa" w:w="136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40%</w:t>
            </w:r>
          </w:p>
        </w:tc>
        <w:tc>
          <w:tcPr>
            <w:tcW w:type="dxa" w:w="136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35%</w:t>
            </w:r>
          </w:p>
        </w:tc>
        <w:tc>
          <w:tcPr>
            <w:tcW w:type="dxa" w:w="136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10%</w:t>
            </w:r>
          </w:p>
        </w:tc>
        <w:tc>
          <w:tcPr>
            <w:tcW w:type="dxa" w:w="136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10%</w:t>
            </w:r>
          </w:p>
        </w:tc>
        <w:tc>
          <w:tcPr>
            <w:tcW w:type="dxa" w:w="1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5%</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Travel / E-com</w:t>
            </w:r>
          </w:p>
        </w:tc>
        <w:tc>
          <w:tcPr>
            <w:tcW w:type="dxa" w:w="136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15%</w:t>
            </w:r>
          </w:p>
        </w:tc>
        <w:tc>
          <w:tcPr>
            <w:tcW w:type="dxa" w:w="136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35%</w:t>
            </w:r>
          </w:p>
        </w:tc>
        <w:tc>
          <w:tcPr>
            <w:tcW w:type="dxa" w:w="136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10%</w:t>
            </w:r>
          </w:p>
        </w:tc>
        <w:tc>
          <w:tcPr>
            <w:tcW w:type="dxa" w:w="136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25%</w:t>
            </w:r>
          </w:p>
        </w:tc>
        <w:tc>
          <w:tcPr>
            <w:tcW w:type="dxa" w:w="1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15%</w:t>
            </w:r>
          </w:p>
        </w:tc>
      </w:tr>
      <w:tr>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Default</w:t>
            </w:r>
          </w:p>
        </w:tc>
        <w:tc>
          <w:tcPr>
            <w:tcW w:type="dxa" w:w="136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30%</w:t>
            </w:r>
          </w:p>
        </w:tc>
        <w:tc>
          <w:tcPr>
            <w:tcW w:type="dxa" w:w="136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40%</w:t>
            </w:r>
          </w:p>
        </w:tc>
        <w:tc>
          <w:tcPr>
            <w:tcW w:type="dxa" w:w="136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10%</w:t>
            </w:r>
          </w:p>
        </w:tc>
        <w:tc>
          <w:tcPr>
            <w:tcW w:type="dxa" w:w="136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15%</w:t>
            </w:r>
          </w:p>
        </w:tc>
        <w:tc>
          <w:tcPr>
            <w:tcW w:type="dxa" w:w="1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5%</w:t>
            </w:r>
          </w:p>
        </w:tc>
      </w:tr>
    </w:tbl>
    <w:p>
      <w:pPr>
        <w:spacing w:after="0" w:before="100"/>
      </w:pPr>
      <w:r>
        <w:t xml:space="preserve"/>
      </w:r>
    </w:p>
    <w:p>
      <w:pPr>
        <w:spacing w:after="80" w:before="60" w:line="276" w:lineRule="auto"/>
      </w:pPr>
      <w:r>
        <w:rPr>
          <w:rFonts w:ascii="Calibri" w:cs="Calibri" w:eastAsia="Calibri" w:hAnsi="Calibri"/>
          <w:color w:val="3D3D3D"/>
          <w:sz w:val="21"/>
          <w:szCs w:val="21"/>
        </w:rPr>
        <w:t xml:space="preserve">A health score of 0.70 or above is considered a pass. The aggregator also builds a per-persona breakdown sorted by failure rate (worst performers first) and a top-20 failure drill-down with the full conversation turns for each failure, making it straightforward to reproduce and fix issues.</w:t>
      </w:r>
    </w:p>
    <w:p>
      <w:pPr>
        <w:spacing w:after="0" w:before="160"/>
      </w:pPr>
      <w:r>
        <w:t xml:space="preserve"/>
      </w:r>
    </w:p>
    <w:p>
      <w:pPr>
        <w:pStyle w:val="Heading2"/>
        <w:spacing w:after="80" w:before="240"/>
      </w:pPr>
      <w:r>
        <w:rPr>
          <w:rFonts w:ascii="Calibri" w:cs="Calibri" w:eastAsia="Calibri" w:hAnsi="Calibri"/>
          <w:b/>
          <w:bCs/>
          <w:color w:val="5B21A0"/>
          <w:sz w:val="26"/>
          <w:szCs w:val="26"/>
        </w:rPr>
        <w:t xml:space="preserve">Stage 6 — Feedback Loop</w:t>
      </w:r>
    </w:p>
    <w:p>
      <w:pPr>
        <w:spacing w:after="80" w:before="60" w:line="276" w:lineRule="auto"/>
      </w:pPr>
      <w:r>
        <w:rPr>
          <w:rFonts w:ascii="Calibri" w:cs="Calibri" w:eastAsia="Calibri" w:hAnsi="Calibri"/>
          <w:color w:val="3D3D3D"/>
          <w:sz w:val="21"/>
          <w:szCs w:val="21"/>
        </w:rPr>
        <w:t xml:space="preserve">Stage 6 runs one iteration of adaptive testing. The pipeline analyses which personas found real failures (failure rate above 20%). If effective personas exist, an LLM reviews the top 15 failures and recommends up to three new persona slots specifically designed to probe the patterns where failures were found. Stages 1b through 5 run again for these new personas. The final report is re-aggregated as 70% original results plus 30% feedback-loop results — giving extra weight to the failure-targeted run without discarding the original baseline.</w:t>
      </w:r>
    </w:p>
    <w:p>
      <w:pPr>
        <w:spacing w:after="0" w:before="80"/>
      </w:pPr>
      <w:r>
        <w:t xml:space="preserve"/>
      </w:r>
    </w:p>
    <w:p>
      <w:pPr>
        <w:spacing w:after="80" w:before="60" w:line="276" w:lineRule="auto"/>
      </w:pPr>
      <w:r>
        <w:rPr>
          <w:rFonts w:ascii="Calibri" w:cs="Calibri" w:eastAsia="Calibri" w:hAnsi="Calibri"/>
          <w:color w:val="3D3D3D"/>
          <w:sz w:val="21"/>
          <w:szCs w:val="21"/>
        </w:rPr>
        <w:t xml:space="preserve">If no persona was particularly effective at finding failures (all have similar pass rates), the feedback loop exits early without adding extra API cost.</w:t>
      </w:r>
    </w:p>
    <w:p>
      <w:pPr>
        <w:spacing w:after="0" w:before="160"/>
      </w:pPr>
      <w:r>
        <w:t xml:space="preserve"/>
      </w:r>
    </w:p>
    <w:p>
      <w:pPr>
        <w:pStyle w:val="Heading2"/>
        <w:spacing w:after="80" w:before="240"/>
      </w:pPr>
      <w:r>
        <w:rPr>
          <w:rFonts w:ascii="Calibri" w:cs="Calibri" w:eastAsia="Calibri" w:hAnsi="Calibri"/>
          <w:b/>
          <w:bCs/>
          <w:color w:val="5B21A0"/>
          <w:sz w:val="26"/>
          <w:szCs w:val="26"/>
        </w:rPr>
        <w:t xml:space="preserve">Stage 7 — Report Generation</w:t>
      </w:r>
    </w:p>
    <w:p>
      <w:pPr>
        <w:spacing w:after="80" w:before="60" w:line="276" w:lineRule="auto"/>
      </w:pPr>
      <w:r>
        <w:rPr>
          <w:rFonts w:ascii="Calibri" w:cs="Calibri" w:eastAsia="Calibri" w:hAnsi="Calibri"/>
          <w:color w:val="3D3D3D"/>
          <w:sz w:val="21"/>
          <w:szCs w:val="21"/>
        </w:rPr>
        <w:t xml:space="preserve">The final stage serialises the AggregatedReport into a frontend-ready JSON payload and generates a styled HTML document. The HTML report includes a health score gauge dial, per-class breakdown tables, the persona breakdown, and the full failure drill-down. All score fields are normalised to percentages (0–100) before storage.</w:t>
      </w:r>
    </w:p>
    <w:p>
      <w:pPr>
        <w:spacing w:after="0" w:before="200"/>
      </w:pPr>
      <w:r>
        <w:t xml:space="preserve"/>
      </w:r>
    </w:p>
    <w:p>
      <w:r>
        <w:br w:type="page"/>
      </w:r>
    </w:p>
    <w:p>
      <w:pPr>
        <w:pStyle w:val="Heading1"/>
        <w:pBdr>
          <w:bottom w:val="single" w:color="8B5CF6" w:sz="6" w:space="4"/>
        </w:pBdr>
        <w:spacing w:after="120" w:before="360"/>
      </w:pPr>
      <w:r>
        <w:rPr>
          <w:rFonts w:ascii="Calibri" w:cs="Calibri" w:eastAsia="Calibri" w:hAnsi="Calibri"/>
          <w:b/>
          <w:bCs/>
          <w:color w:val="3B0F6B"/>
          <w:sz w:val="34"/>
          <w:szCs w:val="34"/>
        </w:rPr>
        <w:t xml:space="preserve">6.  LLM Client and Rate Limiting</w:t>
      </w:r>
    </w:p>
    <w:p>
      <w:pPr>
        <w:spacing w:after="80" w:before="60" w:line="276" w:lineRule="auto"/>
      </w:pPr>
      <w:r>
        <w:rPr>
          <w:rFonts w:ascii="Calibri" w:cs="Calibri" w:eastAsia="Calibri" w:hAnsi="Calibri"/>
          <w:color w:val="3D3D3D"/>
          <w:sz w:val="21"/>
          <w:szCs w:val="21"/>
        </w:rPr>
        <w:t xml:space="preserve">All LLM calls throughout the pipeline — whether for persona generation, test generation, evaluation judging, or feedback analysis — go through a single LLMClient class. This centralises rate limiting, fallback logic, and JSON extraction in one place.</w:t>
      </w:r>
    </w:p>
    <w:p>
      <w:pPr>
        <w:spacing w:after="0" w:before="120"/>
      </w:pPr>
      <w:r>
        <w:t xml:space="preserve"/>
      </w:r>
    </w:p>
    <w:p>
      <w:pPr>
        <w:pStyle w:val="Heading2"/>
        <w:spacing w:after="80" w:before="240"/>
      </w:pPr>
      <w:r>
        <w:rPr>
          <w:rFonts w:ascii="Calibri" w:cs="Calibri" w:eastAsia="Calibri" w:hAnsi="Calibri"/>
          <w:b/>
          <w:bCs/>
          <w:color w:val="5B21A0"/>
          <w:sz w:val="26"/>
          <w:szCs w:val="26"/>
        </w:rPr>
        <w:t xml:space="preserve">6.1  Rate Limiting</w:t>
      </w:r>
    </w:p>
    <w:p>
      <w:pPr>
        <w:spacing w:after="80" w:before="60" w:line="276" w:lineRule="auto"/>
      </w:pPr>
      <w:r>
        <w:rPr>
          <w:rFonts w:ascii="Calibri" w:cs="Calibri" w:eastAsia="Calibri" w:hAnsi="Calibri"/>
          <w:color w:val="3D3D3D"/>
          <w:sz w:val="21"/>
          <w:szCs w:val="21"/>
        </w:rPr>
        <w:t xml:space="preserve">Each provider has a token-bucket rate limiter with a 20% safety headroom. When a caller wants to make a request, it reserves a time slot atomically under an asyncio lock, then sleeps outside the lock. This means all concurrent callers can reserve their slots and sleep simultaneously rather than queuing behind each other, which significantly improves throughput when many requests are in flight at once.</w:t>
      </w:r>
    </w:p>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B5CF6" w:sz="8"/>
              <w:left w:val="single" w:color="8B5CF6" w:sz="18"/>
              <w:bottom w:val="single" w:color="D8B8F0" w:sz="2"/>
              <w:right w:val="single" w:color="D8B8F0" w:sz="2"/>
            </w:tcBorders>
            <w:shd w:fill="F9F3FE" w:val="clear"/>
            <w:tcMar>
              <w:top w:type="dxa" w:w="120"/>
              <w:left w:type="dxa" w:w="200"/>
              <w:bottom w:type="dxa" w:w="120"/>
              <w:right w:type="dxa" w:w="120"/>
            </w:tcMar>
          </w:tcPr>
          <w:p>
            <w:pPr>
              <w:spacing w:after="40" w:before="0"/>
            </w:pPr>
            <w:r>
              <w:rPr>
                <w:rFonts w:ascii="Calibri" w:cs="Calibri" w:eastAsia="Calibri" w:hAnsi="Calibri"/>
                <w:b/>
                <w:bCs/>
                <w:color w:val="3B0F6B"/>
                <w:sz w:val="20"/>
                <w:szCs w:val="20"/>
              </w:rPr>
              <w:t xml:space="preserve">Rate Limit Formula</w:t>
            </w:r>
          </w:p>
          <w:p>
            <w:pPr>
              <w:spacing w:after="0" w:before="0"/>
            </w:pPr>
            <w:r>
              <w:rPr>
                <w:rFonts w:ascii="Calibri" w:cs="Calibri" w:eastAsia="Calibri" w:hAnsi="Calibri"/>
                <w:color w:val="3D3D3D"/>
                <w:sz w:val="20"/>
                <w:szCs w:val="20"/>
              </w:rPr>
              <w:t xml:space="preserve">Request interval = 60 ÷ (RPM × 0.8). At 40 RPM, one request slot is released every 1.875 seconds.</w:t>
            </w:r>
          </w:p>
        </w:tc>
      </w:tr>
    </w:tbl>
    <w:p>
      <w:pPr>
        <w:spacing w:after="0" w:before="160"/>
      </w:pPr>
      <w:r>
        <w:t xml:space="preserve"/>
      </w:r>
    </w:p>
    <w:p>
      <w:pPr>
        <w:pStyle w:val="Heading2"/>
        <w:spacing w:after="80" w:before="240"/>
      </w:pPr>
      <w:r>
        <w:rPr>
          <w:rFonts w:ascii="Calibri" w:cs="Calibri" w:eastAsia="Calibri" w:hAnsi="Calibri"/>
          <w:b/>
          <w:bCs/>
          <w:color w:val="5B21A0"/>
          <w:sz w:val="26"/>
          <w:szCs w:val="26"/>
        </w:rPr>
        <w:t xml:space="preserve">6.2  Task-Based Model Routing</w:t>
      </w:r>
    </w:p>
    <w:p>
      <w:pPr>
        <w:spacing w:after="80" w:before="60" w:line="276" w:lineRule="auto"/>
      </w:pPr>
      <w:r>
        <w:rPr>
          <w:rFonts w:ascii="Calibri" w:cs="Calibri" w:eastAsia="Calibri" w:hAnsi="Calibri"/>
          <w:color w:val="3D3D3D"/>
          <w:sz w:val="21"/>
          <w:szCs w:val="21"/>
        </w:rPr>
        <w:t xml:space="preserve">Different parts of the pipeline need different model capabilities. LLMClient routes requests to model tiers based on task type: fast tasks (persona generation, test generation) use lightweight models like Llama 3.1-8B or Gemini Flash; judge tasks (evaluation rubrics, attack resistance scoring) use heavyweight models like Llama 3.3-70B or GPT-4o; balanced tasks use a middle tier as the default.</w:t>
      </w:r>
    </w:p>
    <w:p>
      <w:pPr>
        <w:spacing w:after="0" w:before="160"/>
      </w:pPr>
      <w:r>
        <w:t xml:space="preserve"/>
      </w:r>
    </w:p>
    <w:p>
      <w:pPr>
        <w:pStyle w:val="Heading2"/>
        <w:spacing w:after="80" w:before="240"/>
      </w:pPr>
      <w:r>
        <w:rPr>
          <w:rFonts w:ascii="Calibri" w:cs="Calibri" w:eastAsia="Calibri" w:hAnsi="Calibri"/>
          <w:b/>
          <w:bCs/>
          <w:color w:val="5B21A0"/>
          <w:sz w:val="26"/>
          <w:szCs w:val="26"/>
        </w:rPr>
        <w:t xml:space="preserve">6.3  Fallback Chain</w:t>
      </w:r>
    </w:p>
    <w:p>
      <w:pPr>
        <w:spacing w:after="80" w:before="60" w:line="276" w:lineRule="auto"/>
      </w:pPr>
      <w:r>
        <w:rPr>
          <w:rFonts w:ascii="Calibri" w:cs="Calibri" w:eastAsia="Calibri" w:hAnsi="Calibri"/>
          <w:color w:val="3D3D3D"/>
          <w:sz w:val="21"/>
          <w:szCs w:val="21"/>
        </w:rPr>
        <w:t xml:space="preserve">When a provider returns a 429 (rate limit exceeded) or quota exhaustion error, the client automatically fails over to the Groq Llama 3.3-70B model, then to Groq Llama 3.1-8B. The primary provider is retried on the next call — fallback is not sticky — so the system returns to the preferred model as soon as it becomes available again.</w:t>
      </w:r>
    </w:p>
    <w:p>
      <w:pPr>
        <w:spacing w:after="0" w:before="160"/>
      </w:pPr>
      <w:r>
        <w:t xml:space="preserve"/>
      </w:r>
    </w:p>
    <w:p>
      <w:pPr>
        <w:pStyle w:val="Heading2"/>
        <w:spacing w:after="80" w:before="240"/>
      </w:pPr>
      <w:r>
        <w:rPr>
          <w:rFonts w:ascii="Calibri" w:cs="Calibri" w:eastAsia="Calibri" w:hAnsi="Calibri"/>
          <w:b/>
          <w:bCs/>
          <w:color w:val="5B21A0"/>
          <w:sz w:val="26"/>
          <w:szCs w:val="26"/>
        </w:rPr>
        <w:t xml:space="preserve">6.4  JSON Extraction</w:t>
      </w:r>
    </w:p>
    <w:p>
      <w:pPr>
        <w:spacing w:after="80" w:before="60" w:line="276" w:lineRule="auto"/>
      </w:pPr>
      <w:r>
        <w:rPr>
          <w:rFonts w:ascii="Calibri" w:cs="Calibri" w:eastAsia="Calibri" w:hAnsi="Calibri"/>
          <w:color w:val="3D3D3D"/>
          <w:sz w:val="21"/>
          <w:szCs w:val="21"/>
        </w:rPr>
        <w:t xml:space="preserve">Many pipeline steps expect the LLM to return structured JSON (personas, test prompts, evaluation results). The client retries up to four times with decreasing temperature if parsing fails. Extraction proceeds through three attempts: direct JSON parsing, stripping markdown code fences then parsing, and finally a greedy search for the outermost brace or bracket pair.</w:t>
      </w:r>
    </w:p>
    <w:p>
      <w:pPr>
        <w:spacing w:after="0" w:before="200"/>
      </w:pPr>
      <w:r>
        <w:t xml:space="preserve"/>
      </w:r>
    </w:p>
    <w:p>
      <w:r>
        <w:br w:type="page"/>
      </w:r>
    </w:p>
    <w:p>
      <w:pPr>
        <w:pStyle w:val="Heading1"/>
        <w:pBdr>
          <w:bottom w:val="single" w:color="8B5CF6" w:sz="6" w:space="4"/>
        </w:pBdr>
        <w:spacing w:after="120" w:before="360"/>
      </w:pPr>
      <w:r>
        <w:rPr>
          <w:rFonts w:ascii="Calibri" w:cs="Calibri" w:eastAsia="Calibri" w:hAnsi="Calibri"/>
          <w:b/>
          <w:bCs/>
          <w:color w:val="3B0F6B"/>
          <w:sz w:val="34"/>
          <w:szCs w:val="34"/>
        </w:rPr>
        <w:t xml:space="preserve">7.  Adapter Layer</w:t>
      </w:r>
    </w:p>
    <w:p>
      <w:pPr>
        <w:spacing w:after="80" w:before="60" w:line="276" w:lineRule="auto"/>
      </w:pPr>
      <w:r>
        <w:rPr>
          <w:rFonts w:ascii="Calibri" w:cs="Calibri" w:eastAsia="Calibri" w:hAnsi="Calibri"/>
          <w:color w:val="3D3D3D"/>
          <w:sz w:val="21"/>
          <w:szCs w:val="21"/>
        </w:rPr>
        <w:t xml:space="preserve">The adapter layer isolates the rest of the pipeline from the specifics of how different AI applications receive requests and return responses. METRON supports four adapters corresponding to the four supported application types.</w:t>
      </w:r>
    </w:p>
    <w:p>
      <w:pPr>
        <w:spacing w:after="0" w:before="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040"/>
      </w:tblGrid>
      <w:tr>
        <w:tc>
          <w:tcPr>
            <w:tcW w:type="dxa" w:w="22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Adapter</w:t>
            </w:r>
          </w:p>
        </w:tc>
        <w:tc>
          <w:tcPr>
            <w:tcW w:type="dxa" w:w="34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How It Sends Requests</w:t>
            </w:r>
          </w:p>
        </w:tc>
        <w:tc>
          <w:tcPr>
            <w:tcW w:type="dxa" w:w="30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What It Extracts</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ChatbotAdapter</w:t>
            </w:r>
          </w:p>
        </w:tc>
        <w:tc>
          <w:tcPr>
            <w:tcW w:type="dxa" w:w="3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POST {request_field: message}</w:t>
            </w:r>
          </w:p>
        </w:tc>
        <w:tc>
          <w:tcPr>
            <w:tcW w:type="dxa" w:w="3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Response text from configured dot-notation field</w:t>
            </w:r>
          </w:p>
        </w:tc>
      </w:tr>
      <w:tr>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RAGAdapter</w:t>
            </w:r>
          </w:p>
        </w:tc>
        <w:tc>
          <w:tcPr>
            <w:tcW w:type="dxa" w:w="3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Same as Chatbot</w:t>
            </w:r>
          </w:p>
        </w:tc>
        <w:tc>
          <w:tcPr>
            <w:tcW w:type="dxa" w:w="3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Response text + retrieved_context + source_documents</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MultiAgentAdapter</w:t>
            </w:r>
          </w:p>
        </w:tc>
        <w:tc>
          <w:tcPr>
            <w:tcW w:type="dxa" w:w="3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Same as Chatbot</w:t>
            </w:r>
          </w:p>
        </w:tc>
        <w:tc>
          <w:tcPr>
            <w:tcW w:type="dxa" w:w="3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Response text + agent_trace (list of agent/action/output)</w:t>
            </w:r>
          </w:p>
        </w:tc>
      </w:tr>
      <w:tr>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FormAdapter</w:t>
            </w:r>
          </w:p>
        </w:tc>
        <w:tc>
          <w:tcPr>
            <w:tcW w:type="dxa" w:w="3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Submits form-style payload, handles redirects</w:t>
            </w:r>
          </w:p>
        </w:tc>
        <w:tc>
          <w:tcPr>
            <w:tcW w:type="dxa" w:w="3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Response text</w:t>
            </w:r>
          </w:p>
        </w:tc>
      </w:tr>
    </w:tbl>
    <w:p>
      <w:pPr>
        <w:spacing w:after="0" w:before="100"/>
      </w:pPr>
      <w:r>
        <w:t xml:space="preserve"/>
      </w:r>
    </w:p>
    <w:p>
      <w:pPr>
        <w:spacing w:after="80" w:before="60" w:line="276" w:lineRule="auto"/>
      </w:pPr>
      <w:r>
        <w:rPr>
          <w:rFonts w:ascii="Calibri" w:cs="Calibri" w:eastAsia="Calibri" w:hAnsi="Calibri"/>
          <w:color w:val="3D3D3D"/>
          <w:sz w:val="21"/>
          <w:szCs w:val="21"/>
        </w:rPr>
        <w:t xml:space="preserve">Every adapter returns a standardised AdapterResponse object containing: a success flag, the extracted response text, wall-clock latency in milliseconds, any error message, retrieved context (RAG), and agent trace (multi-agent). This uniform interface means the evaluation stages never need to know which adapter was used.</w:t>
      </w:r>
    </w:p>
    <w:p>
      <w:pPr>
        <w:spacing w:after="0" w:before="200"/>
      </w:pPr>
      <w:r>
        <w:t xml:space="preserve"/>
      </w:r>
    </w:p>
    <w:p>
      <w:r>
        <w:br w:type="page"/>
      </w:r>
    </w:p>
    <w:p>
      <w:pPr>
        <w:pStyle w:val="Heading1"/>
        <w:pBdr>
          <w:bottom w:val="single" w:color="8B5CF6" w:sz="6" w:space="4"/>
        </w:pBdr>
        <w:spacing w:after="120" w:before="360"/>
      </w:pPr>
      <w:r>
        <w:rPr>
          <w:rFonts w:ascii="Calibri" w:cs="Calibri" w:eastAsia="Calibri" w:hAnsi="Calibri"/>
          <w:b/>
          <w:bCs/>
          <w:color w:val="3B0F6B"/>
          <w:sz w:val="34"/>
          <w:szCs w:val="34"/>
        </w:rPr>
        <w:t xml:space="preserve">8.  Data Flow Through the Pipeline</w:t>
      </w:r>
    </w:p>
    <w:p>
      <w:pPr>
        <w:spacing w:after="80" w:before="60" w:line="276" w:lineRule="auto"/>
      </w:pPr>
      <w:r>
        <w:rPr>
          <w:rFonts w:ascii="Calibri" w:cs="Calibri" w:eastAsia="Calibri" w:hAnsi="Calibri"/>
          <w:color w:val="3D3D3D"/>
          <w:sz w:val="21"/>
          <w:szCs w:val="21"/>
        </w:rPr>
        <w:t xml:space="preserve">Each pipeline stage consumes the output of the previous stage and produces a new, richer data structure. The flow from configuration to final report passes through seven distinct model types.</w:t>
      </w:r>
    </w:p>
    <w:p>
      <w:pPr>
        <w:spacing w:after="0" w:before="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3540"/>
      </w:tblGrid>
      <w:tr>
        <w:tc>
          <w:tcPr>
            <w:tcW w:type="dxa" w:w="9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Stage</w:t>
            </w:r>
          </w:p>
        </w:tc>
        <w:tc>
          <w:tcPr>
            <w:tcW w:type="dxa" w:w="20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Input</w:t>
            </w:r>
          </w:p>
        </w:tc>
        <w:tc>
          <w:tcPr>
            <w:tcW w:type="dxa" w:w="22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Output</w:t>
            </w:r>
          </w:p>
        </w:tc>
        <w:tc>
          <w:tcPr>
            <w:tcW w:type="dxa" w:w="35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Key Fields Added</w:t>
            </w:r>
          </w:p>
        </w:tc>
      </w:tr>
      <w:tr>
        <w:tc>
          <w:tcPr>
            <w:tcW w:type="dxa" w:w="9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S0</w:t>
            </w:r>
          </w:p>
        </w:tc>
        <w:tc>
          <w:tcPr>
            <w:tcW w:type="dxa" w:w="2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RunConfig + doc</w:t>
            </w:r>
          </w:p>
        </w:tc>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AppProfile</w:t>
            </w:r>
          </w:p>
        </w:tc>
        <w:tc>
          <w:tcPr>
            <w:tcW w:type="dxa" w:w="35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domain, user_types, use_cases, boundaries</w:t>
            </w:r>
          </w:p>
        </w:tc>
      </w:tr>
      <w:tr>
        <w:tc>
          <w:tcPr>
            <w:tcW w:type="dxa" w:w="9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S1</w:t>
            </w:r>
          </w:p>
        </w:tc>
        <w:tc>
          <w:tcPr>
            <w:tcW w:type="dxa" w:w="2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AppProfile</w:t>
            </w:r>
          </w:p>
        </w:tc>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List[Persona]</w:t>
            </w:r>
          </w:p>
        </w:tc>
        <w:tc>
          <w:tcPr>
            <w:tcW w:type="dxa" w:w="35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traits, language_model, behavioral_params, adversarial_goal</w:t>
            </w:r>
          </w:p>
        </w:tc>
      </w:tr>
      <w:tr>
        <w:tc>
          <w:tcPr>
            <w:tcW w:type="dxa" w:w="9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S2</w:t>
            </w:r>
          </w:p>
        </w:tc>
        <w:tc>
          <w:tcPr>
            <w:tcW w:type="dxa" w:w="2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Persona list</w:t>
            </w:r>
          </w:p>
        </w:tc>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List[GeneratedPrompt]</w:t>
            </w:r>
          </w:p>
        </w:tc>
        <w:tc>
          <w:tcPr>
            <w:tcW w:type="dxa" w:w="35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expected_behavior, ground_truth_context</w:t>
            </w:r>
          </w:p>
        </w:tc>
      </w:tr>
      <w:tr>
        <w:tc>
          <w:tcPr>
            <w:tcW w:type="dxa" w:w="9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S3</w:t>
            </w:r>
          </w:p>
        </w:tc>
        <w:tc>
          <w:tcPr>
            <w:tcW w:type="dxa" w:w="2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Prompt list</w:t>
            </w:r>
          </w:p>
        </w:tc>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List[Conversation]</w:t>
            </w:r>
          </w:p>
        </w:tc>
        <w:tc>
          <w:tcPr>
            <w:tcW w:type="dxa" w:w="35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turns, response text, latency_ms</w:t>
            </w:r>
          </w:p>
        </w:tc>
      </w:tr>
      <w:tr>
        <w:tc>
          <w:tcPr>
            <w:tcW w:type="dxa" w:w="9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S4</w:t>
            </w:r>
          </w:p>
        </w:tc>
        <w:tc>
          <w:tcPr>
            <w:tcW w:type="dxa" w:w="2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Conversation list</w:t>
            </w:r>
          </w:p>
        </w:tc>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List[MetricResult]</w:t>
            </w:r>
          </w:p>
        </w:tc>
        <w:tc>
          <w:tcPr>
            <w:tcW w:type="dxa" w:w="35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score, passed, reason, pii_types, owasp_category</w:t>
            </w:r>
          </w:p>
        </w:tc>
      </w:tr>
      <w:tr>
        <w:tc>
          <w:tcPr>
            <w:tcW w:type="dxa" w:w="9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S5</w:t>
            </w:r>
          </w:p>
        </w:tc>
        <w:tc>
          <w:tcPr>
            <w:tcW w:type="dxa" w:w="2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MetricResult list</w:t>
            </w:r>
          </w:p>
        </w:tc>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AggregatedReport</w:t>
            </w:r>
          </w:p>
        </w:tc>
        <w:tc>
          <w:tcPr>
            <w:tcW w:type="dxa" w:w="35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health_score, per-class summary, failure drill-down</w:t>
            </w:r>
          </w:p>
        </w:tc>
      </w:tr>
      <w:tr>
        <w:tc>
          <w:tcPr>
            <w:tcW w:type="dxa" w:w="9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S7</w:t>
            </w:r>
          </w:p>
        </w:tc>
        <w:tc>
          <w:tcPr>
            <w:tcW w:type="dxa" w:w="2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AggregatedReport</w:t>
            </w:r>
          </w:p>
        </w:tc>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JSON + HTML</w:t>
            </w:r>
          </w:p>
        </w:tc>
        <w:tc>
          <w:tcPr>
            <w:tcW w:type="dxa" w:w="35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Normalised percentages, gauge data</w:t>
            </w:r>
          </w:p>
        </w:tc>
      </w:tr>
    </w:tbl>
    <w:p>
      <w:pPr>
        <w:spacing w:after="0" w:before="80"/>
      </w:pPr>
      <w:r>
        <w:t xml:space="preserve"/>
      </w:r>
    </w:p>
    <w:p>
      <w:pPr>
        <w:spacing w:after="80" w:before="60" w:line="276" w:lineRule="auto"/>
      </w:pPr>
      <w:r>
        <w:rPr>
          <w:rFonts w:ascii="Calibri" w:cs="Calibri" w:eastAsia="Calibri" w:hAnsi="Calibri"/>
          <w:color w:val="3D3D3D"/>
          <w:sz w:val="21"/>
          <w:szCs w:val="21"/>
        </w:rPr>
        <w:t xml:space="preserve">MetricResult is the atomic unit of evaluation — one record per metric per conversation. A single conversation of three turns might produce ten or more MetricResult records covering hallucination, toxicity, PII, relevancy, injection resistance, and load scores.</w:t>
      </w:r>
    </w:p>
    <w:p>
      <w:pPr>
        <w:spacing w:after="0" w:before="200"/>
      </w:pPr>
      <w:r>
        <w:t xml:space="preserve"/>
      </w:r>
    </w:p>
    <w:p>
      <w:r>
        <w:br w:type="page"/>
      </w:r>
    </w:p>
    <w:p>
      <w:pPr>
        <w:pStyle w:val="Heading1"/>
        <w:pBdr>
          <w:bottom w:val="single" w:color="8B5CF6" w:sz="6" w:space="4"/>
        </w:pBdr>
        <w:spacing w:after="120" w:before="360"/>
      </w:pPr>
      <w:r>
        <w:rPr>
          <w:rFonts w:ascii="Calibri" w:cs="Calibri" w:eastAsia="Calibri" w:hAnsi="Calibri"/>
          <w:b/>
          <w:bCs/>
          <w:color w:val="3B0F6B"/>
          <w:sz w:val="34"/>
          <w:szCs w:val="34"/>
        </w:rPr>
        <w:t xml:space="preserve">9.  Known Limitations and Design Trade-offs</w:t>
      </w:r>
    </w:p>
    <w:p>
      <w:pPr>
        <w:spacing w:after="80" w:before="60" w:line="276" w:lineRule="auto"/>
      </w:pPr>
      <w:r>
        <w:rPr>
          <w:rFonts w:ascii="Calibri" w:cs="Calibri" w:eastAsia="Calibri" w:hAnsi="Calibri"/>
          <w:color w:val="3D3D3D"/>
          <w:sz w:val="21"/>
          <w:szCs w:val="21"/>
        </w:rPr>
        <w:t xml:space="preserve">METRON is an MVP. Several architectural decisions were made to keep the initial system simple and shippable. Understanding these trade-offs is important for anyone planning to extend or scale the platform.</w:t>
      </w:r>
    </w:p>
    <w:p>
      <w:pPr>
        <w:spacing w:after="0" w:before="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840"/>
      </w:tblGrid>
      <w:tr>
        <w:tc>
          <w:tcPr>
            <w:tcW w:type="dxa" w:w="22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Area</w:t>
            </w:r>
          </w:p>
        </w:tc>
        <w:tc>
          <w:tcPr>
            <w:tcW w:type="dxa" w:w="26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Current Behaviour</w:t>
            </w:r>
          </w:p>
        </w:tc>
        <w:tc>
          <w:tcPr>
            <w:tcW w:type="dxa" w:w="38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Trade-off / Future Path</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Job persistence</w:t>
            </w:r>
          </w:p>
        </w:tc>
        <w:tc>
          <w:tcPr>
            <w:tcW w:type="dxa" w:w="26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In-memory dict; lost on restart</w:t>
            </w:r>
          </w:p>
        </w:tc>
        <w:tc>
          <w:tcPr>
            <w:tcW w:type="dxa" w:w="38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Replace with Redis or a lightweight DB for durability</w:t>
            </w:r>
          </w:p>
        </w:tc>
      </w:tr>
      <w:tr>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Session storage</w:t>
            </w:r>
          </w:p>
        </w:tc>
        <w:tc>
          <w:tcPr>
            <w:tcW w:type="dxa" w:w="26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sessionStorage in browser; lost on refresh</w:t>
            </w:r>
          </w:p>
        </w:tc>
        <w:tc>
          <w:tcPr>
            <w:tcW w:type="dxa" w:w="38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Add a proper user/project database</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Security ↔ GEval</w:t>
            </w:r>
          </w:p>
        </w:tc>
        <w:tc>
          <w:tcPr>
            <w:tcW w:type="dxa" w:w="26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GEval and BiasMetric skipped for attack prompts</w:t>
            </w:r>
          </w:p>
        </w:tc>
        <w:tc>
          <w:tcPr>
            <w:tcW w:type="dxa" w:w="38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Azure content filter fires on attack text; skip is intentional</w:t>
            </w:r>
          </w:p>
        </w:tc>
      </w:tr>
      <w:tr>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RAG ground truth</w:t>
            </w:r>
          </w:p>
        </w:tc>
        <w:tc>
          <w:tcPr>
            <w:tcW w:type="dxa" w:w="26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User-uploaded context overrides endpoint context</w:t>
            </w:r>
          </w:p>
        </w:tc>
        <w:tc>
          <w:tcPr>
            <w:tcW w:type="dxa" w:w="38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Deliberate: user-provided truth is authoritative</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RAGAS API version</w:t>
            </w:r>
          </w:p>
        </w:tc>
        <w:tc>
          <w:tcPr>
            <w:tcW w:type="dxa" w:w="26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0.4.x API with 0.1.x fallback</w:t>
            </w:r>
          </w:p>
        </w:tc>
        <w:tc>
          <w:tcPr>
            <w:tcW w:type="dxa" w:w="38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Maintain dual-path until RAGAS API stabilises</w:t>
            </w:r>
          </w:p>
        </w:tc>
      </w:tr>
      <w:tr>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Multi-process scaling</w:t>
            </w:r>
          </w:p>
        </w:tc>
        <w:tc>
          <w:tcPr>
            <w:tcW w:type="dxa" w:w="26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Single-process only (in-memory store)</w:t>
            </w:r>
          </w:p>
        </w:tc>
        <w:tc>
          <w:tcPr>
            <w:tcW w:type="dxa" w:w="38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External job queue needed to scale horizontally</w:t>
            </w:r>
          </w:p>
        </w:tc>
      </w:tr>
    </w:tbl>
    <w:p>
      <w:pPr>
        <w:spacing w:after="0" w:before="200"/>
      </w:pPr>
      <w:r>
        <w:t xml:space="preserve"/>
      </w:r>
    </w:p>
    <w:p>
      <w:r>
        <w:br w:type="page"/>
      </w:r>
    </w:p>
    <w:p>
      <w:pPr>
        <w:pStyle w:val="Heading1"/>
        <w:pBdr>
          <w:bottom w:val="single" w:color="8B5CF6" w:sz="6" w:space="4"/>
        </w:pBdr>
        <w:spacing w:after="120" w:before="360"/>
      </w:pPr>
      <w:r>
        <w:rPr>
          <w:rFonts w:ascii="Calibri" w:cs="Calibri" w:eastAsia="Calibri" w:hAnsi="Calibri"/>
          <w:b/>
          <w:bCs/>
          <w:color w:val="3B0F6B"/>
          <w:sz w:val="34"/>
          <w:szCs w:val="34"/>
        </w:rPr>
        <w:t xml:space="preserve">10.  Configuration Reference</w:t>
      </w:r>
    </w:p>
    <w:p>
      <w:pPr>
        <w:pStyle w:val="Heading2"/>
        <w:spacing w:after="80" w:before="240"/>
      </w:pPr>
      <w:r>
        <w:rPr>
          <w:rFonts w:ascii="Calibri" w:cs="Calibri" w:eastAsia="Calibri" w:hAnsi="Calibri"/>
          <w:b/>
          <w:bCs/>
          <w:color w:val="5B21A0"/>
          <w:sz w:val="26"/>
          <w:szCs w:val="26"/>
        </w:rPr>
        <w:t xml:space="preserve">10.1  Required Environment Variables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640"/>
      </w:tblGrid>
      <w:tr>
        <w:tc>
          <w:tcPr>
            <w:tcW w:type="dxa" w:w="30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Variable</w:t>
            </w:r>
          </w:p>
        </w:tc>
        <w:tc>
          <w:tcPr>
            <w:tcW w:type="dxa" w:w="20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Provider / Component</w:t>
            </w:r>
          </w:p>
        </w:tc>
        <w:tc>
          <w:tcPr>
            <w:tcW w:type="dxa" w:w="36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20"/>
            </w:tcMar>
          </w:tcPr>
          <w:p>
            <w:r>
              <w:rPr>
                <w:rFonts w:ascii="Calibri" w:cs="Calibri" w:eastAsia="Calibri" w:hAnsi="Calibri"/>
                <w:b/>
                <w:bCs/>
                <w:color w:val="3B0F6B"/>
                <w:sz w:val="20"/>
                <w:szCs w:val="20"/>
              </w:rPr>
              <w:t xml:space="preserve">Notes</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NVIDIA_NIM_API_KEY</w:t>
            </w:r>
          </w:p>
        </w:tc>
        <w:tc>
          <w:tcPr>
            <w:tcW w:type="dxa" w:w="2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NVIDIA NIM</w:t>
            </w:r>
          </w:p>
        </w:tc>
        <w:tc>
          <w:tcPr>
            <w:tcW w:type="dxa" w:w="36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Default primary LLM provider</w:t>
            </w:r>
          </w:p>
        </w:tc>
      </w:tr>
      <w:tr>
        <w:tc>
          <w:tcPr>
            <w:tcW w:type="dxa" w:w="3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AZURE_OPENAI_API_KEY</w:t>
            </w:r>
          </w:p>
        </w:tc>
        <w:tc>
          <w:tcPr>
            <w:tcW w:type="dxa" w:w="2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Azure OpenAI</w:t>
            </w:r>
          </w:p>
        </w:tc>
        <w:tc>
          <w:tcPr>
            <w:tcW w:type="dxa" w:w="36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Required for GPT-4o judge and RAGAS</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AZURE_OPENAI_ENDPOINT</w:t>
            </w:r>
          </w:p>
        </w:tc>
        <w:tc>
          <w:tcPr>
            <w:tcW w:type="dxa" w:w="2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Azure OpenAI</w:t>
            </w:r>
          </w:p>
        </w:tc>
        <w:tc>
          <w:tcPr>
            <w:tcW w:type="dxa" w:w="36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Full endpoint URL</w:t>
            </w:r>
          </w:p>
        </w:tc>
      </w:tr>
      <w:tr>
        <w:tc>
          <w:tcPr>
            <w:tcW w:type="dxa" w:w="3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AZURE_API_VERSION</w:t>
            </w:r>
          </w:p>
        </w:tc>
        <w:tc>
          <w:tcPr>
            <w:tcW w:type="dxa" w:w="2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Azure OpenAI</w:t>
            </w:r>
          </w:p>
        </w:tc>
        <w:tc>
          <w:tcPr>
            <w:tcW w:type="dxa" w:w="36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Default: 2025-01-01-preview</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AZURE_OPENAI_DEPLOYMENT_NAME</w:t>
            </w:r>
          </w:p>
        </w:tc>
        <w:tc>
          <w:tcPr>
            <w:tcW w:type="dxa" w:w="2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RAGAS</w:t>
            </w:r>
          </w:p>
        </w:tc>
        <w:tc>
          <w:tcPr>
            <w:tcW w:type="dxa" w:w="36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Default: gpt-4o</w:t>
            </w:r>
          </w:p>
        </w:tc>
      </w:tr>
      <w:tr>
        <w:tc>
          <w:tcPr>
            <w:tcW w:type="dxa" w:w="3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GROQ_API_KEY</w:t>
            </w:r>
          </w:p>
        </w:tc>
        <w:tc>
          <w:tcPr>
            <w:tcW w:type="dxa" w:w="2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Groq</w:t>
            </w:r>
          </w:p>
        </w:tc>
        <w:tc>
          <w:tcPr>
            <w:tcW w:type="dxa" w:w="36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color w:val="3D3D3D"/>
                <w:sz w:val="20"/>
                <w:szCs w:val="20"/>
              </w:rPr>
              <w:t xml:space="preserve">Fallback provider</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GEMINI_API_KEY</w:t>
            </w:r>
          </w:p>
        </w:tc>
        <w:tc>
          <w:tcPr>
            <w:tcW w:type="dxa" w:w="2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Google Gemini</w:t>
            </w:r>
          </w:p>
        </w:tc>
        <w:tc>
          <w:tcPr>
            <w:tcW w:type="dxa" w:w="36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color w:val="3D3D3D"/>
                <w:sz w:val="20"/>
                <w:szCs w:val="20"/>
              </w:rPr>
              <w:t xml:space="preserve">Supplemental provider</w:t>
            </w:r>
          </w:p>
        </w:tc>
      </w:tr>
    </w:tbl>
    <w:p>
      <w:pPr>
        <w:spacing w:after="0" w:before="160"/>
      </w:pPr>
      <w:r>
        <w:t xml:space="preserve"/>
      </w:r>
    </w:p>
    <w:p>
      <w:pPr>
        <w:pStyle w:val="Heading2"/>
        <w:spacing w:after="80" w:before="240"/>
      </w:pPr>
      <w:r>
        <w:rPr>
          <w:rFonts w:ascii="Calibri" w:cs="Calibri" w:eastAsia="Calibri" w:hAnsi="Calibri"/>
          <w:b/>
          <w:bCs/>
          <w:color w:val="5B21A0"/>
          <w:sz w:val="26"/>
          <w:szCs w:val="26"/>
        </w:rPr>
        <w:t xml:space="preserve">10.2  Starting the Services</w:t>
      </w:r>
    </w:p>
    <w:p>
      <w:pPr>
        <w:spacing w:after="80" w:before="60" w:line="276" w:lineRule="auto"/>
      </w:pPr>
      <w:r>
        <w:rPr>
          <w:rFonts w:ascii="Calibri" w:cs="Calibri" w:eastAsia="Calibri" w:hAnsi="Calibri"/>
          <w:color w:val="3D3D3D"/>
          <w:sz w:val="21"/>
          <w:szCs w:val="21"/>
        </w:rPr>
        <w:t xml:space="preserve">Backend — from the metron-unified directory:</w:t>
      </w:r>
    </w:p>
    <w:p>
      <w:pPr>
        <w:spacing w:after="0" w:before="40"/>
      </w:pPr>
      <w:r>
        <w:t xml:space="preserve"/>
      </w:r>
    </w:p>
    <w:p>
      <w:pPr>
        <w:pBdr>
          <w:left w:val="single" w:color="8B5CF6" w:sz="12" w:space="6"/>
        </w:pBdr>
        <w:shd w:fill="F9F3FE" w:val="clear"/>
        <w:spacing w:after="60" w:before="60"/>
        <w:ind w:left="360"/>
      </w:pPr>
      <w:r>
        <w:rPr>
          <w:rFonts w:ascii="Courier New" w:cs="Courier New" w:eastAsia="Courier New" w:hAnsi="Courier New"/>
          <w:color w:val="1A1A1A"/>
          <w:sz w:val="19"/>
          <w:szCs w:val="19"/>
        </w:rPr>
        <w:t xml:space="preserve">pip install -r requirements.txt</w:t>
      </w:r>
      <w:r>
        <w:rPr>
          <w:rFonts w:ascii="Courier New" w:cs="Courier New" w:eastAsia="Courier New" w:hAnsi="Courier New"/>
          <w:sz w:val="19"/>
          <w:szCs w:val="19"/>
        </w:rPr>
        <w:t xml:space="preserve">    </w:t>
      </w:r>
    </w:p>
    <w:p>
      <w:pPr>
        <w:pBdr>
          <w:left w:val="single" w:color="8B5CF6" w:sz="12" w:space="6"/>
        </w:pBdr>
        <w:shd w:fill="F9F3FE" w:val="clear"/>
        <w:spacing w:after="60" w:before="0"/>
        <w:ind w:left="360"/>
      </w:pPr>
      <w:r>
        <w:rPr>
          <w:rFonts w:ascii="Courier New" w:cs="Courier New" w:eastAsia="Courier New" w:hAnsi="Courier New"/>
          <w:color w:val="1A1A1A"/>
          <w:sz w:val="19"/>
          <w:szCs w:val="19"/>
        </w:rPr>
        <w:t xml:space="preserve">python -m spacy download en_core_web_lg</w:t>
      </w:r>
    </w:p>
    <w:p>
      <w:pPr>
        <w:pBdr>
          <w:left w:val="single" w:color="8B5CF6" w:sz="12" w:space="6"/>
        </w:pBdr>
        <w:shd w:fill="F9F3FE" w:val="clear"/>
        <w:spacing w:after="80" w:before="0"/>
        <w:ind w:left="360"/>
      </w:pPr>
      <w:r>
        <w:rPr>
          <w:rFonts w:ascii="Courier New" w:cs="Courier New" w:eastAsia="Courier New" w:hAnsi="Courier New"/>
          <w:color w:val="1A1A1A"/>
          <w:sz w:val="19"/>
          <w:szCs w:val="19"/>
        </w:rPr>
        <w:t xml:space="preserve">uvicorn fastapi_server:app --host 0.0.0.0 --port 8000 --reload</w:t>
      </w:r>
    </w:p>
    <w:p>
      <w:pPr>
        <w:spacing w:after="0" w:before="80"/>
      </w:pPr>
      <w:r>
        <w:t xml:space="preserve"/>
      </w:r>
    </w:p>
    <w:p>
      <w:pPr>
        <w:spacing w:after="80" w:before="60" w:line="276" w:lineRule="auto"/>
      </w:pPr>
      <w:r>
        <w:rPr>
          <w:rFonts w:ascii="Calibri" w:cs="Calibri" w:eastAsia="Calibri" w:hAnsi="Calibri"/>
          <w:color w:val="3D3D3D"/>
          <w:sz w:val="21"/>
          <w:szCs w:val="21"/>
        </w:rPr>
        <w:t xml:space="preserve">Frontend — from the metron-ai directory:</w:t>
      </w:r>
    </w:p>
    <w:p>
      <w:pPr>
        <w:spacing w:after="0" w:before="40"/>
      </w:pPr>
      <w:r>
        <w:t xml:space="preserve"/>
      </w:r>
    </w:p>
    <w:p>
      <w:pPr>
        <w:pBdr>
          <w:left w:val="single" w:color="8B5CF6" w:sz="12" w:space="6"/>
        </w:pBdr>
        <w:shd w:fill="F9F3FE" w:val="clear"/>
        <w:spacing w:after="0" w:before="60"/>
        <w:ind w:left="360"/>
      </w:pPr>
      <w:r>
        <w:rPr>
          <w:rFonts w:ascii="Courier New" w:cs="Courier New" w:eastAsia="Courier New" w:hAnsi="Courier New"/>
          <w:color w:val="1A1A1A"/>
          <w:sz w:val="19"/>
          <w:szCs w:val="19"/>
        </w:rPr>
        <w:t xml:space="preserve">npm install</w:t>
      </w:r>
    </w:p>
    <w:p>
      <w:pPr>
        <w:pBdr>
          <w:left w:val="single" w:color="8B5CF6" w:sz="12" w:space="6"/>
        </w:pBdr>
        <w:shd w:fill="F9F3FE" w:val="clear"/>
        <w:spacing w:after="80" w:before="0"/>
        <w:ind w:left="360"/>
      </w:pPr>
      <w:r>
        <w:rPr>
          <w:rFonts w:ascii="Courier New" w:cs="Courier New" w:eastAsia="Courier New" w:hAnsi="Courier New"/>
          <w:color w:val="1A1A1A"/>
          <w:sz w:val="19"/>
          <w:szCs w:val="19"/>
        </w:rPr>
        <w:t xml:space="preserve">npm run dev   # runs on localhost:3000</w:t>
      </w:r>
    </w:p>
    <w:p>
      <w:pPr>
        <w:spacing w:after="0" w:before="200"/>
      </w:pPr>
      <w:r>
        <w:t xml:space="preserve"/>
      </w:r>
    </w:p>
    <w:p>
      <w:r>
        <w:br w:type="page"/>
      </w:r>
    </w:p>
    <w:p>
      <w:pPr>
        <w:pStyle w:val="Heading1"/>
        <w:pBdr>
          <w:bottom w:val="single" w:color="8B5CF6" w:sz="6" w:space="4"/>
        </w:pBdr>
        <w:spacing w:after="120" w:before="360"/>
      </w:pPr>
      <w:r>
        <w:rPr>
          <w:rFonts w:ascii="Calibri" w:cs="Calibri" w:eastAsia="Calibri" w:hAnsi="Calibri"/>
          <w:b/>
          <w:bCs/>
          <w:color w:val="3B0F6B"/>
          <w:sz w:val="34"/>
          <w:szCs w:val="34"/>
        </w:rPr>
        <w:t xml:space="preserve">11.  End-to-End Request Lifecycle</w:t>
      </w:r>
    </w:p>
    <w:p>
      <w:pPr>
        <w:spacing w:after="80" w:before="60" w:line="276" w:lineRule="auto"/>
      </w:pPr>
      <w:r>
        <w:rPr>
          <w:rFonts w:ascii="Calibri" w:cs="Calibri" w:eastAsia="Calibri" w:hAnsi="Calibri"/>
          <w:color w:val="3D3D3D"/>
          <w:sz w:val="21"/>
          <w:szCs w:val="21"/>
        </w:rPr>
        <w:t xml:space="preserve">The following describes what happens, step by step, from the moment a user submits a test configuration to the moment they see their results.</w:t>
      </w:r>
    </w:p>
    <w:p>
      <w:pPr>
        <w:spacing w:after="0" w:before="120"/>
      </w:pPr>
      <w:r>
        <w:t xml:space="preserve"/>
      </w:r>
    </w:p>
    <w:p>
      <w:pPr>
        <w:pStyle w:val="ListParagraph"/>
        <w:numPr>
          <w:ilvl w:val="0"/>
          <w:numId w:val="3"/>
        </w:numPr>
        <w:spacing w:after="40" w:before="40"/>
      </w:pPr>
      <w:r>
        <w:rPr>
          <w:rFonts w:ascii="Calibri" w:cs="Calibri" w:eastAsia="Calibri" w:hAnsi="Calibri"/>
          <w:color w:val="3D3D3D"/>
          <w:sz w:val="21"/>
          <w:szCs w:val="21"/>
        </w:rPr>
        <w:t xml:space="preserve">User fills in the configuration form at /configure. The form captures the target AI endpoint URL, domain, application type, number of personas, and any optional files (application document, ground truth CSV for RAG). The configuration is saved to sessionStorage.</w:t>
      </w:r>
    </w:p>
    <w:p>
      <w:pPr>
        <w:pStyle w:val="ListParagraph"/>
        <w:numPr>
          <w:ilvl w:val="0"/>
          <w:numId w:val="3"/>
        </w:numPr>
        <w:spacing w:after="40" w:before="40"/>
      </w:pPr>
      <w:r>
        <w:rPr>
          <w:rFonts w:ascii="Calibri" w:cs="Calibri" w:eastAsia="Calibri" w:hAnsi="Calibri"/>
          <w:color w:val="3D3D3D"/>
          <w:sz w:val="21"/>
          <w:szCs w:val="21"/>
        </w:rPr>
        <w:t xml:space="preserve">User navigates to /preview, which calls POST /api/run with the configuration as a JSON payload and any uploaded files as multipart form data.</w:t>
      </w:r>
    </w:p>
    <w:p>
      <w:pPr>
        <w:pStyle w:val="ListParagraph"/>
        <w:numPr>
          <w:ilvl w:val="0"/>
          <w:numId w:val="3"/>
        </w:numPr>
        <w:spacing w:after="40" w:before="40"/>
      </w:pPr>
      <w:r>
        <w:rPr>
          <w:rFonts w:ascii="Calibri" w:cs="Calibri" w:eastAsia="Calibri" w:hAnsi="Calibri"/>
          <w:color w:val="3D3D3D"/>
          <w:sz w:val="21"/>
          <w:szCs w:val="21"/>
        </w:rPr>
        <w:t xml:space="preserve">The FastAPI backend assigns a unique run_id, stores an initial job record in the in-memory store, starts the 8-stage pipeline as a background task, and immediately returns the run_id to the frontend.</w:t>
      </w:r>
    </w:p>
    <w:p>
      <w:pPr>
        <w:pStyle w:val="ListParagraph"/>
        <w:numPr>
          <w:ilvl w:val="0"/>
          <w:numId w:val="3"/>
        </w:numPr>
        <w:spacing w:after="40" w:before="40"/>
      </w:pPr>
      <w:r>
        <w:rPr>
          <w:rFonts w:ascii="Calibri" w:cs="Calibri" w:eastAsia="Calibri" w:hAnsi="Calibri"/>
          <w:color w:val="3D3D3D"/>
          <w:sz w:val="21"/>
          <w:szCs w:val="21"/>
        </w:rPr>
        <w:t xml:space="preserve">The frontend moves to the /run page and begins polling GET /api/job/{run_id}/status every 2 500 milliseconds, rendering each log event as a live card.</w:t>
      </w:r>
    </w:p>
    <w:p>
      <w:pPr>
        <w:pStyle w:val="ListParagraph"/>
        <w:numPr>
          <w:ilvl w:val="0"/>
          <w:numId w:val="3"/>
        </w:numPr>
        <w:spacing w:after="40" w:before="40"/>
      </w:pPr>
      <w:r>
        <w:rPr>
          <w:rFonts w:ascii="Calibri" w:cs="Calibri" w:eastAsia="Calibri" w:hAnsi="Calibri"/>
          <w:color w:val="3D3D3D"/>
          <w:sz w:val="21"/>
          <w:szCs w:val="21"/>
        </w:rPr>
        <w:t xml:space="preserve">The pipeline runs: Stage 0 parses the document into an AppProfile; Stage 1 generates personas via the fishbone matrix; Stage 2 generates functional prompts, security prompts, and quality criteria; Stage 3 runs all conversations against the real target endpoint; Stage 4 evaluates all conversations in parallel across six tracks; Stage 5 aggregates results into a domain-weighted health score; Stage 6 optionally runs a feedback loop; Stage 7 generates the HTML report and serialises the final JSON.</w:t>
      </w:r>
    </w:p>
    <w:p>
      <w:pPr>
        <w:pStyle w:val="ListParagraph"/>
        <w:numPr>
          <w:ilvl w:val="0"/>
          <w:numId w:val="3"/>
        </w:numPr>
        <w:spacing w:after="40" w:before="40"/>
      </w:pPr>
      <w:r>
        <w:rPr>
          <w:rFonts w:ascii="Calibri" w:cs="Calibri" w:eastAsia="Calibri" w:hAnsi="Calibri"/>
          <w:color w:val="3D3D3D"/>
          <w:sz w:val="21"/>
          <w:szCs w:val="21"/>
        </w:rPr>
        <w:t xml:space="preserve">When the status transitions to 'completed', the frontend automatically navigates to /results and fetches GET /api/job/{run_id}/results to render the full dashboard.</w:t>
      </w:r>
    </w:p>
    <w:p>
      <w:pPr>
        <w:spacing w:after="0" w:before="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B5CF6" w:sz="8"/>
              <w:left w:val="single" w:color="8B5CF6" w:sz="18"/>
              <w:bottom w:val="single" w:color="D8B8F0" w:sz="2"/>
              <w:right w:val="single" w:color="D8B8F0" w:sz="2"/>
            </w:tcBorders>
            <w:shd w:fill="F9F3FE" w:val="clear"/>
            <w:tcMar>
              <w:top w:type="dxa" w:w="120"/>
              <w:left w:type="dxa" w:w="200"/>
              <w:bottom w:type="dxa" w:w="120"/>
              <w:right w:type="dxa" w:w="120"/>
            </w:tcMar>
          </w:tcPr>
          <w:p>
            <w:pPr>
              <w:spacing w:after="40" w:before="0"/>
            </w:pPr>
            <w:r>
              <w:rPr>
                <w:rFonts w:ascii="Calibri" w:cs="Calibri" w:eastAsia="Calibri" w:hAnsi="Calibri"/>
                <w:b/>
                <w:bCs/>
                <w:color w:val="3B0F6B"/>
                <w:sz w:val="20"/>
                <w:szCs w:val="20"/>
              </w:rPr>
              <w:t xml:space="preserve">Typical Run Duration</w:t>
            </w:r>
          </w:p>
          <w:p>
            <w:pPr>
              <w:spacing w:after="0" w:before="0"/>
            </w:pPr>
            <w:r>
              <w:rPr>
                <w:rFonts w:ascii="Calibri" w:cs="Calibri" w:eastAsia="Calibri" w:hAnsi="Calibri"/>
                <w:color w:val="3D3D3D"/>
                <w:sz w:val="20"/>
                <w:szCs w:val="20"/>
              </w:rPr>
              <w:t xml:space="preserve">3–6 minutes for a standard run with 3 personas on the Groq provider. Stages 0–2 take 30–60 seconds (LLM generation); Stage 3 takes 60–120 seconds (conversations); Stage 4 takes 60–180 seconds (evaluation tool calls); Stages 5–7 take under 10 seconds.</w:t>
            </w:r>
          </w:p>
        </w:tc>
      </w:tr>
    </w:tbl>
    <w:p>
      <w:pPr>
        <w:spacing w:after="0" w:before="200"/>
      </w:pPr>
      <w:r>
        <w:t xml:space="preserve"/>
      </w:r>
    </w:p>
    <w:p>
      <w:r>
        <w:br w:type="page"/>
      </w:r>
    </w:p>
    <w:p>
      <w:pPr>
        <w:pStyle w:val="Heading1"/>
        <w:pBdr>
          <w:bottom w:val="single" w:color="8B5CF6" w:sz="6" w:space="4"/>
        </w:pBdr>
        <w:spacing w:after="120" w:before="360"/>
      </w:pPr>
      <w:r>
        <w:rPr>
          <w:rFonts w:ascii="Calibri" w:cs="Calibri" w:eastAsia="Calibri" w:hAnsi="Calibri"/>
          <w:b/>
          <w:bCs/>
          <w:color w:val="3B0F6B"/>
          <w:sz w:val="34"/>
          <w:szCs w:val="34"/>
        </w:rPr>
        <w:t xml:space="preserve">12.  Glossary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6240"/>
      </w:tblGrid>
      <w:tr>
        <w:tc>
          <w:tcPr>
            <w:tcW w:type="dxa" w:w="2400"/>
            <w:tcBorders>
              <w:top w:val="single" w:color="D8B8F0" w:sz="4"/>
              <w:left w:val="single" w:color="D8B8F0" w:sz="4"/>
              <w:bottom w:val="single" w:color="D8B8F0" w:sz="4"/>
              <w:right w:val="single" w:color="D8B8F0" w:sz="4"/>
            </w:tcBorders>
            <w:shd w:fill="EFE3FA" w:val="clear"/>
            <w:tcMar>
              <w:top w:type="dxa" w:w="80"/>
              <w:left w:type="dxa" w:w="120"/>
              <w:bottom w:type="dxa" w:w="80"/>
              <w:right w:type="dxa" w:w="120"/>
            </w:tcMar>
          </w:tcPr>
          <w:p>
            <w:r>
              <w:rPr>
                <w:rFonts w:ascii="Calibri" w:cs="Calibri" w:eastAsia="Calibri" w:hAnsi="Calibri"/>
                <w:b/>
                <w:bCs/>
                <w:color w:val="3B0F6B"/>
                <w:sz w:val="20"/>
                <w:szCs w:val="20"/>
              </w:rPr>
              <w:t xml:space="preserve">Term</w:t>
            </w:r>
          </w:p>
        </w:tc>
        <w:tc>
          <w:tcPr>
            <w:tcW w:type="dxa" w:w="6240"/>
            <w:tcBorders>
              <w:top w:val="single" w:color="D8B8F0" w:sz="4"/>
              <w:left w:val="single" w:color="D8B8F0" w:sz="4"/>
              <w:bottom w:val="single" w:color="D8B8F0" w:sz="4"/>
              <w:right w:val="single" w:color="D8B8F0" w:sz="4"/>
            </w:tcBorders>
            <w:shd w:fill="EFE3FA" w:val="clear"/>
            <w:tcMar>
              <w:top w:type="dxa" w:w="80"/>
              <w:left w:type="dxa" w:w="120"/>
              <w:bottom w:type="dxa" w:w="80"/>
              <w:right w:type="dxa" w:w="120"/>
            </w:tcMar>
          </w:tcPr>
          <w:p>
            <w:r>
              <w:rPr>
                <w:rFonts w:ascii="Calibri" w:cs="Calibri" w:eastAsia="Calibri" w:hAnsi="Calibri"/>
                <w:b/>
                <w:bCs/>
                <w:color w:val="3B0F6B"/>
                <w:sz w:val="20"/>
                <w:szCs w:val="20"/>
              </w:rPr>
              <w:t xml:space="preserve">Meaning</w:t>
            </w:r>
          </w:p>
        </w:tc>
      </w:tr>
      <w:tr>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AppProfile</w:t>
            </w:r>
          </w:p>
        </w:tc>
        <w:tc>
          <w:tcPr>
            <w:tcW w:type="dxa" w:w="62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Structured metadata extracted from the user's application document describing domain, user types, use cases, and boundaries.</w:t>
            </w:r>
          </w:p>
        </w:tc>
      </w:tr>
      <w:tr>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Fishbone Matrix</w:t>
            </w:r>
          </w:p>
        </w:tc>
        <w:tc>
          <w:tcPr>
            <w:tcW w:type="dxa" w:w="62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A five-dimensional coverage grid (user type × expertise × emotional state × intent × goal) used to generate a balanced set of test personas.</w:t>
            </w:r>
          </w:p>
        </w:tc>
      </w:tr>
      <w:tr>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Persona</w:t>
            </w:r>
          </w:p>
        </w:tc>
        <w:tc>
          <w:tcPr>
            <w:tcW w:type="dxa" w:w="62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A simulated user with a defined background, goal, communication style, and behavioural parameters.</w:t>
            </w:r>
          </w:p>
        </w:tc>
      </w:tr>
      <w:tr>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MetricResult</w:t>
            </w:r>
          </w:p>
        </w:tc>
        <w:tc>
          <w:tcPr>
            <w:tcW w:type="dxa" w:w="62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The atomic evaluation record — one row per metric per conversation, containing score, pass/fail, and reason.</w:t>
            </w:r>
          </w:p>
        </w:tc>
      </w:tr>
      <w:tr>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Health Score</w:t>
            </w:r>
          </w:p>
        </w:tc>
        <w:tc>
          <w:tcPr>
            <w:tcW w:type="dxa" w:w="62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A 0–1 composite score computed as a domain-weighted average of all evaluation class averages. Pass threshold is 0.70.</w:t>
            </w:r>
          </w:p>
        </w:tc>
      </w:tr>
      <w:tr>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RAG</w:t>
            </w:r>
          </w:p>
        </w:tc>
        <w:tc>
          <w:tcPr>
            <w:tcW w:type="dxa" w:w="62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Retrieval-Augmented Generation — an AI pattern where the model retrieves relevant documents before answering.</w:t>
            </w:r>
          </w:p>
        </w:tc>
      </w:tr>
      <w:tr>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GEval</w:t>
            </w:r>
          </w:p>
        </w:tc>
        <w:tc>
          <w:tcPr>
            <w:tcW w:type="dxa" w:w="62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A DeepEval evaluation mode where an LLM judges responses against custom domain-specific criteria.</w:t>
            </w:r>
          </w:p>
        </w:tc>
      </w:tr>
      <w:tr>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RAGAS</w:t>
            </w:r>
          </w:p>
        </w:tc>
        <w:tc>
          <w:tcPr>
            <w:tcW w:type="dxa" w:w="62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An evaluation framework specialised for RAG systems, measuring faithfulness, recall, and precision of retrieved context.</w:t>
            </w:r>
          </w:p>
        </w:tc>
      </w:tr>
      <w:tr>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Semaphore</w:t>
            </w:r>
          </w:p>
        </w:tc>
        <w:tc>
          <w:tcPr>
            <w:tcW w:type="dxa" w:w="62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An asyncio concurrency control that limits how many coroutines run simultaneously (e.g., semaphore=3 for conversations).</w:t>
            </w:r>
          </w:p>
        </w:tc>
      </w:tr>
      <w:tr>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litellm</w:t>
            </w:r>
          </w:p>
        </w:tc>
        <w:tc>
          <w:tcPr>
            <w:tcW w:type="dxa" w:w="62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A Python library providing a unified interface to multiple LLM providers behind a single API call.</w:t>
            </w:r>
          </w:p>
        </w:tc>
      </w:tr>
      <w:tr>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Locust</w:t>
            </w:r>
          </w:p>
        </w:tc>
        <w:tc>
          <w:tcPr>
            <w:tcW w:type="dxa" w:w="62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An open-source load testing framework used in Stage 4e to simulate concurrent user traffic.</w:t>
            </w:r>
          </w:p>
        </w:tc>
      </w:tr>
      <w:tr>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Presidio</w:t>
            </w:r>
          </w:p>
        </w:tc>
        <w:tc>
          <w:tcPr>
            <w:tcW w:type="dxa" w:w="62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Microsoft's open-source PII detection library, used to scan AI responses for sensitive entity types.</w:t>
            </w:r>
          </w:p>
        </w:tc>
      </w:tr>
      <w:tr>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Detoxify</w:t>
            </w:r>
          </w:p>
        </w:tc>
        <w:tc>
          <w:tcPr>
            <w:tcW w:type="dxa" w:w="62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A BERT-based toxicity classifier that scores text on dimensions including toxicity, obscenity, and threat.</w:t>
            </w:r>
          </w:p>
        </w:tc>
      </w:tr>
      <w:tr>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LLM Guard</w:t>
            </w:r>
          </w:p>
        </w:tc>
        <w:tc>
          <w:tcPr>
            <w:tcW w:type="dxa" w:w="62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20"/>
            </w:tcMar>
          </w:tcPr>
          <w:p>
            <w:r>
              <w:rPr>
                <w:rFonts w:ascii="Calibri" w:cs="Calibri" w:eastAsia="Calibri" w:hAnsi="Calibri"/>
                <w:b w:val="false"/>
                <w:bCs w:val="false"/>
                <w:color w:val="3D3D3D"/>
                <w:sz w:val="20"/>
                <w:szCs w:val="20"/>
              </w:rPr>
              <w:t xml:space="preserve">A security library using a DeBERTa model to detect prompt injection attempts in AI conversations.</w:t>
            </w:r>
          </w:p>
        </w:tc>
      </w:tr>
    </w:tbl>
    <w:p>
      <w:pPr>
        <w:spacing w:after="0" w:before="20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B8F0" w:sz="4" w:space="4"/>
      </w:pBdr>
      <w:spacing w:after="0" w:before="80"/>
    </w:pPr>
    <w:r>
      <w:rPr>
        <w:rFonts w:ascii="Calibri" w:cs="Calibri" w:eastAsia="Calibri" w:hAnsi="Calibri"/>
        <w:color w:val="6B6B6B"/>
        <w:sz w:val="18"/>
        <w:szCs w:val="18"/>
      </w:rPr>
      <w:t xml:space="preserve">© 2026 METRON Team  ·  Internal Review Document  ·  Page </w:t>
    </w:r>
    <w:r>
      <w:rPr>
        <w:rFonts w:ascii="Calibri" w:cs="Calibri" w:eastAsia="Calibri" w:hAnsi="Calibri"/>
        <w:color w:val="6B6B6B"/>
        <w:sz w:val="18"/>
        <w:szCs w:val="18"/>
      </w:rPr>
      <w:fldChar w:fldCharType="begin"/>
      <w:instrText xml:space="preserve">PAGE</w:instrText>
      <w:fldChar w:fldCharType="separate"/>
      <w:fldChar w:fldCharType="end"/>
    </w:r>
    <w:r>
      <w:rPr>
        <w:rFonts w:ascii="Calibri" w:cs="Calibri" w:eastAsia="Calibri" w:hAnsi="Calibri"/>
        <w:color w:val="6B6B6B"/>
        <w:sz w:val="18"/>
        <w:szCs w:val="18"/>
      </w:rPr>
      <w:t xml:space="preserve"> of </w:t>
    </w:r>
    <w:r>
      <w:rPr>
        <w:rFonts w:ascii="Calibri" w:cs="Calibri" w:eastAsia="Calibri" w:hAnsi="Calibri"/>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B8F0" w:sz="4" w:space="4"/>
      </w:pBdr>
      <w:spacing w:after="80" w:before="0"/>
    </w:pPr>
    <w:r>
      <w:rPr>
        <w:rFonts w:ascii="Calibri" w:cs="Calibri" w:eastAsia="Calibri" w:hAnsi="Calibri"/>
        <w:color w:val="6B6B6B"/>
        <w:sz w:val="18"/>
        <w:szCs w:val="18"/>
      </w:rPr>
      <w:t xml:space="preserve">METRON — Technical Documentation</w:t>
    </w:r>
    <w:r>
      <w:rPr>
        <w:rFonts w:ascii="Calibri" w:cs="Calibri" w:eastAsia="Calibri" w:hAnsi="Calibri"/>
        <w:i/>
        <w:iCs/>
        <w:color w:val="6B6B6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spacing w:after="80" w:before="80"/>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3D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3B0F6B"/>
      <w:sz w:val="34"/>
      <w:szCs w:val="34"/>
    </w:rPr>
  </w:style>
  <w:style w:type="paragraph" w:styleId="Heading2">
    <w:name w:val="Heading 2"/>
    <w:basedOn w:val="Normal"/>
    <w:next w:val="Normal"/>
    <w:qFormat/>
    <w:pPr>
      <w:spacing w:after="80" w:before="240"/>
      <w:outlineLvl w:val="1"/>
    </w:pPr>
    <w:rPr>
      <w:rFonts w:ascii="Calibri" w:cs="Calibri" w:eastAsia="Calibri" w:hAnsi="Calibri"/>
      <w:b/>
      <w:bCs/>
      <w:color w:val="5B21A0"/>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3B0F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9d66cec4a9beb674fde4b02c143ea2688b71c5.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2026-04-10T20:05:55.799Z</dcterms:created>
  <dcterms:modified xsi:type="dcterms:W3CDTF">2026-04-10T20:05:55.799Z</dcterms:modified>
</cp:coreProperties>
</file>

<file path=docProps/custom.xml><?xml version="1.0" encoding="utf-8"?>
<Properties xmlns="http://schemas.openxmlformats.org/officeDocument/2006/custom-properties" xmlns:vt="http://schemas.openxmlformats.org/officeDocument/2006/docPropsVTypes"/>
</file>