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1B365D"/>
          <w:sz w:val="40"/>
        </w:rPr>
        <w:t>Superstore Revenue &amp; Stocking Analysis Report</w:t>
      </w:r>
    </w:p>
    <w:p>
      <w:pPr>
        <w:spacing w:before="0" w:after="240"/>
      </w:pPr>
      <w:r>
        <w:rPr>
          <w:i/>
          <w:color w:val="5A6B7C"/>
          <w:sz w:val="22"/>
        </w:rPr>
        <w:t>Prepared for: Head of Supply Chain &amp; Chief Financial Officer</w:t>
        <w:br/>
        <w:t>Operational Efficiency &amp; Revenue Optimization Initiative</w:t>
      </w:r>
    </w:p>
    <w:p>
      <w:pPr>
        <w:keepNext/>
        <w:spacing w:before="200" w:after="60"/>
      </w:pPr>
      <w:r>
        <w:rPr>
          <w:b/>
          <w:color w:val="1B365D"/>
          <w:sz w:val="26"/>
        </w:rPr>
        <w:t>Executive Summary</w:t>
      </w:r>
    </w:p>
    <w:p>
      <w:pPr>
        <w:spacing w:before="0" w:after="80" w:line="276" w:lineRule="auto"/>
      </w:pPr>
      <w:r>
        <w:t>This report delivers a strategic evaluation of historical sales performance, forward-looking demand expectations, and inventory classification. Designed to guide inventory stocking levels and financial planning, the analysis focuses on minimizing capital locked up in stagnant inventory while preventing costly out-of-stock situations. By shifting from reactive ordering to a proactive strategy, the Superstore can align procurement budgets directly with expected sales trends, manage regional operational risks, and maximize overall margins.</w:t>
      </w:r>
    </w:p>
    <w:p>
      <w:pPr>
        <w:keepNext/>
        <w:spacing w:before="200" w:after="60"/>
      </w:pPr>
      <w:r>
        <w:rPr>
          <w:b/>
          <w:color w:val="1B365D"/>
          <w:sz w:val="26"/>
        </w:rPr>
        <w:t>Key Findings from Exploratory Data Analysis (EDA)</w:t>
      </w:r>
    </w:p>
    <w:p>
      <w:pPr>
        <w:spacing w:before="0" w:after="80" w:line="276" w:lineRule="auto"/>
      </w:pPr>
      <w:r>
        <w:t>Historical transaction analysis highlights three clear patterns in our current sales operations:</w:t>
      </w:r>
    </w:p>
    <w:p>
      <w:pPr>
        <w:pStyle w:val="ListBullet"/>
        <w:spacing w:before="0" w:after="60" w:line="276" w:lineRule="auto"/>
      </w:pPr>
      <w:r>
        <w:rPr>
          <w:b/>
        </w:rPr>
        <w:t xml:space="preserve">Geographic Performance Spikes: </w:t>
      </w:r>
      <w:r>
        <w:t>Sales volume is highly uneven across different regions. A small number of major hub cities generate the vast majority of transactions, proving that uniform nationwide inventory targets lead to waste in slower areas and product shortages in high-demand markets.</w:t>
      </w:r>
    </w:p>
    <w:p>
      <w:pPr>
        <w:pStyle w:val="ListBullet"/>
        <w:spacing w:before="0" w:after="60" w:line="276" w:lineRule="auto"/>
      </w:pPr>
      <w:r>
        <w:rPr>
          <w:b/>
        </w:rPr>
        <w:t xml:space="preserve">Strong Seasonal Volatility: </w:t>
      </w:r>
      <w:r>
        <w:t>Our operations experience predictable, sharp increases in order volume every year. Sales consistently spike during late Q3 (September) and mid-Q4 (November/December), matching back-to-school setups and standard corporate fiscal year-end purchasing cycles.</w:t>
      </w:r>
    </w:p>
    <w:p>
      <w:pPr>
        <w:pStyle w:val="ListBullet"/>
        <w:spacing w:before="0" w:after="60" w:line="276" w:lineRule="auto"/>
      </w:pPr>
      <w:r>
        <w:rPr>
          <w:b/>
        </w:rPr>
        <w:t xml:space="preserve">Category Concentration: </w:t>
      </w:r>
      <w:r>
        <w:t>A high concentration of total revenue comes from a small fraction of items—specifically within Technology and Furniture. Meanwhile, Office Supplies maintain high sales frequency but low individual transaction value, requiring distinct supply chain approaches.</w:t>
      </w:r>
    </w:p>
    <w:p>
      <w:pPr>
        <w:keepNext/>
        <w:spacing w:before="200" w:after="60"/>
      </w:pPr>
      <w:r>
        <w:rPr>
          <w:b/>
          <w:color w:val="1B365D"/>
          <w:sz w:val="26"/>
        </w:rPr>
        <w:t>Sales Forecasting Results (3-Month Outlook)</w:t>
      </w:r>
    </w:p>
    <w:p>
      <w:pPr>
        <w:spacing w:before="0" w:after="80" w:line="276" w:lineRule="auto"/>
      </w:pPr>
      <w:r>
        <w:t>Using historical baseline trends and adjusting for recurring seasonal demand spikes, our project forecasts next quarter's sales performance. This model provides a concrete framework for upcoming inventory capital allocation and warehouse space planning:</w:t>
      </w:r>
    </w:p>
    <w:p>
      <w:pPr>
        <w:pStyle w:val="ListBullet"/>
        <w:spacing w:before="0" w:after="60" w:line="276" w:lineRule="auto"/>
      </w:pPr>
      <w:r>
        <w:rPr>
          <w:b/>
        </w:rPr>
        <w:t xml:space="preserve">Month 1 Forecast: </w:t>
      </w:r>
      <w:r>
        <w:t>Total sales are projected to reach $245,000. Expected sales ranges indicate that revenue will likely not drop below $220,000, with a maximum upside potential of $270,000 based on historical procurement behaviors.</w:t>
      </w:r>
    </w:p>
    <w:p>
      <w:pPr>
        <w:pStyle w:val="ListBullet"/>
        <w:spacing w:before="0" w:after="60" w:line="276" w:lineRule="auto"/>
      </w:pPr>
      <w:r>
        <w:rPr>
          <w:b/>
        </w:rPr>
        <w:t xml:space="preserve">Month 2 Forecast: </w:t>
      </w:r>
      <w:r>
        <w:t>Total sales are projected to reach $285,000. The lower safety margin sits at $255,000, while the upper capacity cap reaches $315,000 due to expanding corporate buying trends.</w:t>
      </w:r>
    </w:p>
    <w:p>
      <w:pPr>
        <w:pStyle w:val="ListBullet"/>
        <w:spacing w:before="0" w:after="60" w:line="276" w:lineRule="auto"/>
      </w:pPr>
      <w:r>
        <w:rPr>
          <w:b/>
        </w:rPr>
        <w:t xml:space="preserve">Month 3 Forecast: </w:t>
      </w:r>
      <w:r>
        <w:t>Total sales are projected to reach $340,000. As holiday demand peaks, the lower bound is estimated at $305,000 and the upper expected limit is $375,000, representing the tightest warehouse capacity strain of the quarter.</w:t>
      </w:r>
    </w:p>
    <w:p>
      <w:pPr>
        <w:keepNext/>
        <w:spacing w:before="200" w:after="60"/>
      </w:pPr>
      <w:r>
        <w:rPr>
          <w:b/>
          <w:color w:val="1B365D"/>
          <w:sz w:val="26"/>
        </w:rPr>
        <w:t>Top 3 Anomalies Detected and Business Causes</w:t>
      </w:r>
    </w:p>
    <w:p>
      <w:pPr>
        <w:spacing w:before="0" w:after="80" w:line="276" w:lineRule="auto"/>
      </w:pPr>
      <w:r>
        <w:t>Our system automatically flagged three major single-day sales spikes that fell outside normal operational patterns. These are historical events that require specialized procurement planning:</w:t>
      </w:r>
    </w:p>
    <w:p>
      <w:pPr>
        <w:pStyle w:val="ListBullet"/>
        <w:spacing w:before="0" w:after="60" w:line="276" w:lineRule="auto"/>
      </w:pPr>
      <w:r>
        <w:rPr>
          <w:b/>
        </w:rPr>
        <w:t xml:space="preserve">March 18: </w:t>
      </w:r>
      <w:r>
        <w:t>A massive sales spike of $22,638 occurred. Business Cause: This was driven by an isolated, large-scale corporate technology contract for premium smartphones and office infrastructure, which requires high buffer stock during renewal cycles.</w:t>
      </w:r>
    </w:p>
    <w:p>
      <w:pPr>
        <w:pStyle w:val="ListBullet"/>
        <w:spacing w:before="0" w:after="60" w:line="276" w:lineRule="auto"/>
      </w:pPr>
      <w:r>
        <w:rPr>
          <w:b/>
        </w:rPr>
        <w:t xml:space="preserve">October 2: </w:t>
      </w:r>
      <w:r>
        <w:t>Sales spiked unexpectedly to $13,999. Business Cause: A single bulk institutional purchase order for ergonomic office seating and collaborative spaces exhausted regional inventory instantly, proving the need for rapid B2B client flags.</w:t>
      </w:r>
    </w:p>
    <w:p>
      <w:pPr>
        <w:pStyle w:val="ListBullet"/>
        <w:spacing w:before="0" w:after="60" w:line="276" w:lineRule="auto"/>
      </w:pPr>
      <w:r>
        <w:rPr>
          <w:b/>
        </w:rPr>
        <w:t xml:space="preserve">November 17: </w:t>
      </w:r>
      <w:r>
        <w:t>A sudden single-day revenue surge of $10,499 was recorded. Business Cause: A major regional enterprise client executed an end-of-year hardware refresh, highlighting the high volatility present in our Technology sector.</w:t>
      </w:r>
    </w:p>
    <w:p>
      <w:pPr>
        <w:keepNext/>
        <w:spacing w:before="200" w:after="60"/>
      </w:pPr>
      <w:r>
        <w:rPr>
          <w:b/>
          <w:color w:val="1B365D"/>
          <w:sz w:val="26"/>
        </w:rPr>
        <w:t>Product Demand Segmentation and Stocking Strategy</w:t>
      </w:r>
    </w:p>
    <w:p>
      <w:pPr>
        <w:spacing w:before="0" w:after="80" w:line="276" w:lineRule="auto"/>
      </w:pPr>
      <w:r>
        <w:t>To optimize inventory turns and cut warehousing overhead, all items have been grouped into three clear performance categories based on sales volume and stability:</w:t>
      </w:r>
    </w:p>
    <w:p>
      <w:pPr>
        <w:pStyle w:val="ListBullet"/>
        <w:spacing w:before="0" w:after="60" w:line="276" w:lineRule="auto"/>
      </w:pPr>
      <w:r>
        <w:rPr>
          <w:b/>
        </w:rPr>
        <w:t xml:space="preserve">High Volume, Stable Demand: </w:t>
      </w:r>
      <w:r>
        <w:t>Core, reliable items that drive steady revenue with predictable weekly sales. Stocking Strategy: Maintain standard continuous replenishment, keeping safety stock below 5% to minimize holding costs and maximize warehouse space.</w:t>
      </w:r>
    </w:p>
    <w:p>
      <w:pPr>
        <w:pStyle w:val="ListBullet"/>
        <w:spacing w:before="0" w:after="60" w:line="276" w:lineRule="auto"/>
      </w:pPr>
      <w:r>
        <w:rPr>
          <w:b/>
        </w:rPr>
        <w:t xml:space="preserve">Growing Demand: </w:t>
      </w:r>
      <w:r>
        <w:t>Products showing steady, upward sales momentum over recent quarters. Stocking Strategy: Secure flexible, multi-month delivery schedules with suppliers and review stock buffers every two weeks to capture growth without running out of inventory.</w:t>
      </w:r>
    </w:p>
    <w:p>
      <w:pPr>
        <w:pStyle w:val="ListBullet"/>
        <w:spacing w:before="0" w:after="60" w:line="276" w:lineRule="auto"/>
      </w:pPr>
      <w:r>
        <w:rPr>
          <w:b/>
        </w:rPr>
        <w:t xml:space="preserve">Low Volume, High Volatility: </w:t>
      </w:r>
      <w:r>
        <w:t>Specialty or luxury inventory with infrequent transactions but massive, unpredictable purchase spikes. Stocking Strategy: Centralize these items in a single hub warehouse or transition to a direct vendor drop-shipping model to eliminate storage risk.</w:t>
      </w:r>
    </w:p>
    <w:p>
      <w:pPr>
        <w:keepNext/>
        <w:spacing w:before="200" w:after="60"/>
      </w:pPr>
      <w:r>
        <w:rPr>
          <w:b/>
          <w:color w:val="1B365D"/>
          <w:sz w:val="26"/>
        </w:rPr>
        <w:t>Strategic Business Recommendations</w:t>
      </w:r>
    </w:p>
    <w:p>
      <w:pPr>
        <w:spacing w:before="0" w:after="80" w:line="276" w:lineRule="auto"/>
      </w:pPr>
      <w:r>
        <w:t>To turn these analytical findings into higher margins, the following strategic actions should be executed immediately:</w:t>
      </w:r>
    </w:p>
    <w:p>
      <w:pPr>
        <w:pStyle w:val="ListBullet"/>
        <w:spacing w:before="0" w:after="60" w:line="276" w:lineRule="auto"/>
      </w:pPr>
      <w:r>
        <w:rPr>
          <w:b/>
        </w:rPr>
        <w:t xml:space="preserve">1. Shift to Dynamic Regional Stocking: </w:t>
      </w:r>
      <w:r>
        <w:t>Stop using uniform national inventory targets. Use our regional data to shift inventory away from low-velocity zones and pre-position high-volume stock in major regional hubs ahead of high-demand periods.</w:t>
      </w:r>
    </w:p>
    <w:p>
      <w:pPr>
        <w:pStyle w:val="ListBullet"/>
        <w:spacing w:before="0" w:after="60" w:line="276" w:lineRule="auto"/>
      </w:pPr>
      <w:r>
        <w:rPr>
          <w:b/>
        </w:rPr>
        <w:t xml:space="preserve">2. Connect Purchasing Budgets to Forecast Ranges: </w:t>
      </w:r>
      <w:r>
        <w:t>Align the CFO's monthly procurement budget directly with our 3-month sales forecast ranges. This ensures that capital is available to secure inventory before the heavy $340,000 Month 3 peak without locking up funds early.</w:t>
      </w:r>
    </w:p>
    <w:p>
      <w:pPr>
        <w:pStyle w:val="ListBullet"/>
        <w:spacing w:before="0" w:after="60" w:line="276" w:lineRule="auto"/>
      </w:pPr>
      <w:r>
        <w:rPr>
          <w:b/>
        </w:rPr>
        <w:t xml:space="preserve">3. Build a B2B Bulk Order Warning Protocol: </w:t>
      </w:r>
      <w:r>
        <w:t>Create an early-warning communication channel between B2B sales teams and supply chain management. If an institutional deal exceeds $10,000 (matching our historical anomaly thresholds), logistics must be notified instantly to prevent regional stock depletion.</w:t>
      </w:r>
    </w:p>
    <w:p>
      <w:pPr>
        <w:keepNext/>
        <w:spacing w:before="200" w:after="60"/>
      </w:pPr>
      <w:r>
        <w:rPr>
          <w:b/>
          <w:color w:val="1B365D"/>
          <w:sz w:val="26"/>
        </w:rPr>
        <w:t>System Limitations</w:t>
      </w:r>
    </w:p>
    <w:p>
      <w:pPr>
        <w:spacing w:before="0" w:after="80" w:line="276" w:lineRule="auto"/>
      </w:pPr>
      <w:r>
        <w:t>The primary limitation of this system is that it relies purely on internal historical sales data. It cannot automatically factor in external business conditions—such as sudden competitor price changes, shifting economic indicators, or unexpected supplier factory delays. Incorporating these external market signals will be necessary to further sharpen long-term inventory precision.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