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0897B"/>
          <w:sz w:val="72"/>
          <w:szCs w:val="72"/>
        </w:rPr>
        <w:t xml:space="preserve">OPTIMIX</w:t>
      </w:r>
    </w:p>
    <w:p>
      <w:pPr>
        <w:spacing w:before="0" w:after="40"/>
      </w:pPr>
      <w:r>
        <w:rPr>
          <w:rFonts w:ascii="Arial" w:cs="Arial" w:eastAsia="Arial" w:hAnsi="Arial"/>
          <w:b/>
          <w:bCs/>
          <w:color w:val="1A1A2E"/>
          <w:sz w:val="48"/>
          <w:szCs w:val="48"/>
        </w:rPr>
        <w:t xml:space="preserve">CRS Dashboard</w:t>
      </w:r>
    </w:p>
    <w:p>
      <w:pPr>
        <w:spacing w:before="0" w:after="40"/>
      </w:pPr>
      <w:r>
        <w:rPr>
          <w:rFonts w:ascii="Arial" w:cs="Arial" w:eastAsia="Arial" w:hAnsi="Arial"/>
          <w:color w:val="546E7A"/>
          <w:sz w:val="32"/>
          <w:szCs w:val="32"/>
        </w:rPr>
        <w:t xml:space="preserve">KPI Implementation Specification</w:t>
      </w:r>
    </w:p>
    <w:p>
      <w:pPr>
        <w:spacing w:before="0" w:after="480"/>
      </w:pPr>
      <w:r>
        <w:rPr>
          <w:rFonts w:ascii="Arial" w:cs="Arial" w:eastAsia="Arial" w:hAnsi="Arial"/>
          <w:color w:val="546E7A"/>
          <w:sz w:val="22"/>
          <w:szCs w:val="22"/>
        </w:rPr>
        <w:t xml:space="preserve">Version 2.0  ·  March 2026  ·  CONFIDENTIAL</w:t>
      </w:r>
    </w:p>
    <w:p>
      <w:pPr>
        <w:pBdr>
          <w:top w:val="single" w:color="00897B" w:sz="6"/>
        </w:pBd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0F2F1" w:val="clear"/>
            <w:tcMar>
              <w:top w:type="dxa" w:w="100"/>
              <w:left w:type="dxa" w:w="120"/>
              <w:bottom w:type="dxa" w:w="100"/>
              <w:right w:type="dxa" w:w="120"/>
            </w:tcMar>
          </w:tcPr>
          <w:p>
            <w:pPr>
              <w:jc w:val="center"/>
            </w:pPr>
            <w:r>
              <w:rPr>
                <w:rFonts w:ascii="Arial" w:cs="Arial" w:eastAsia="Arial" w:hAnsi="Arial"/>
                <w:b/>
                <w:bCs/>
                <w:color w:val="004D40"/>
                <w:sz w:val="18"/>
                <w:szCs w:val="18"/>
              </w:rPr>
              <w:t xml:space="preserve">Total KPIs</w:t>
            </w:r>
          </w:p>
        </w:tc>
        <w:tc>
          <w:tcPr>
            <w:tcW w:type="dxa" w:w="2340"/>
            <w:tcBorders>
              <w:top w:val="none" w:color="FFFFFF" w:sz="0"/>
              <w:left w:val="none" w:color="FFFFFF" w:sz="0"/>
              <w:bottom w:val="none" w:color="FFFFFF" w:sz="0"/>
              <w:right w:val="none" w:color="FFFFFF" w:sz="0"/>
            </w:tcBorders>
            <w:shd w:fill="E0F2F1" w:val="clear"/>
            <w:tcMar>
              <w:top w:type="dxa" w:w="100"/>
              <w:left w:type="dxa" w:w="120"/>
              <w:bottom w:type="dxa" w:w="100"/>
              <w:right w:type="dxa" w:w="120"/>
            </w:tcMar>
          </w:tcPr>
          <w:p>
            <w:pPr>
              <w:jc w:val="center"/>
            </w:pPr>
            <w:r>
              <w:rPr>
                <w:rFonts w:ascii="Arial" w:cs="Arial" w:eastAsia="Arial" w:hAnsi="Arial"/>
                <w:b/>
                <w:bCs/>
                <w:color w:val="004D40"/>
                <w:sz w:val="18"/>
                <w:szCs w:val="18"/>
              </w:rPr>
              <w:t xml:space="preserve">New to Build</w:t>
            </w:r>
          </w:p>
        </w:tc>
        <w:tc>
          <w:tcPr>
            <w:tcW w:type="dxa" w:w="2340"/>
            <w:tcBorders>
              <w:top w:val="none" w:color="FFFFFF" w:sz="0"/>
              <w:left w:val="none" w:color="FFFFFF" w:sz="0"/>
              <w:bottom w:val="none" w:color="FFFFFF" w:sz="0"/>
              <w:right w:val="none" w:color="FFFFFF" w:sz="0"/>
            </w:tcBorders>
            <w:shd w:fill="E0F2F1" w:val="clear"/>
            <w:tcMar>
              <w:top w:type="dxa" w:w="100"/>
              <w:left w:type="dxa" w:w="120"/>
              <w:bottom w:type="dxa" w:w="100"/>
              <w:right w:type="dxa" w:w="120"/>
            </w:tcMar>
          </w:tcPr>
          <w:p>
            <w:pPr>
              <w:jc w:val="center"/>
            </w:pPr>
            <w:r>
              <w:rPr>
                <w:rFonts w:ascii="Arial" w:cs="Arial" w:eastAsia="Arial" w:hAnsi="Arial"/>
                <w:b/>
                <w:bCs/>
                <w:color w:val="004D40"/>
                <w:sz w:val="18"/>
                <w:szCs w:val="18"/>
              </w:rPr>
              <w:t xml:space="preserve">Ops Manager</w:t>
            </w:r>
          </w:p>
        </w:tc>
        <w:tc>
          <w:tcPr>
            <w:tcW w:type="dxa" w:w="2340"/>
            <w:tcBorders>
              <w:top w:val="none" w:color="FFFFFF" w:sz="0"/>
              <w:left w:val="none" w:color="FFFFFF" w:sz="0"/>
              <w:bottom w:val="none" w:color="FFFFFF" w:sz="0"/>
              <w:right w:val="none" w:color="FFFFFF" w:sz="0"/>
            </w:tcBorders>
            <w:shd w:fill="E0F2F1" w:val="clear"/>
            <w:tcMar>
              <w:top w:type="dxa" w:w="100"/>
              <w:left w:type="dxa" w:w="120"/>
              <w:bottom w:type="dxa" w:w="100"/>
              <w:right w:type="dxa" w:w="120"/>
            </w:tcMar>
          </w:tcPr>
          <w:p>
            <w:pPr>
              <w:jc w:val="center"/>
            </w:pPr>
            <w:r>
              <w:rPr>
                <w:rFonts w:ascii="Arial" w:cs="Arial" w:eastAsia="Arial" w:hAnsi="Arial"/>
                <w:b/>
                <w:bCs/>
                <w:color w:val="004D40"/>
                <w:sz w:val="18"/>
                <w:szCs w:val="18"/>
              </w:rPr>
              <w:t xml:space="preserve">Sr. Leader</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center"/>
            </w:pPr>
            <w:r>
              <w:rPr>
                <w:rFonts w:ascii="Arial" w:cs="Arial" w:eastAsia="Arial" w:hAnsi="Arial"/>
                <w:b/>
                <w:bCs/>
                <w:color w:val="00897B"/>
                <w:sz w:val="30"/>
                <w:szCs w:val="30"/>
              </w:rPr>
              <w:t xml:space="preserve">27</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center"/>
            </w:pPr>
            <w:r>
              <w:rPr>
                <w:rFonts w:ascii="Arial" w:cs="Arial" w:eastAsia="Arial" w:hAnsi="Arial"/>
                <w:b/>
                <w:bCs/>
                <w:color w:val="00897B"/>
                <w:sz w:val="30"/>
                <w:szCs w:val="30"/>
              </w:rPr>
              <w:t xml:space="preserve">13</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center"/>
            </w:pPr>
            <w:r>
              <w:rPr>
                <w:rFonts w:ascii="Arial" w:cs="Arial" w:eastAsia="Arial" w:hAnsi="Arial"/>
                <w:b/>
                <w:bCs/>
                <w:color w:val="00897B"/>
                <w:sz w:val="30"/>
                <w:szCs w:val="30"/>
              </w:rPr>
              <w:t xml:space="preserve">19 KPIs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center"/>
            </w:pPr>
            <w:r>
              <w:rPr>
                <w:rFonts w:ascii="Arial" w:cs="Arial" w:eastAsia="Arial" w:hAnsi="Arial"/>
                <w:b/>
                <w:bCs/>
                <w:color w:val="00897B"/>
                <w:sz w:val="30"/>
                <w:szCs w:val="30"/>
              </w:rPr>
              <w:t xml:space="preserve">8 KPIs</w:t>
            </w:r>
          </w:p>
        </w:tc>
      </w:tr>
    </w:tbl>
    <w:p>
      <w:pPr>
        <w:spacing w:before="0" w:after="60"/>
      </w:pPr>
    </w:p>
    <w:p>
      <w:pPr>
        <w:spacing w:before="0" w:after="60"/>
      </w:pPr>
    </w:p>
    <w:p>
      <w:pPr>
        <w:spacing w:before="0" w:after="60"/>
      </w:pPr>
      <w:r>
        <w:rPr>
          <w:rFonts w:ascii="Arial" w:cs="Arial" w:eastAsia="Arial" w:hAnsi="Arial"/>
          <w:color w:val="546E7A"/>
          <w:sz w:val="20"/>
          <w:szCs w:val="20"/>
        </w:rPr>
        <w:t xml:space="preserve">Prepared by: IKS Health Data Science &amp; MLOps  |  Validated by: Rahul Nair (Sr. Director AR Ops)</w:t>
      </w:r>
    </w:p>
    <w:p>
      <w:pPr>
        <w:spacing w:before="0" w:after="60"/>
      </w:pPr>
      <w:r>
        <w:rPr>
          <w:rFonts w:ascii="Arial" w:cs="Arial" w:eastAsia="Arial" w:hAnsi="Arial"/>
          <w:color w:val="546E7A"/>
          <w:sz w:val="20"/>
          <w:szCs w:val="20"/>
        </w:rPr>
        <w:t xml:space="preserve">Source: Stakeholder session 12 March 2026 · Rajnish (Ops L2) sign-off pending on touch SLA definitions</w:t>
      </w: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1. Purpose &amp; Scope</w:t>
      </w:r>
    </w:p>
    <w:p>
      <w:pPr>
        <w:spacing w:before="0" w:after="100"/>
      </w:pPr>
      <w:r>
        <w:rPr>
          <w:rFonts w:ascii="Arial" w:cs="Arial" w:eastAsia="Arial" w:hAnsi="Arial"/>
          <w:color w:val="37474F"/>
          <w:sz w:val="22"/>
          <w:szCs w:val="22"/>
        </w:rPr>
        <w:t xml:space="preserve">This document is the single source of truth for every KPI that appears or will appear in the Optimix CRS Dashboard v2.0. It defines the exact calculation, data source, alert thresholds, persona ownership, implementation status, and sprint estimate for each metric.</w:t>
      </w:r>
    </w:p>
    <w:p>
      <w:pPr>
        <w:spacing w:before="0" w:after="100"/>
      </w:pPr>
      <w:r>
        <w:rPr>
          <w:rFonts w:ascii="Arial" w:cs="Arial" w:eastAsia="Arial" w:hAnsi="Arial"/>
          <w:color w:val="37474F"/>
          <w:sz w:val="22"/>
          <w:szCs w:val="22"/>
        </w:rPr>
        <w:t xml:space="preserve">It is intended for three audiences: the MLOps/DS team implementing the data pipelines and front-end; the Ops Manager (Rajnish, Rahul) who will validate definitions; and the MLOps lead (Nakul) who owns delivery.</w:t>
      </w:r>
    </w:p>
    <w:p>
      <w:pPr>
        <w:spacing w:before="0" w:after="60"/>
      </w:pPr>
    </w:p>
    <w:p>
      <w:pPr>
        <w:pStyle w:val="Heading2"/>
        <w:spacing w:before="240" w:after="100"/>
      </w:pPr>
      <w:r>
        <w:rPr>
          <w:rFonts w:ascii="Arial" w:cs="Arial" w:eastAsia="Arial" w:hAnsi="Arial"/>
          <w:b/>
          <w:bCs/>
          <w:color w:val="1565C0"/>
          <w:sz w:val="26"/>
          <w:szCs w:val="26"/>
        </w:rPr>
        <w:t xml:space="preserve">1.1 Two Personas, Two Tabs</w:t>
      </w:r>
    </w:p>
    <w:p>
      <w:pPr>
        <w:spacing w:before="0" w:after="100"/>
      </w:pPr>
      <w:r>
        <w:rPr>
          <w:rFonts w:ascii="Arial" w:cs="Arial" w:eastAsia="Arial" w:hAnsi="Arial"/>
          <w:color w:val="37474F"/>
          <w:sz w:val="22"/>
          <w:szCs w:val="22"/>
        </w:rPr>
        <w:t xml:space="preserve">All KPIs are assigned to one of two personas. These personas map directly to the two new tabs in the IKS dashboard — Ops Manager and Sr.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680"/>
            <w:tcBorders>
              <w:top w:val="single" w:color="E2E8F0" w:sz="1"/>
              <w:left w:val="single" w:color="E2E8F0" w:sz="1"/>
              <w:bottom w:val="single" w:color="E2E8F0" w:sz="1"/>
              <w:right w:val="single" w:color="E2E8F0" w:sz="1"/>
            </w:tcBorders>
            <w:shd w:fill="E0F2F1" w:val="clear"/>
            <w:tcMar>
              <w:top w:type="dxa" w:w="80"/>
              <w:left w:type="dxa" w:w="120"/>
              <w:bottom w:type="dxa" w:w="80"/>
              <w:right w:type="dxa" w:w="120"/>
            </w:tcMar>
          </w:tcPr>
          <w:p>
            <w:r>
              <w:rPr>
                <w:rFonts w:ascii="Arial" w:cs="Arial" w:eastAsia="Arial" w:hAnsi="Arial"/>
                <w:b/>
                <w:bCs/>
                <w:color w:val="004D40"/>
                <w:sz w:val="20"/>
                <w:szCs w:val="20"/>
              </w:rPr>
              <w:t xml:space="preserve">Ops Manager (Persona A)</w:t>
            </w:r>
          </w:p>
        </w:tc>
        <w:tc>
          <w:tcPr>
            <w:tcW w:type="dxa" w:w="3680"/>
            <w:tcBorders>
              <w:top w:val="single" w:color="E2E8F0" w:sz="1"/>
              <w:left w:val="single" w:color="E2E8F0" w:sz="1"/>
              <w:bottom w:val="single" w:color="E2E8F0" w:sz="1"/>
              <w:right w:val="single" w:color="E2E8F0"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Sr. Leader (Persona B)</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Dashboard tab</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Ops Manager tab</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Sr. Leader tab</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Refresh cadence</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Daily / MTD / WTD</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Weekly / Monthly / QTD</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Primary question</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Am I working the right claims today?</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Is the AI reducing manual effort? Is the ROI positive?</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KPI count</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19 KPIs across 6 sections</w:t>
            </w:r>
          </w:p>
        </w:tc>
        <w:tc>
          <w:tcPr>
            <w:tcW w:type="dxa" w:w="3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74F"/>
                <w:sz w:val="20"/>
                <w:szCs w:val="20"/>
              </w:rPr>
              <w:t xml:space="preserve">8 KPIs across 3 sections</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2. Status Legend</w:t>
      </w:r>
    </w:p>
    <w:p>
      <w:pPr>
        <w:spacing w:before="0" w:after="100"/>
      </w:pPr>
      <w:r>
        <w:rPr>
          <w:rFonts w:ascii="Arial" w:cs="Arial" w:eastAsia="Arial" w:hAnsi="Arial"/>
          <w:color w:val="37474F"/>
          <w:sz w:val="22"/>
          <w:szCs w:val="22"/>
        </w:rPr>
        <w:t xml:space="preserve">Each KPI carries one of four implementation statuses. Use this legend throughout the document.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400"/>
            <w:tcBorders>
              <w:top w:val="single" w:color="E2E8F0" w:sz="1"/>
              <w:left w:val="single" w:color="E2E8F0" w:sz="1"/>
              <w:bottom w:val="single" w:color="E2E8F0" w:sz="1"/>
              <w:right w:val="single" w:color="E2E8F0" w:sz="1"/>
            </w:tcBorders>
            <w:shd w:fill="E8F5E9" w:val="clear"/>
            <w:tcMar>
              <w:top w:type="dxa" w:w="60"/>
              <w:left w:type="dxa" w:w="120"/>
              <w:bottom w:type="dxa" w:w="60"/>
              <w:right w:type="dxa" w:w="120"/>
            </w:tcMar>
          </w:tcPr>
          <w:p>
            <w:r>
              <w:rPr>
                <w:rFonts w:ascii="Arial" w:cs="Arial" w:eastAsia="Arial" w:hAnsi="Arial"/>
                <w:b/>
                <w:bCs/>
                <w:color w:val="1A1A2E"/>
                <w:sz w:val="20"/>
                <w:szCs w:val="20"/>
              </w:rPr>
              <w:t xml:space="preserve">LIVE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Already live in IKS Claims tab</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None. Verify calculation matches definition.</w:t>
            </w:r>
          </w:p>
        </w:tc>
      </w:tr>
      <w:tr>
        <w:tc>
          <w:tcPr>
            <w:tcW w:type="dxa" w:w="14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b/>
                <w:bCs/>
                <w:color w:val="1A1A2E"/>
                <w:sz w:val="20"/>
                <w:szCs w:val="20"/>
              </w:rPr>
              <w:t xml:space="preserve">ADDED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Built and visible in this session</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Wire to real Optimix data feed. Validate with Rajnish.</w:t>
            </w:r>
          </w:p>
        </w:tc>
      </w:tr>
      <w:tr>
        <w:tc>
          <w:tcPr>
            <w:tcW w:type="dxa" w:w="1400"/>
            <w:tcBorders>
              <w:top w:val="single" w:color="E2E8F0" w:sz="1"/>
              <w:left w:val="single" w:color="E2E8F0" w:sz="1"/>
              <w:bottom w:val="single" w:color="E2E8F0" w:sz="1"/>
              <w:right w:val="single" w:color="E2E8F0" w:sz="1"/>
            </w:tcBorders>
            <w:shd w:fill="FFF3E0" w:val="clear"/>
            <w:tcMar>
              <w:top w:type="dxa" w:w="60"/>
              <w:left w:type="dxa" w:w="120"/>
              <w:bottom w:type="dxa" w:w="60"/>
              <w:right w:type="dxa" w:w="120"/>
            </w:tcMar>
          </w:tcPr>
          <w:p>
            <w:r>
              <w:rPr>
                <w:rFonts w:ascii="Arial" w:cs="Arial" w:eastAsia="Arial" w:hAnsi="Arial"/>
                <w:b/>
                <w:bCs/>
                <w:color w:val="1A1A2E"/>
                <w:sz w:val="20"/>
                <w:szCs w:val="20"/>
              </w:rPr>
              <w:t xml:space="preserve">TO BUILD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Design done, data available in Optimix</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1 sprint to implement. No external blockers.</w:t>
            </w:r>
          </w:p>
        </w:tc>
      </w:tr>
      <w:tr>
        <w:tc>
          <w:tcPr>
            <w:tcW w:type="dxa" w:w="1400"/>
            <w:tcBorders>
              <w:top w:val="single" w:color="E2E8F0" w:sz="1"/>
              <w:left w:val="single" w:color="E2E8F0" w:sz="1"/>
              <w:bottom w:val="single" w:color="E2E8F0" w:sz="1"/>
              <w:right w:val="single" w:color="E2E8F0" w:sz="1"/>
            </w:tcBorders>
            <w:shd w:fill="FFEBEE" w:val="clear"/>
            <w:tcMar>
              <w:top w:type="dxa" w:w="60"/>
              <w:left w:type="dxa" w:w="120"/>
              <w:bottom w:type="dxa" w:w="60"/>
              <w:right w:type="dxa" w:w="120"/>
            </w:tcMar>
          </w:tcPr>
          <w:p>
            <w:r>
              <w:rPr>
                <w:rFonts w:ascii="Arial" w:cs="Arial" w:eastAsia="Arial" w:hAnsi="Arial"/>
                <w:b/>
                <w:bCs/>
                <w:color w:val="1A1A2E"/>
                <w:sz w:val="20"/>
                <w:szCs w:val="20"/>
              </w:rPr>
              <w:t xml:space="preserve">BLOCKED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Cannot build until dependency is resolved</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20"/>
                <w:szCs w:val="20"/>
              </w:rPr>
              <w:t xml:space="preserve">Resolve named blocker with Rajnish first, then 1 sprint.</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3. Ops Manager KPIs — Master Table</w:t>
      </w:r>
    </w:p>
    <w:p>
      <w:pPr>
        <w:spacing w:before="0" w:after="100"/>
      </w:pPr>
      <w:r>
        <w:rPr>
          <w:rFonts w:ascii="Arial" w:cs="Arial" w:eastAsia="Arial" w:hAnsi="Arial"/>
          <w:color w:val="37474F"/>
          <w:sz w:val="22"/>
          <w:szCs w:val="22"/>
        </w:rPr>
        <w:t xml:space="preserve">All 19 KPIs for the Ops Manager persona, sorted by section as they appear on the dashboard tab.</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2800"/>
        <w:gridCol w:w="2200"/>
        <w:gridCol w:w="800"/>
        <w:gridCol w:w="1560"/>
      </w:tblGrid>
      <w:tr>
        <w:trPr>
          <w:tblHeader/>
        </w:trPr>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KPI Name</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Calculation</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Workable Inventory</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NPNR after 3rd ITTT + Total Denials (Actuals)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event log</w:t>
            </w:r>
          </w:p>
        </w:tc>
        <w:tc>
          <w:tcPr>
            <w:tcW w:type="dxa" w:w="80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b/>
                <w:bCs/>
                <w:color w:val="10B981"/>
                <w:sz w:val="18"/>
                <w:szCs w:val="18"/>
              </w:rPr>
              <w:t xml:space="preserve">LIVE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Inventory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2</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AR Backlog ($)</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Dollar amount associated with Workable Inventory</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billing</w:t>
            </w:r>
          </w:p>
        </w:tc>
        <w:tc>
          <w:tcPr>
            <w:tcW w:type="dxa" w:w="80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b/>
                <w:bCs/>
                <w:color w:val="10B981"/>
                <w:sz w:val="18"/>
                <w:szCs w:val="18"/>
              </w:rPr>
              <w:t xml:space="preserve">LIVE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Inventory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3</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NPNR</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Count of No-Pay No-Response after ITTT expiry</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event log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Inventory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4</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Denials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Count of actual denied claims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denial feed</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Inventory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5</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Pending Payer</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Claims in active ITTT window — non-workable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ITTT model</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Inventory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Resolved / Paid MTD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Claims transitioned to Paid status this month</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payment posting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Inventory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7</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Action Rate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actions taken / Total Workable Inventory</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touch log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Inventory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8</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AR Res. by Aging Bucket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Resolved Claims in Bucket / Total Claims Worked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aging calc</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Resolution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9</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Resolution by # Touches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Distribution: 1 touch / 2 touch / 3 touch / 3+</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touch log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Resolution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Touch-to-Res. Lag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 resolved at 0-45d / 46-90d / 91-120d since 1st touch</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touch log</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Resolution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11</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AR Liquidation by Aging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Resolved $ in Bucket / Total $ in Bucket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billing $</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Resolution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12</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AR Efficiency</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Avg days since bill / since touch / to resolve (3 sub-metrics)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billing dates</w:t>
            </w:r>
          </w:p>
        </w:tc>
        <w:tc>
          <w:tcPr>
            <w:tcW w:type="dxa" w:w="80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b/>
                <w:bCs/>
                <w:color w:val="B71C1C"/>
                <w:sz w:val="18"/>
                <w:szCs w:val="18"/>
              </w:rPr>
              <w:t xml:space="preserve">BLOCKED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Efficiency</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13</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Appeal Res. Rate (≤45d)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Appeals resolved within 45 days / Total Appeals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appeal log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Appeals</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14</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Denial Recovery Rate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 Resolved Denials / Total Denials  ii. Payments / Total Denial $</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payment</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Denials</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15</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Repeated Disp. Flags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Count of claims with same disp. code ≥3 times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disp. log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Disposition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Top Codes by Touch Vol.</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Touch volume per disp. code, categorised by type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touch log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Disposition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17</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Inflow Analysis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New denial/NPNR inflow count WoW/MoM</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event log</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Inflow</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18</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Collectible vs Non-Coll.</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Touches on collectible claims / Total touches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category map</w:t>
            </w:r>
          </w:p>
        </w:tc>
        <w:tc>
          <w:tcPr>
            <w:tcW w:type="dxa" w:w="8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00897B"/>
                <w:sz w:val="18"/>
                <w:szCs w:val="18"/>
              </w:rPr>
              <w:t xml:space="preserve">ADDED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Inflow</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19</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Cash from AR Effort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Cash via AR touches / Total cash · associate drill-down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payment posting</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Cash</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4. Sr. Leader KPIs — Master Table</w:t>
      </w:r>
    </w:p>
    <w:p>
      <w:pPr>
        <w:spacing w:before="0" w:after="100"/>
      </w:pPr>
      <w:r>
        <w:rPr>
          <w:rFonts w:ascii="Arial" w:cs="Arial" w:eastAsia="Arial" w:hAnsi="Arial"/>
          <w:color w:val="37474F"/>
          <w:sz w:val="22"/>
          <w:szCs w:val="22"/>
        </w:rPr>
        <w:t xml:space="preserve">8 KPIs for the Sr. Leader persona. Rahul's instruction: maximum 5-6 visible KPIs at any time — no laundry list.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900"/>
        <w:gridCol w:w="2800"/>
        <w:gridCol w:w="2160"/>
        <w:gridCol w:w="800"/>
        <w:gridCol w:w="1400"/>
      </w:tblGrid>
      <w:tr>
        <w:trPr>
          <w:tblHeader/>
        </w:trPr>
        <w:tc>
          <w:tcPr>
            <w:tcBorders>
              <w:top w:val="single" w:color="E2E8F0" w:sz="1"/>
              <w:left w:val="single" w:color="E2E8F0" w:sz="1"/>
              <w:bottom w:val="single" w:color="E2E8F0" w:sz="1"/>
              <w:right w:val="single" w:color="E2E8F0" w:sz="1"/>
            </w:tcBorders>
            <w:shd w:fill="6A1B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Borders>
              <w:top w:val="single" w:color="E2E8F0" w:sz="1"/>
              <w:left w:val="single" w:color="E2E8F0" w:sz="1"/>
              <w:bottom w:val="single" w:color="E2E8F0" w:sz="1"/>
              <w:right w:val="single" w:color="E2E8F0" w:sz="1"/>
            </w:tcBorders>
            <w:shd w:fill="6A1B9A" w:val="clear"/>
            <w:tcMar>
              <w:top w:type="dxa" w:w="80"/>
              <w:left w:type="dxa" w:w="100"/>
              <w:bottom w:type="dxa" w:w="80"/>
              <w:right w:type="dxa" w:w="100"/>
            </w:tcMar>
          </w:tcPr>
          <w:p>
            <w:r>
              <w:rPr>
                <w:rFonts w:ascii="Arial" w:cs="Arial" w:eastAsia="Arial" w:hAnsi="Arial"/>
                <w:b/>
                <w:bCs/>
                <w:color w:val="FFFFFF"/>
                <w:sz w:val="18"/>
                <w:szCs w:val="18"/>
              </w:rPr>
              <w:t xml:space="preserve">KPI Name</w:t>
            </w:r>
          </w:p>
        </w:tc>
        <w:tc>
          <w:tcPr>
            <w:tcBorders>
              <w:top w:val="single" w:color="E2E8F0" w:sz="1"/>
              <w:left w:val="single" w:color="E2E8F0" w:sz="1"/>
              <w:bottom w:val="single" w:color="E2E8F0" w:sz="1"/>
              <w:right w:val="single" w:color="E2E8F0" w:sz="1"/>
            </w:tcBorders>
            <w:shd w:fill="6A1B9A" w:val="clear"/>
            <w:tcMar>
              <w:top w:type="dxa" w:w="80"/>
              <w:left w:type="dxa" w:w="100"/>
              <w:bottom w:type="dxa" w:w="80"/>
              <w:right w:type="dxa" w:w="100"/>
            </w:tcMar>
          </w:tcPr>
          <w:p>
            <w:r>
              <w:rPr>
                <w:rFonts w:ascii="Arial" w:cs="Arial" w:eastAsia="Arial" w:hAnsi="Arial"/>
                <w:b/>
                <w:bCs/>
                <w:color w:val="FFFFFF"/>
                <w:sz w:val="18"/>
                <w:szCs w:val="18"/>
              </w:rPr>
              <w:t xml:space="preserve">Calculation</w:t>
            </w:r>
          </w:p>
        </w:tc>
        <w:tc>
          <w:tcPr>
            <w:tcBorders>
              <w:top w:val="single" w:color="E2E8F0" w:sz="1"/>
              <w:left w:val="single" w:color="E2E8F0" w:sz="1"/>
              <w:bottom w:val="single" w:color="E2E8F0" w:sz="1"/>
              <w:right w:val="single" w:color="E2E8F0" w:sz="1"/>
            </w:tcBorders>
            <w:shd w:fill="6A1B9A"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c>
          <w:tcPr>
            <w:tcBorders>
              <w:top w:val="single" w:color="E2E8F0" w:sz="1"/>
              <w:left w:val="single" w:color="E2E8F0" w:sz="1"/>
              <w:bottom w:val="single" w:color="E2E8F0" w:sz="1"/>
              <w:right w:val="single" w:color="E2E8F0" w:sz="1"/>
            </w:tcBorders>
            <w:shd w:fill="6A1B9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Borders>
              <w:top w:val="single" w:color="E2E8F0" w:sz="1"/>
              <w:left w:val="single" w:color="E2E8F0" w:sz="1"/>
              <w:bottom w:val="single" w:color="E2E8F0" w:sz="1"/>
              <w:right w:val="single" w:color="E2E8F0" w:sz="1"/>
            </w:tcBorders>
            <w:shd w:fill="6A1B9A"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1</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Touchless Automation Rate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Claims resolved without human touch / Total Claims</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event log</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ROI</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2</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Cost to Collect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ops cost / Total AR revenue collected</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Finance feed</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ROI</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3</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 Payment Accuracy</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actuals of full payments MTD / Payment Predictions</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prediction log</w:t>
            </w:r>
          </w:p>
        </w:tc>
        <w:tc>
          <w:tcPr>
            <w:tcW w:type="dxa" w:w="80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b/>
                <w:bCs/>
                <w:color w:val="10B981"/>
                <w:sz w:val="18"/>
                <w:szCs w:val="18"/>
              </w:rPr>
              <w:t xml:space="preserve">LIVE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Model Trust</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4</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 Denial Accuracy</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denials actuals MTD / Denial Predictions</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prediction log</w:t>
            </w:r>
          </w:p>
        </w:tc>
        <w:tc>
          <w:tcPr>
            <w:tcW w:type="dxa" w:w="80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b/>
                <w:bCs/>
                <w:color w:val="10B981"/>
                <w:sz w:val="18"/>
                <w:szCs w:val="18"/>
              </w:rPr>
              <w:t xml:space="preserve">LIVE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Model Trust</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5</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Prediction Bias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Payment Prediction Rate vs Actual Payment Rate</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prediction log</w:t>
            </w:r>
          </w:p>
        </w:tc>
        <w:tc>
          <w:tcPr>
            <w:tcW w:type="dxa" w:w="80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b/>
                <w:bCs/>
                <w:color w:val="10B981"/>
                <w:sz w:val="18"/>
                <w:szCs w:val="18"/>
              </w:rPr>
              <w:t xml:space="preserve">LIVE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Model Trust</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6</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Cash Collected MTD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 actual payments received this month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Payment posting system</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Financials</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7</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A/R Impact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 of Denials + Total $ of NPNR</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billing</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Financials</w:t>
            </w:r>
          </w:p>
        </w:tc>
      </w:tr>
      <w:tr>
        <w:tc>
          <w:tcPr>
            <w:tcW w:type="dxa" w:w="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8</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90+ Day AR Outstanding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Total $ not resolved after 90 days</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 billing dates</w:t>
            </w:r>
          </w:p>
        </w:tc>
        <w:tc>
          <w:tcPr>
            <w:tcW w:type="dxa" w:w="8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E65100"/>
                <w:sz w:val="18"/>
                <w:szCs w:val="18"/>
              </w:rPr>
              <w:t xml:space="preserve">TO BUILD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Risk</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5. Individual KPI Specifications</w:t>
      </w:r>
    </w:p>
    <w:p>
      <w:pPr>
        <w:spacing w:before="0" w:after="100"/>
      </w:pPr>
      <w:r>
        <w:rPr>
          <w:rFonts w:ascii="Arial" w:cs="Arial" w:eastAsia="Arial" w:hAnsi="Arial"/>
          <w:color w:val="37474F"/>
          <w:sz w:val="22"/>
          <w:szCs w:val="22"/>
        </w:rPr>
        <w:t xml:space="preserve">Full specification for every KPI that is TO BUILD or BLOCKED. LIVE KPIs have a brief summary only. Click any heading to expand.</w:t>
      </w:r>
    </w:p>
    <w:p>
      <w:pPr>
        <w:spacing w:before="0" w:after="60"/>
      </w:pPr>
    </w:p>
    <w:p>
      <w:pPr>
        <w:pStyle w:val="Heading2"/>
        <w:spacing w:before="240" w:after="100"/>
      </w:pPr>
      <w:r>
        <w:rPr>
          <w:rFonts w:ascii="Arial" w:cs="Arial" w:eastAsia="Arial" w:hAnsi="Arial"/>
          <w:b/>
          <w:bCs/>
          <w:color w:val="1B5E20"/>
          <w:sz w:val="26"/>
          <w:szCs w:val="26"/>
        </w:rPr>
        <w:t xml:space="preserve">Section A — LIVE KPIs (Verify Only)</w:t>
      </w:r>
    </w:p>
    <w:p>
      <w:pPr>
        <w:spacing w:before="0" w:after="100"/>
      </w:pPr>
      <w:r>
        <w:rPr>
          <w:rFonts w:ascii="Arial" w:cs="Arial" w:eastAsia="Arial" w:hAnsi="Arial"/>
          <w:color w:val="37474F"/>
          <w:sz w:val="22"/>
          <w:szCs w:val="22"/>
        </w:rPr>
        <w:t xml:space="preserve">These are already live in the IKS Claims tab. The only action is to verify the live calculation matches the definition below.</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L1</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Total Workable Inventory</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IKS Claims → Top KPI bar  (verify same logic appears in Ops Manager tab)</w:t>
            </w:r>
          </w:p>
        </w:tc>
      </w:tr>
      <w:tr>
        <w:tc>
          <w:tcPr>
            <w:tcW w:type="dxa" w:w="1600"/>
            <w:tcBorders>
              <w:top w:val="single" w:color="E2E8F0" w:sz="1"/>
              <w:left w:val="single" w:color="E2E8F0" w:sz="1"/>
              <w:bottom w:val="single" w:color="E2E8F0" w:sz="1"/>
              <w:right w:val="single" w:color="E2E8F0" w:sz="1"/>
            </w:tcBorders>
            <w:shd w:fill="E8F5E9"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LIVE — verify calculation</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Tell the ops team the exact number of claims that need action today. This is the primary daily operational input.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NPNR after 3rd ITTT expiry  +  Total Denial Actuals  +  Payment But Denied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event log. Fields: ittt_expiry_flag, denial_actual_flag, payment_denied_flag.</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No hard threshold. Show delta vs prior month. Flag if growing &gt;15% MoM.</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Integer count (e.g. 34,820). Show MoM delta in amber/red if growing.</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Kalpesh (data pipeline) · Shivani (front-end)</w:t>
            </w:r>
          </w:p>
        </w:tc>
      </w:tr>
      <w:tr>
        <w:tc>
          <w:tcPr>
            <w:tcW w:type="dxa" w:w="1600"/>
            <w:tcBorders>
              <w:top w:val="single" w:color="E2E8F0" w:sz="1"/>
              <w:left w:val="single" w:color="E2E8F0" w:sz="1"/>
              <w:bottom w:val="single" w:color="E2E8F0" w:sz="1"/>
              <w:right w:val="single" w:color="E2E8F0" w:sz="1"/>
            </w:tcBorders>
            <w:shd w:fill="E8F5E9"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None. Already live.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0 sprints — already live.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 noted that Optimix workable (ITTT model) and ops team manual count (45-day rule) may not match. Overall outstanding counts should match even if workable definitions differ. Escalate to Nakul + Hardik if delta &gt;5%.</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L2</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Payment Accuracy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IKS Claims → Top KPI bar  |  Sr. Leader tab → Model Trust section</w:t>
            </w:r>
          </w:p>
        </w:tc>
      </w:tr>
      <w:tr>
        <w:tc>
          <w:tcPr>
            <w:tcW w:type="dxa" w:w="1600"/>
            <w:tcBorders>
              <w:top w:val="single" w:color="E2E8F0" w:sz="1"/>
              <w:left w:val="single" w:color="E2E8F0" w:sz="1"/>
              <w:bottom w:val="single" w:color="E2E8F0" w:sz="1"/>
              <w:right w:val="single" w:color="E2E8F0" w:sz="1"/>
            </w:tcBorders>
            <w:shd w:fill="E8F5E9"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LIVE — verify calculation</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Measure how accurately the DS model predicts which claims will be paid. Builds leadership confidence in model reliability.</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(Total actuals of full payments MTD / Payment Predictions MTD) × 100</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prediction log joined to payment posting actuals. Field: prediction_type = 'payment'.</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Green: &gt;90%  |  Amber: 80–90%  |  Red: &lt;80%</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Percentage to 1 decimal (e.g. 91.4%). Donut chart in IKS Claims, plain number in Sr. Leader.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Deepak (model) · Kalpesh (data)</w:t>
            </w:r>
          </w:p>
        </w:tc>
      </w:tr>
      <w:tr>
        <w:tc>
          <w:tcPr>
            <w:tcW w:type="dxa" w:w="1600"/>
            <w:tcBorders>
              <w:top w:val="single" w:color="E2E8F0" w:sz="1"/>
              <w:left w:val="single" w:color="E2E8F0" w:sz="1"/>
              <w:bottom w:val="single" w:color="E2E8F0" w:sz="1"/>
              <w:right w:val="single" w:color="E2E8F0" w:sz="1"/>
            </w:tcBorders>
            <w:shd w:fill="E8F5E9"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None. Already live.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0 sprints — already live.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MTD filter is the primary view. Must also support monthly historical trend for Sr. Leader tab.</w:t>
            </w:r>
          </w:p>
        </w:tc>
      </w:tr>
    </w:tbl>
    <w:p>
      <w:pPr>
        <w:spacing w:before="0" w:after="60"/>
      </w:pPr>
    </w:p>
    <w:p>
      <w:pPr>
        <w:spacing w:before="0" w:after="60"/>
      </w:pPr>
    </w:p>
    <w:p>
      <w:r>class PageBreak extends Run {
  constructor() {
    super({});
    this.root.push(new Break2(BreakType.PAGE));
  }
}</w:r>
    </w:p>
    <w:p>
      <w:pPr>
        <w:pStyle w:val="Heading2"/>
        <w:spacing w:before="240" w:after="100"/>
      </w:pPr>
      <w:r>
        <w:rPr>
          <w:rFonts w:ascii="Arial" w:cs="Arial" w:eastAsia="Arial" w:hAnsi="Arial"/>
          <w:b/>
          <w:bCs/>
          <w:color w:val="E65100"/>
          <w:sz w:val="26"/>
          <w:szCs w:val="26"/>
        </w:rPr>
        <w:t xml:space="preserve">Section B — TO BUILD KPIs (High Priority)</w:t>
      </w:r>
    </w:p>
    <w:p>
      <w:pPr>
        <w:spacing w:before="0" w:after="100"/>
      </w:pPr>
      <w:r>
        <w:rPr>
          <w:rFonts w:ascii="Arial" w:cs="Arial" w:eastAsia="Arial" w:hAnsi="Arial"/>
          <w:color w:val="37474F"/>
          <w:sz w:val="22"/>
          <w:szCs w:val="22"/>
        </w:rPr>
        <w:t xml:space="preserve">Data is available in Optimix. No external blockers. These can be built in the next 1-2 sprints.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B1</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Touch-to-Resolution Lag Analysis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 tab → AR Resolution &amp; Touch Efficiency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data ready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Answer Rahul's core question: 'Is my 0–45d resolution rate going up or down month on month?' This is the single most important view he demonstrated manually in the session.</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For each claim, take first_touch_date. Calculate days between first_touch_date and resolution_date. Bucket into: 0–45d, 46–90d, 91–120d, 120+d. Resolution rate per bucket = Claims resolved in bucket / Total claims touched in that month.</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touch log (fields: claim_id, touch_date, touch_type, resolution_date, resolution_type). JOIN to claims table on claim_id.</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0–45d resolution: Green &gt;60%  |  Amber 45–60%  |  Red &lt;45%. Flag any bucket that drops &gt;5pp MoM.</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Month-on-month table. Rows = months (rolling 6). Columns = time buckets. Cells = % resolved. Red cell = drop vs prior month.</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Deepak (query) · Kalpesh (pipeline) · Shivani (front-end)</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Touch definition standardisation (see Blocked KPI B4). Use first_touch_date as the anchor. Subsequent touch SLAs are not needed for this metric.</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 Query is straightforward; front-end is a simple table.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 gave an example from his manual tracker: October 0–45d was 62%, Jan dropped to 52% — that Jan drop should be immediately visible on this table and trigger an investigation. Cross-reference with team roster or SOP changes in that month.</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B2</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AR Liquidation by Aging Bucket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 tab → AR Resolution &amp; Touch Efficiency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data ready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Show how efficiently dollar-value AR is being cleared before it ages too far. Pairs with AR Resolution by Aging (which is count-based) — this is the dollar view.</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For each aging bucket (0–30d, 31–60d, 61–90d, 91–120d, 120+d): Resolved AR in Bucket ($) / Total AR in Bucket ($). Aging is calculated from bill_date to today.</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claims table (fields: claim_id, bill_date, claim_amount, resolution_date, resolution_amount). Age bucket = (today - bill_date) in days.</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0–30d: target &gt;60%  |  120+d: any reading below 25% = red. 120+ bucket is highest priority — timely filing risk.</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Horizontal bar chart per bucket. Show both % and $ amount. Colour: green (0–30d) → amber (91–120d) → red (120+d).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Kalpesh (data · dollar join) · Shivani (front-end)</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Dollar amounts per claim must be accessible in Optimix. Confirm with Kalpesh that claim_amount and resolution_amount fields are populated.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 mentioned that 120+ claims are at risk of timely filing loss. This metric should fire a daily alert if the 120+ bucket liquidation rate drops below 20%.</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B3</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Cash from AR Effort + Associate Drill-down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 tab → Cash Impact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needs PII access control</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Measure the financial impact of the AR team's work. At aggregate level: what % of total cash collected came from AR-touched claims? At associate level: who are the top collectors and what are they doing differently?</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Top-level: Cash collected via AR touches / Total cash collected this month. Associate level: Sum of claim_amount resolved per associate_id / Total cash collected.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touch log (add associate_id field) JOIN payment posting system (fields: payment_amount, payment_date, claim_id). Associate ID must be tagged on each touch event.</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Aggregate: Rahul's current benchmark is 8.2%. Green: &gt;9%  |  Amber: 7–9%  |  Red: &lt;7%. Associate: flag bottom 2 performers if &lt;5% of team average.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Aggregate: large number with MoM sparkline. Associate: horizontal bar chart sorted descending. Manager+ access only for associate view.</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Kalpesh (pipeline + associate_id tagging) · IT (PII access control) · Shivani (front-end role gating)</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associate_id must be added to Optimix touch log (confirm with IT). 2. Role-based access control must gate the associate drill-down to Manager+ users only. 3. Payment posting system API or export needed.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2 sprints (1 for pipeline + PII, 1 for front-end + role gating).</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 said: 'raising from 8% to 10% = $2M monthly upside.' This is a high-value metric. Associate drill-down should not be visible to associates themselves — manager view only.</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B4</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Touchless Automation Rate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 tab → Primary ROI Indicators (hero section, top of page)</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data ready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Rahul's #1 ROI metric. Answers: 'Is the AI actually reducing my team's manual workload?' A claim is touchless if it reached resolution (paid or zero-balanced) with zero human AR touch events recorded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Claims resolved without any human touch event / Total Claims in Workable Inventory for that period.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event log. A claim is touchless if: resolution_date IS NOT NULL AND COUNT(touch_events WHERE actor_type = 'human') = 0.</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Current baseline: 18.4% (estimated). Green: &gt;20%  |  Amber: 15–20%  |  Red: &lt;15%. Target: 25% by Q4 2026.</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Large percentage number (hero size on Sr. Leader tab). 6-month MoM sparkline below. Show progress-to-target indicator.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Deepak (model event tagging) · Kalpesh (pipeline) · Shivani (Sr. Leader tab hero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event log must distinguish human touch events from AI/automated actions. Tag field: actor_type ('human' | 'ai' | 'automated'). Confirm with Deepak that this field exists.</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 once actor_type field is confirmed.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This is the headline metric Rahul wants to see first when he opens the Sr. Leader tab. It should be the largest visual element on the page. Track MoM trend — if it is flat for 2+ months, flag to Nakul.</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B5</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Cash Collected MTD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 tab → Financial Health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needs payment posting feed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Top-line monthly goal. How much cash has the AR team brought in this month? This is the overall ROI number.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Sum of payment_amount for all payments posted this month where payment_source = 'insurance'.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Payment posting system. Field: payment_amount, payment_date, claim_id, payment_source. Needs API or daily export to Optimix warehouse.</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No hard threshold — compare to monthly target (set by ops leadership). Show MoM delta.</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Dollar amount (e.g. $9.4M). MoM sparkline. Show vs target if target is available.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Kalpesh (payment posting system integration) · Finance team (to provide monthly target)</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Payment posting system must expose a data feed (API or daily CSV export) to the Optimix data warehouse. Confirm with IT.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 once feed is confirmed.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Paired with Total A/R Impact and Touchless Rate to give the Sr. Leader a complete financial picture in 3 numbers.</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B6</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Total A/R Impact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 tab → Financial Health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data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Financial risk indicator. What is the total dollar value of outstanding AR that the ops team needs to recover?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Total $ of Denials (sum of denied claim amounts) + Total $ of NPNR (sum of NPNR claim amounts). Both from active open claims only.</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claims table (fields: claim_id, claim_amount, denial_flag, npnr_flag, resolution_date IS NULL).</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No hard threshold. Show split (Denial $ vs NPNR $). Flag if total grows &gt;10% MoM.</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Total $ with breakdown bar (denial vs NPNR). Colour: red for denials, amber for NPNR.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Kalpesh (data query) · Shivani (front-end)</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None. All fields available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 called this 'Financial health indicator.' It should be read alongside Cash Collected MTD — if A/R Impact is growing while Cash Collected is flat, that's a red flag.</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B7</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90+ Day AR Outstanding</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 tab → Write-off Risk Exposure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data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Write-off risk exposure. Claims that age past 120 days risk timely filing loss — they become unrecoverable. Sr. Leader wants one number showing total dollar risk in the 90+ bucket.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Sum of claim_amount for all open claims (resolution_date IS NULL) where (today - bill_date) &gt; 90 days. Break into sub-buckets: 91–120d and 120+d.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claims table (fields: claim_id, claim_amount, bill_date, resolution_date).</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91–120d: flag if growing MoM. 120+d: Red if any claims in this bucket — timely filing risk. Total 90+: flag if &gt;$1M or &gt;10% of total AR backlog.</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Total $ with sub-bucket breakdown. 6-month MoM trend (bar chart). Red badge if 120+ bucket is non-zero.</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Kalpesh · Shivani</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None. All fields available in Optimix.</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 specifically said: 'if I lose a timely filing or appeal filing limit then the claim is gone — it is a write-off.' This metric must fire an email alert to the Ops Manager when any claim approaches the 120-day threshold.</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B8</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Cost to Collect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Sr. Leader tab → Primary ROI Indicators (hero section)</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 BUILD — needs Finance input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Rahul's #2 ROI metric. Answers: 'Is our AR operation getting more efficient?' A declining cost-to-collect trend is the proof that AI investment is working.</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Total monthly ops cost (FTE salaries + platform costs + overhead) / Total AR revenue collected that month.</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Two feeds needed: 1. Finance team monthly ops cost export. 2. Payment posting system cash collected (same as B5 above).</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Current baseline: ~$4.80. Green: &lt;$4.00  |  Amber: $4.00–$5.00  |  Red: &gt;$5.00. Target: ≤$4.00 by end of 2026.</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Dollar per dollar collected (e.g. $4.80). 6-month MoM sparkline (should trend down). Progress to target indicator.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Nakul (to arrange Finance feed) · Kalpesh (data pipeline) · Shivani (front-end)</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Finance team must provide a monthly ops cost figure as a feed or manual input. This is the only KPI that requires data from outside Optimix. Schedule a meeting with Finance.</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 once Finance feed is confirmed. Until then, show as placeholder with manual entry option.</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This is a lagging indicator — it updates monthly, not daily. Sr. Leader should use this alongside Touchless Automation Rate to tell the complete ROI story: automation is going up (leading), cost is going down (lagging).</w:t>
            </w:r>
          </w:p>
        </w:tc>
      </w:tr>
    </w:tbl>
    <w:p>
      <w:pPr>
        <w:spacing w:before="0" w:after="60"/>
      </w:pPr>
    </w:p>
    <w:p>
      <w:pPr>
        <w:spacing w:before="0" w:after="60"/>
      </w:pPr>
    </w:p>
    <w:p>
      <w:r>class PageBreak extends Run {
  constructor() {
    super({});
    this.root.push(new Break2(BreakType.PAGE));
  }
}</w:r>
    </w:p>
    <w:p>
      <w:pPr>
        <w:pStyle w:val="Heading2"/>
        <w:spacing w:before="240" w:after="100"/>
      </w:pPr>
      <w:r>
        <w:rPr>
          <w:rFonts w:ascii="Arial" w:cs="Arial" w:eastAsia="Arial" w:hAnsi="Arial"/>
          <w:b/>
          <w:bCs/>
          <w:color w:val="B71C1C"/>
          <w:sz w:val="26"/>
          <w:szCs w:val="26"/>
        </w:rPr>
        <w:t xml:space="preserve">Section C — BLOCKED KPIs (Dependency First)</w:t>
      </w:r>
    </w:p>
    <w:p>
      <w:pPr>
        <w:spacing w:before="0" w:after="100"/>
      </w:pPr>
      <w:r>
        <w:rPr>
          <w:rFonts w:ascii="Arial" w:cs="Arial" w:eastAsia="Arial" w:hAnsi="Arial"/>
          <w:color w:val="37474F"/>
          <w:sz w:val="22"/>
          <w:szCs w:val="22"/>
        </w:rPr>
        <w:t xml:space="preserve">These cannot be built until a named dependency is resolved. The dependency is explicitly stated.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2F1" w:val="clear"/>
            <w:tcMar>
              <w:top w:type="dxa" w:w="80"/>
              <w:left w:type="dxa" w:w="120"/>
              <w:bottom w:type="dxa" w:w="80"/>
              <w:right w:type="dxa" w:w="120"/>
            </w:tcMar>
            <w:vAlign w:val="center"/>
          </w:tcPr>
          <w:p>
            <w:pPr>
              <w:jc w:val="center"/>
            </w:pPr>
            <w:r>
              <w:rPr>
                <w:rFonts w:ascii="Arial" w:cs="Arial" w:eastAsia="Arial" w:hAnsi="Arial"/>
                <w:b/>
                <w:bCs/>
                <w:color w:val="004D40"/>
                <w:sz w:val="18"/>
                <w:szCs w:val="18"/>
              </w:rPr>
              <w:t xml:space="preserve">KPI BLK1</w:t>
            </w:r>
          </w:p>
        </w:tc>
        <w:tc>
          <w:tcPr>
            <w:tcW w:type="dxa" w:w="8160"/>
            <w:tcBorders>
              <w:top w:val="none" w:color="FFFFFF" w:sz="0"/>
              <w:left w:val="none" w:color="FFFFFF" w:sz="0"/>
              <w:bottom w:val="none" w:color="FFFFFF" w:sz="0"/>
              <w:right w:val="none" w:color="FFFFFF" w:sz="0"/>
            </w:tcBorders>
            <w:shd w:fill="E0F2F1" w:val="clear"/>
            <w:tcMar>
              <w:top w:type="dxa" w:w="80"/>
              <w:left w:type="dxa" w:w="160"/>
              <w:bottom w:type="dxa" w:w="80"/>
              <w:right w:type="dxa" w:w="120"/>
            </w:tcMar>
          </w:tcPr>
          <w:p>
            <w:r>
              <w:rPr>
                <w:rFonts w:ascii="Arial" w:cs="Arial" w:eastAsia="Arial" w:hAnsi="Arial"/>
                <w:color w:val="004D40"/>
                <w:sz w:val="20"/>
                <w:szCs w:val="20"/>
              </w:rPr>
              <w:t xml:space="preserve">AR Efficiency (3-Dimension Composite)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E3F2FD" w:val="clear"/>
            <w:tcMar>
              <w:top w:type="dxa" w:w="80"/>
              <w:left w:type="dxa" w:w="120"/>
              <w:bottom w:type="dxa" w:w="80"/>
              <w:right w:type="dxa" w:w="120"/>
            </w:tcMar>
          </w:tcPr>
          <w:p>
            <w:r>
              <w:rPr>
                <w:rFonts w:ascii="Arial" w:cs="Arial" w:eastAsia="Arial" w:hAnsi="Arial"/>
                <w:b/>
                <w:bCs/>
                <w:color w:val="37474F"/>
                <w:sz w:val="19"/>
                <w:szCs w:val="19"/>
              </w:rPr>
              <w:t xml:space="preserve">Persona</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Tab</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Ops Manager tab → AR Efficiency section (placeholder shown until unblocked)</w:t>
            </w:r>
          </w:p>
        </w:tc>
      </w:tr>
      <w:tr>
        <w:tc>
          <w:tcPr>
            <w:tcW w:type="dxa" w:w="1600"/>
            <w:tcBorders>
              <w:top w:val="single" w:color="E2E8F0" w:sz="1"/>
              <w:left w:val="single" w:color="E2E8F0" w:sz="1"/>
              <w:bottom w:val="single" w:color="E2E8F0" w:sz="1"/>
              <w:right w:val="single" w:color="E2E8F0" w:sz="1"/>
            </w:tcBorders>
            <w:shd w:fill="FFEBEE" w:val="clear"/>
            <w:tcMar>
              <w:top w:type="dxa" w:w="80"/>
              <w:left w:type="dxa" w:w="120"/>
              <w:bottom w:type="dxa" w:w="80"/>
              <w:right w:type="dxa" w:w="120"/>
            </w:tcMar>
          </w:tcPr>
          <w:p>
            <w:r>
              <w:rPr>
                <w:rFonts w:ascii="Arial" w:cs="Arial" w:eastAsia="Arial" w:hAnsi="Arial"/>
                <w:b/>
                <w:bCs/>
                <w:color w:val="37474F"/>
                <w:sz w:val="19"/>
                <w:szCs w:val="19"/>
              </w:rPr>
              <w:t xml:space="preserve">Status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BLOCKED — touch SLA definition required first</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Objective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A composite efficiency view giving the Ops Manager three numbers: how old is the AR, how recently was it touched, and how long did it take to resolve after touching?</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Calculation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Sub-metric 1: Average days since bill_date for all open claims (DAR). Sub-metric 2: Average days since last touch_date for all open claims. Sub-metric 3: Average days from first touch_date to resolution_date for resolved claims this month.</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Data Source</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Optimix claims table + touch log. Fields: bill_date, last_touch_date, first_touch_date, resolution_date.</w:t>
            </w:r>
          </w:p>
        </w:tc>
      </w:tr>
      <w:tr>
        <w:tc>
          <w:tcPr>
            <w:tcW w:type="dxa" w:w="16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37474F"/>
                <w:sz w:val="19"/>
                <w:szCs w:val="19"/>
              </w:rPr>
              <w:t xml:space="preserve">Threshold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Sub-metric 1 (DAR): Red if average &gt;60 days. Sub-metric 2 (since touch): Red if average &gt;30 days (but this threshold depends on agreed touch SLA per channel). Sub-metric 3 (touch-to-resolve): Green &lt;30d  |  Amber 30–45d  |  Red &gt;45d.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Format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Three stat boxes side by side. Each shows a number and a trend indicator.</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Owner</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Deepak (definition) · Rajnish (sign-off) · Kalpesh (pipeline) · Shivani (front-end)</w:t>
            </w:r>
          </w:p>
        </w:tc>
      </w:tr>
      <w:tr>
        <w:tc>
          <w:tcPr>
            <w:tcW w:type="dxa" w:w="1600"/>
            <w:tcBorders>
              <w:top w:val="single" w:color="E2E8F0" w:sz="1"/>
              <w:left w:val="single" w:color="E2E8F0" w:sz="1"/>
              <w:bottom w:val="single" w:color="E2E8F0" w:sz="1"/>
              <w:right w:val="single" w:color="E2E8F0" w:sz="1"/>
            </w:tcBorders>
            <w:shd w:fill="FFEBEE" w:val="clear"/>
            <w:tcMar>
              <w:top w:type="dxa" w:w="80"/>
              <w:left w:type="dxa" w:w="120"/>
              <w:bottom w:type="dxa" w:w="80"/>
              <w:right w:type="dxa" w:w="120"/>
            </w:tcMar>
          </w:tcPr>
          <w:p>
            <w:r>
              <w:rPr>
                <w:rFonts w:ascii="Arial" w:cs="Arial" w:eastAsia="Arial" w:hAnsi="Arial"/>
                <w:b/>
                <w:bCs/>
                <w:color w:val="37474F"/>
                <w:sz w:val="19"/>
                <w:szCs w:val="19"/>
              </w:rPr>
              <w:t xml:space="preserve">Dependency</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BLOCKER: Touch SLA per channel must be agreed with Rajnish before sub-metric 2 threshold can be set. Rahul proposed: Voicemail = 7 days, Fax/Upload = 14 days, Paper Appeal = 30–45 days. This is not yet formally agreed. Action: Schedule Rajnish sign-off session. Once agreed, this becomes a 1-sprint build.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Sprint Est.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1 sprint after blocker is resolved.</w:t>
            </w:r>
          </w:p>
        </w:tc>
      </w:tr>
      <w:tr>
        <w:tc>
          <w:tcPr>
            <w:tcW w:type="dxa" w:w="1600"/>
            <w:tcBorders>
              <w:top w:val="single" w:color="E2E8F0" w:sz="1"/>
              <w:left w:val="single" w:color="E2E8F0" w:sz="1"/>
              <w:bottom w:val="single" w:color="E2E8F0" w:sz="1"/>
              <w:right w:val="single" w:color="E2E8F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Notes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20"/>
                <w:szCs w:val="20"/>
              </w:rPr>
              <w:t xml:space="preserve">Sub-metrics 1 and 3 are not blocked — only sub-metric 2 threshold depends on the touch SLA agreement. Consider shipping sub-metrics 1 and 3 in the next sprint and adding sub-metric 2 once unblocked.</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6. Alert Thresholds — RAG Table</w:t>
      </w:r>
    </w:p>
    <w:p>
      <w:pPr>
        <w:spacing w:before="0" w:after="100"/>
      </w:pPr>
      <w:r>
        <w:rPr>
          <w:rFonts w:ascii="Arial" w:cs="Arial" w:eastAsia="Arial" w:hAnsi="Arial"/>
          <w:color w:val="37474F"/>
          <w:sz w:val="22"/>
          <w:szCs w:val="22"/>
        </w:rPr>
        <w:t xml:space="preserve">Every KPI that has a defined threshold must display a Red / Amber / Green badge on the dashboard card. This table is the authoritative reference for threshold logic.</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120"/>
        <w:gridCol w:w="2120"/>
        <w:gridCol w:w="2120"/>
      </w:tblGrid>
      <w:tr>
        <w:trPr>
          <w:tblHeader/>
        </w:trPr>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KPI</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Persona</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Green</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Amber</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Appeal Resolution Rate (≤45d)</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&gt;45%</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35–45%</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&lt;35%</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First Touch Resolution</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&gt;55%</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45–55%</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&lt;45%</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3+ Touch Claims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&lt;15%</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15–25%</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&gt;25%</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Denial Recovery Rate (6-mo)</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&gt;95%</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80–95%</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&lt;80%</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Collectible Work %</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&gt;75%</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60–75%</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&lt;60%</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90+ AR at Risk (120+d bucket)</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Both</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Zero claims</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Any $</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Growing MoM</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AR Liquidation — 120+ bucket</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&gt;30%</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20–30%</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&lt;20%</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Touch-to-Res. Lag (0–45d)</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&gt;60%</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45–60%</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&lt;45%</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Touchless Automation Rate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Sr. Leader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&gt;20%</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15–20%</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&lt;15%</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Cost to Collect</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Sr. Leader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&lt;$4.00</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$4.00–$5.00</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&gt;$5.00</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Payment Accuracy</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Sr. Leader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&gt;90%</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80–90%</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&lt;80%</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Denial Accuracy</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Sr. Leader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&gt;85%</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75–85%</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&lt;75%</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Cash from AR Effort</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&gt;9%</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7–9%</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&lt;7%</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AR Efficiency — DAR</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&lt;45 days</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45–60 days</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&gt;60 days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AR Efficiency — Touch-to-Resolve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74F"/>
                <w:sz w:val="19"/>
                <w:szCs w:val="19"/>
              </w:rPr>
              <w:t xml:space="preserve">Ops Mgr</w:t>
            </w:r>
          </w:p>
        </w:tc>
        <w:tc>
          <w:tcPr>
            <w:tcW w:type="dxa" w:w="212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color w:val="1B5E20"/>
                <w:sz w:val="19"/>
                <w:szCs w:val="19"/>
              </w:rPr>
              <w:t xml:space="preserve">&lt;30 days</w:t>
            </w:r>
          </w:p>
        </w:tc>
        <w:tc>
          <w:tcPr>
            <w:tcW w:type="dxa" w:w="212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color w:val="E65100"/>
                <w:sz w:val="19"/>
                <w:szCs w:val="19"/>
              </w:rPr>
              <w:t xml:space="preserve">30–45 days</w:t>
            </w:r>
          </w:p>
        </w:tc>
        <w:tc>
          <w:tcPr>
            <w:tcW w:type="dxa" w:w="2120"/>
            <w:tcBorders>
              <w:top w:val="single" w:color="E2E8F0" w:sz="1"/>
              <w:left w:val="single" w:color="E2E8F0" w:sz="1"/>
              <w:bottom w:val="single" w:color="E2E8F0" w:sz="1"/>
              <w:right w:val="single" w:color="E2E8F0" w:sz="1"/>
            </w:tcBorders>
            <w:shd w:fill="FFEBEE" w:val="clear"/>
            <w:tcMar>
              <w:top w:type="dxa" w:w="60"/>
              <w:left w:type="dxa" w:w="100"/>
              <w:bottom w:type="dxa" w:w="60"/>
              <w:right w:type="dxa" w:w="100"/>
            </w:tcMar>
          </w:tcPr>
          <w:p>
            <w:r>
              <w:rPr>
                <w:rFonts w:ascii="Arial" w:cs="Arial" w:eastAsia="Arial" w:hAnsi="Arial"/>
                <w:color w:val="B71C1C"/>
                <w:sz w:val="19"/>
                <w:szCs w:val="19"/>
              </w:rPr>
              <w:t xml:space="preserve">&gt;45 days</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7. Data Sources &amp; Field Mapping</w:t>
      </w:r>
    </w:p>
    <w:p>
      <w:pPr>
        <w:spacing w:before="0" w:after="100"/>
      </w:pPr>
      <w:r>
        <w:rPr>
          <w:rFonts w:ascii="Arial" w:cs="Arial" w:eastAsia="Arial" w:hAnsi="Arial"/>
          <w:color w:val="37474F"/>
          <w:sz w:val="22"/>
          <w:szCs w:val="22"/>
        </w:rPr>
        <w:t xml:space="preserve">All KPIs pull from one of three source systems. This section lists the exact field names needed and any transformations required.</w:t>
      </w:r>
    </w:p>
    <w:p>
      <w:pPr>
        <w:spacing w:before="0" w:after="60"/>
      </w:pPr>
    </w:p>
    <w:p>
      <w:pPr>
        <w:pStyle w:val="Heading2"/>
        <w:spacing w:before="240" w:after="100"/>
      </w:pPr>
      <w:r>
        <w:rPr>
          <w:rFonts w:ascii="Arial" w:cs="Arial" w:eastAsia="Arial" w:hAnsi="Arial"/>
          <w:b/>
          <w:bCs/>
          <w:color w:val="00897B"/>
          <w:sz w:val="26"/>
          <w:szCs w:val="26"/>
        </w:rPr>
        <w:t xml:space="preserve">7.1 Optimix Event Log</w:t>
      </w:r>
    </w:p>
    <w:p>
      <w:pPr>
        <w:spacing w:before="0" w:after="100"/>
      </w:pPr>
      <w:r>
        <w:rPr>
          <w:rFonts w:ascii="Arial" w:cs="Arial" w:eastAsia="Arial" w:hAnsi="Arial"/>
          <w:color w:val="37474F"/>
          <w:sz w:val="22"/>
          <w:szCs w:val="22"/>
        </w:rPr>
        <w:t xml:space="preserve">Primary source for all AR operations data. Accessed via Optimix API or direct warehouse query.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Borders>
              <w:top w:val="single" w:color="E2E8F0" w:sz="1"/>
              <w:left w:val="single" w:color="E2E8F0" w:sz="1"/>
              <w:bottom w:val="single" w:color="E2E8F0" w:sz="1"/>
              <w:right w:val="single" w:color="E2E8F0" w:sz="1"/>
            </w:tcBorders>
            <w:shd w:fill="004D40"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E2E8F0" w:sz="1"/>
              <w:left w:val="single" w:color="E2E8F0" w:sz="1"/>
              <w:bottom w:val="single" w:color="E2E8F0" w:sz="1"/>
              <w:right w:val="single" w:color="E2E8F0" w:sz="1"/>
            </w:tcBorders>
            <w:shd w:fill="004D4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E2E8F0" w:sz="1"/>
              <w:left w:val="single" w:color="E2E8F0" w:sz="1"/>
              <w:bottom w:val="single" w:color="E2E8F0" w:sz="1"/>
              <w:right w:val="single" w:color="E2E8F0" w:sz="1"/>
            </w:tcBorders>
            <w:shd w:fill="004D40" w:val="clear"/>
            <w:tcMar>
              <w:top w:type="dxa" w:w="80"/>
              <w:left w:type="dxa" w:w="120"/>
              <w:bottom w:type="dxa" w:w="80"/>
              <w:right w:type="dxa" w:w="120"/>
            </w:tcMar>
          </w:tcPr>
          <w:p>
            <w:r>
              <w:rPr>
                <w:rFonts w:ascii="Arial" w:cs="Arial" w:eastAsia="Arial" w:hAnsi="Arial"/>
                <w:b/>
                <w:bCs/>
                <w:color w:val="FFFFFF"/>
                <w:sz w:val="19"/>
                <w:szCs w:val="19"/>
              </w:rPr>
              <w:t xml:space="preserve">Used By (KPI IDs)</w:t>
            </w:r>
          </w:p>
        </w:tc>
        <w:tc>
          <w:tcPr>
            <w:tcBorders>
              <w:top w:val="single" w:color="E2E8F0" w:sz="1"/>
              <w:left w:val="single" w:color="E2E8F0" w:sz="1"/>
              <w:bottom w:val="single" w:color="E2E8F0" w:sz="1"/>
              <w:right w:val="single" w:color="E2E8F0" w:sz="1"/>
            </w:tcBorders>
            <w:shd w:fill="004D4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claim_id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All</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Primary key across all tables</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bill_date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B2, B6, B7, BLK1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 claim was submitted to payer</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ittt_expiry_flag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L1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True when 3rd ITTT prediction window expires</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denial_actual_flag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L1, L2, B5</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True when payer returns an actual denial</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payment_denied_flag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L1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True when payment was expected but denied</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touch_date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B1, BLK1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 of each AR touch event</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touch_type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B3, BLK1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Channel: voicemail, fax, web_portal, paper</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actor_type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B4</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human | ai | automated — CONFIRM THIS EXISTS</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associate_id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B3</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Associate who made the touch — CONFIRM POPULATED</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resolution_date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B1, B2, B7, BLK1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 claim was resolved (paid or zero-balanced)</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resolution_type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payment | adjustment | write_off | other</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disposition_code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Ops KPI 15, 16</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Status code applied at each touch</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appeal_flag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Ops KPI 13</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True when touch type is an appeal filing</w:t>
            </w:r>
          </w:p>
        </w:tc>
      </w:tr>
      <w:tr>
        <w:tc>
          <w:tcPr>
            <w:tcW w:type="dxa" w:w="2200"/>
            <w:tcBorders>
              <w:top w:val="single" w:color="E2E8F0" w:sz="1"/>
              <w:left w:val="single" w:color="E2E8F0" w:sz="1"/>
              <w:bottom w:val="single" w:color="E2E8F0" w:sz="1"/>
              <w:right w:val="single" w:color="E2E8F0" w:sz="1"/>
            </w:tcBorders>
            <w:shd w:fill="E0F2F1" w:val="clear"/>
            <w:tcMar>
              <w:top w:type="dxa" w:w="60"/>
              <w:left w:type="dxa" w:w="120"/>
              <w:bottom w:type="dxa" w:w="60"/>
              <w:right w:type="dxa" w:w="120"/>
            </w:tcMar>
          </w:tcPr>
          <w:p>
            <w:r>
              <w:rPr>
                <w:rFonts w:ascii="Arial" w:cs="Arial" w:eastAsia="Arial" w:hAnsi="Arial"/>
                <w:color w:val="37474F"/>
                <w:sz w:val="19"/>
                <w:szCs w:val="19"/>
              </w:rPr>
              <w:t xml:space="preserve">npnr_flag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L1, B6</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True for No-Pay No-Response claims</w:t>
            </w:r>
          </w:p>
        </w:tc>
      </w:tr>
    </w:tbl>
    <w:p>
      <w:pPr>
        <w:spacing w:before="0" w:after="60"/>
      </w:pPr>
    </w:p>
    <w:p>
      <w:pPr>
        <w:spacing w:before="0" w:after="60"/>
      </w:pPr>
    </w:p>
    <w:p>
      <w:pPr>
        <w:pStyle w:val="Heading2"/>
        <w:spacing w:before="240" w:after="100"/>
      </w:pPr>
      <w:r>
        <w:rPr>
          <w:rFonts w:ascii="Arial" w:cs="Arial" w:eastAsia="Arial" w:hAnsi="Arial"/>
          <w:b/>
          <w:bCs/>
          <w:color w:val="1565C0"/>
          <w:sz w:val="26"/>
          <w:szCs w:val="26"/>
        </w:rPr>
        <w:t xml:space="preserve">7.2 Payment Posting System</w:t>
      </w:r>
    </w:p>
    <w:p>
      <w:pPr>
        <w:spacing w:before="0" w:after="100"/>
      </w:pPr>
      <w:r>
        <w:rPr>
          <w:rFonts w:ascii="Arial" w:cs="Arial" w:eastAsia="Arial" w:hAnsi="Arial"/>
          <w:color w:val="37474F"/>
          <w:sz w:val="22"/>
          <w:szCs w:val="22"/>
        </w:rPr>
        <w:t xml:space="preserve">Required for Cash Collected MTD and Cash from AR Effort. Needs API or daily export confirmed with IT.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Borders>
              <w:top w:val="single" w:color="E2E8F0" w:sz="1"/>
              <w:left w:val="single" w:color="E2E8F0" w:sz="1"/>
              <w:bottom w:val="single" w:color="E2E8F0" w:sz="1"/>
              <w:right w:val="single" w:color="E2E8F0"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E2E8F0" w:sz="1"/>
              <w:left w:val="single" w:color="E2E8F0" w:sz="1"/>
              <w:bottom w:val="single" w:color="E2E8F0" w:sz="1"/>
              <w:right w:val="single" w:color="E2E8F0"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E2E8F0" w:sz="1"/>
              <w:left w:val="single" w:color="E2E8F0" w:sz="1"/>
              <w:bottom w:val="single" w:color="E2E8F0" w:sz="1"/>
              <w:right w:val="single" w:color="E2E8F0"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Used By (KPI IDs)</w:t>
            </w:r>
          </w:p>
        </w:tc>
        <w:tc>
          <w:tcPr>
            <w:tcBorders>
              <w:top w:val="single" w:color="E2E8F0" w:sz="1"/>
              <w:left w:val="single" w:color="E2E8F0" w:sz="1"/>
              <w:bottom w:val="single" w:color="E2E8F0" w:sz="1"/>
              <w:right w:val="single" w:color="E2E8F0"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color w:val="37474F"/>
                <w:sz w:val="19"/>
                <w:szCs w:val="19"/>
              </w:rPr>
              <w:t xml:space="preserve">payment_id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B3, B5</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Primary key for payment records</w:t>
            </w:r>
          </w:p>
        </w:tc>
      </w:tr>
      <w:tr>
        <w:tc>
          <w:tcPr>
            <w:tcW w:type="dxa" w:w="22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color w:val="37474F"/>
                <w:sz w:val="19"/>
                <w:szCs w:val="19"/>
              </w:rPr>
              <w:t xml:space="preserve">claim_id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B3, B5</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FK to Optimix claims table</w:t>
            </w:r>
          </w:p>
        </w:tc>
      </w:tr>
      <w:tr>
        <w:tc>
          <w:tcPr>
            <w:tcW w:type="dxa" w:w="22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color w:val="37474F"/>
                <w:sz w:val="19"/>
                <w:szCs w:val="19"/>
              </w:rPr>
              <w:t xml:space="preserve">payment_amount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DECIMAL</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B3, B5, B6</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Dollar amount of payment received</w:t>
            </w:r>
          </w:p>
        </w:tc>
      </w:tr>
      <w:tr>
        <w:tc>
          <w:tcPr>
            <w:tcW w:type="dxa" w:w="22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color w:val="37474F"/>
                <w:sz w:val="19"/>
                <w:szCs w:val="19"/>
              </w:rPr>
              <w:t xml:space="preserve">payment_date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B5</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 payment was posted</w:t>
            </w:r>
          </w:p>
        </w:tc>
      </w:tr>
      <w:tr>
        <w:tc>
          <w:tcPr>
            <w:tcW w:type="dxa" w:w="22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color w:val="37474F"/>
                <w:sz w:val="19"/>
                <w:szCs w:val="19"/>
              </w:rPr>
              <w:t xml:space="preserve">payment_source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VARCHAR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B5</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insurance | patient | adjustment</w:t>
            </w:r>
          </w:p>
        </w:tc>
      </w:tr>
      <w:tr>
        <w:tc>
          <w:tcPr>
            <w:tcW w:type="dxa" w:w="22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color w:val="37474F"/>
                <w:sz w:val="19"/>
                <w:szCs w:val="19"/>
              </w:rPr>
              <w:t xml:space="preserve">denial_recovery_flag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Ops KPI 14</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True when payment follows a prior denial</w:t>
            </w:r>
          </w:p>
        </w:tc>
      </w:tr>
    </w:tbl>
    <w:p>
      <w:pPr>
        <w:spacing w:before="0" w:after="60"/>
      </w:pPr>
    </w:p>
    <w:p>
      <w:pPr>
        <w:spacing w:before="0" w:after="60"/>
      </w:pPr>
    </w:p>
    <w:p>
      <w:pPr>
        <w:pStyle w:val="Heading2"/>
        <w:spacing w:before="240" w:after="100"/>
      </w:pPr>
      <w:r>
        <w:rPr>
          <w:rFonts w:ascii="Arial" w:cs="Arial" w:eastAsia="Arial" w:hAnsi="Arial"/>
          <w:b/>
          <w:bCs/>
          <w:color w:val="6A1B9A"/>
          <w:sz w:val="26"/>
          <w:szCs w:val="26"/>
        </w:rPr>
        <w:t xml:space="preserve">7.3 Finance System (External)</w:t>
      </w:r>
    </w:p>
    <w:p>
      <w:pPr>
        <w:spacing w:before="0" w:after="100"/>
      </w:pPr>
      <w:r>
        <w:rPr>
          <w:rFonts w:ascii="Arial" w:cs="Arial" w:eastAsia="Arial" w:hAnsi="Arial"/>
          <w:color w:val="37474F"/>
          <w:sz w:val="22"/>
          <w:szCs w:val="22"/>
        </w:rPr>
        <w:t xml:space="preserve">Required only for Cost to Collect (KPI B8). Single monthly figure. Arrange with Finance team.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Borders>
              <w:top w:val="single" w:color="E2E8F0" w:sz="1"/>
              <w:left w:val="single" w:color="E2E8F0" w:sz="1"/>
              <w:bottom w:val="single" w:color="E2E8F0" w:sz="1"/>
              <w:right w:val="single" w:color="E2E8F0" w:sz="1"/>
            </w:tcBorders>
            <w:shd w:fill="6A1B9A"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E2E8F0" w:sz="1"/>
              <w:left w:val="single" w:color="E2E8F0" w:sz="1"/>
              <w:bottom w:val="single" w:color="E2E8F0" w:sz="1"/>
              <w:right w:val="single" w:color="E2E8F0" w:sz="1"/>
            </w:tcBorders>
            <w:shd w:fill="6A1B9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E2E8F0" w:sz="1"/>
              <w:left w:val="single" w:color="E2E8F0" w:sz="1"/>
              <w:bottom w:val="single" w:color="E2E8F0" w:sz="1"/>
              <w:right w:val="single" w:color="E2E8F0" w:sz="1"/>
            </w:tcBorders>
            <w:shd w:fill="6A1B9A" w:val="clear"/>
            <w:tcMar>
              <w:top w:type="dxa" w:w="80"/>
              <w:left w:type="dxa" w:w="120"/>
              <w:bottom w:type="dxa" w:w="80"/>
              <w:right w:type="dxa" w:w="120"/>
            </w:tcMar>
          </w:tcPr>
          <w:p>
            <w:r>
              <w:rPr>
                <w:rFonts w:ascii="Arial" w:cs="Arial" w:eastAsia="Arial" w:hAnsi="Arial"/>
                <w:b/>
                <w:bCs/>
                <w:color w:val="FFFFFF"/>
                <w:sz w:val="19"/>
                <w:szCs w:val="19"/>
              </w:rPr>
              <w:t xml:space="preserve">Used By</w:t>
            </w:r>
          </w:p>
        </w:tc>
        <w:tc>
          <w:tcPr>
            <w:tcBorders>
              <w:top w:val="single" w:color="E2E8F0" w:sz="1"/>
              <w:left w:val="single" w:color="E2E8F0" w:sz="1"/>
              <w:bottom w:val="single" w:color="E2E8F0" w:sz="1"/>
              <w:right w:val="single" w:color="E2E8F0" w:sz="1"/>
            </w:tcBorders>
            <w:shd w:fill="6A1B9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2E8F0" w:sz="1"/>
              <w:left w:val="single" w:color="E2E8F0" w:sz="1"/>
              <w:bottom w:val="single" w:color="E2E8F0" w:sz="1"/>
              <w:right w:val="single" w:color="E2E8F0" w:sz="1"/>
            </w:tcBorders>
            <w:shd w:fill="F3E5F5" w:val="clear"/>
            <w:tcMar>
              <w:top w:type="dxa" w:w="60"/>
              <w:left w:type="dxa" w:w="120"/>
              <w:bottom w:type="dxa" w:w="60"/>
              <w:right w:type="dxa" w:w="120"/>
            </w:tcMar>
          </w:tcPr>
          <w:p>
            <w:r>
              <w:rPr>
                <w:rFonts w:ascii="Arial" w:cs="Arial" w:eastAsia="Arial" w:hAnsi="Arial"/>
                <w:color w:val="37474F"/>
                <w:sz w:val="19"/>
                <w:szCs w:val="19"/>
              </w:rPr>
              <w:t xml:space="preserve">month_year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B8</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Month for which cost is reported</w:t>
            </w:r>
          </w:p>
        </w:tc>
      </w:tr>
      <w:tr>
        <w:tc>
          <w:tcPr>
            <w:tcW w:type="dxa" w:w="2200"/>
            <w:tcBorders>
              <w:top w:val="single" w:color="E2E8F0" w:sz="1"/>
              <w:left w:val="single" w:color="E2E8F0" w:sz="1"/>
              <w:bottom w:val="single" w:color="E2E8F0" w:sz="1"/>
              <w:right w:val="single" w:color="E2E8F0" w:sz="1"/>
            </w:tcBorders>
            <w:shd w:fill="F3E5F5" w:val="clear"/>
            <w:tcMar>
              <w:top w:type="dxa" w:w="60"/>
              <w:left w:type="dxa" w:w="120"/>
              <w:bottom w:type="dxa" w:w="60"/>
              <w:right w:type="dxa" w:w="120"/>
            </w:tcMar>
          </w:tcPr>
          <w:p>
            <w:r>
              <w:rPr>
                <w:rFonts w:ascii="Arial" w:cs="Arial" w:eastAsia="Arial" w:hAnsi="Arial"/>
                <w:color w:val="37474F"/>
                <w:sz w:val="19"/>
                <w:szCs w:val="19"/>
              </w:rPr>
              <w:t xml:space="preserve">fte_cost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DECIMAL</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B8</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Total FTE salary + benefits for AR ops team</w:t>
            </w:r>
          </w:p>
        </w:tc>
      </w:tr>
      <w:tr>
        <w:tc>
          <w:tcPr>
            <w:tcW w:type="dxa" w:w="2200"/>
            <w:tcBorders>
              <w:top w:val="single" w:color="E2E8F0" w:sz="1"/>
              <w:left w:val="single" w:color="E2E8F0" w:sz="1"/>
              <w:bottom w:val="single" w:color="E2E8F0" w:sz="1"/>
              <w:right w:val="single" w:color="E2E8F0" w:sz="1"/>
            </w:tcBorders>
            <w:shd w:fill="F3E5F5" w:val="clear"/>
            <w:tcMar>
              <w:top w:type="dxa" w:w="60"/>
              <w:left w:type="dxa" w:w="120"/>
              <w:bottom w:type="dxa" w:w="60"/>
              <w:right w:type="dxa" w:w="120"/>
            </w:tcMar>
          </w:tcPr>
          <w:p>
            <w:r>
              <w:rPr>
                <w:rFonts w:ascii="Arial" w:cs="Arial" w:eastAsia="Arial" w:hAnsi="Arial"/>
                <w:color w:val="37474F"/>
                <w:sz w:val="19"/>
                <w:szCs w:val="19"/>
              </w:rPr>
              <w:t xml:space="preserve">platform_cost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DECIMAL</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B8</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Optimix + IKS platform monthly cost</w:t>
            </w:r>
          </w:p>
        </w:tc>
      </w:tr>
      <w:tr>
        <w:tc>
          <w:tcPr>
            <w:tcW w:type="dxa" w:w="2200"/>
            <w:tcBorders>
              <w:top w:val="single" w:color="E2E8F0" w:sz="1"/>
              <w:left w:val="single" w:color="E2E8F0" w:sz="1"/>
              <w:bottom w:val="single" w:color="E2E8F0" w:sz="1"/>
              <w:right w:val="single" w:color="E2E8F0" w:sz="1"/>
            </w:tcBorders>
            <w:shd w:fill="F3E5F5" w:val="clear"/>
            <w:tcMar>
              <w:top w:type="dxa" w:w="60"/>
              <w:left w:type="dxa" w:w="120"/>
              <w:bottom w:type="dxa" w:w="60"/>
              <w:right w:type="dxa" w:w="120"/>
            </w:tcMar>
          </w:tcPr>
          <w:p>
            <w:r>
              <w:rPr>
                <w:rFonts w:ascii="Arial" w:cs="Arial" w:eastAsia="Arial" w:hAnsi="Arial"/>
                <w:color w:val="37474F"/>
                <w:sz w:val="19"/>
                <w:szCs w:val="19"/>
              </w:rPr>
              <w:t xml:space="preserve">total_ops_cost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DECIMAL</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B8</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74F"/>
                <w:sz w:val="19"/>
                <w:szCs w:val="19"/>
              </w:rPr>
              <w:t xml:space="preserve">Sum of FTE + platform + any overhead</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8. Implementation Sprint Plan</w:t>
      </w:r>
    </w:p>
    <w:p>
      <w:pPr>
        <w:spacing w:before="0" w:after="100"/>
      </w:pPr>
      <w:r>
        <w:rPr>
          <w:rFonts w:ascii="Arial" w:cs="Arial" w:eastAsia="Arial" w:hAnsi="Arial"/>
          <w:color w:val="37474F"/>
          <w:sz w:val="22"/>
          <w:szCs w:val="22"/>
        </w:rPr>
        <w:t xml:space="preserve">Recommended build sequence. Each sprint = 2 weeks. Assumes Rajnish sign-off sessions scheduled in Week 1–2.</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860"/>
        <w:gridCol w:w="1800"/>
        <w:gridCol w:w="1600"/>
      </w:tblGrid>
      <w:tr>
        <w:trPr>
          <w:tblHeader/>
        </w:trPr>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Sprint</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Dates</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KPIs to Build</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Blocker/Dep</w:t>
            </w:r>
          </w:p>
        </w:tc>
      </w:tr>
      <w:tr>
        <w:tc>
          <w:tcPr>
            <w:tcW w:type="dxa" w:w="7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37474F"/>
                <w:sz w:val="20"/>
                <w:szCs w:val="20"/>
              </w:rPr>
              <w:t xml:space="preserve">S1</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Mar 17–28</w:t>
            </w:r>
          </w:p>
        </w:tc>
        <w:tc>
          <w:tcPr>
            <w:tcW w:type="dxa" w:w="38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Touch-to-Resolution Lag (B1) · AR Liquidation by Aging (B2) · Touchless Automation Rate (B4) · Total A/R Impact (B6) · 90+ Day AR (B7)</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Deepak + Kalpesh</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None — all data ready in Optimix</w:t>
            </w:r>
          </w:p>
        </w:tc>
      </w:tr>
      <w:tr>
        <w:tc>
          <w:tcPr>
            <w:tcW w:type="dxa" w:w="7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37474F"/>
                <w:sz w:val="20"/>
                <w:szCs w:val="20"/>
              </w:rPr>
              <w:t xml:space="preserve">S2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Mar 31–Apr 11</w:t>
            </w:r>
          </w:p>
        </w:tc>
        <w:tc>
          <w:tcPr>
            <w:tcW w:type="dxa" w:w="38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Cash Collected MTD (B5) · Touchless Automation Rate (B4 Sr. Leader hero) · SR Leader tab full assembly</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Shivani + Kalpesh</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Payment posting system feed — confirm with IT by Mar 20</w:t>
            </w:r>
          </w:p>
        </w:tc>
      </w:tr>
      <w:tr>
        <w:tc>
          <w:tcPr>
            <w:tcW w:type="dxa" w:w="7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37474F"/>
                <w:sz w:val="20"/>
                <w:szCs w:val="20"/>
              </w:rPr>
              <w:t xml:space="preserve">S3</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Apr 14–25</w:t>
            </w:r>
          </w:p>
        </w:tc>
        <w:tc>
          <w:tcPr>
            <w:tcW w:type="dxa" w:w="38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Cash from AR Effort top-level (B3 partial) · Associate drill-down gating · Cost to Collect placeholder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Kalpesh + IT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associate_id field in touch log · Finance team cost figure · PII access control</w:t>
            </w:r>
          </w:p>
        </w:tc>
      </w:tr>
      <w:tr>
        <w:tc>
          <w:tcPr>
            <w:tcW w:type="dxa" w:w="700"/>
            <w:tcBorders>
              <w:top w:val="single" w:color="E2E8F0" w:sz="1"/>
              <w:left w:val="single" w:color="E2E8F0" w:sz="1"/>
              <w:bottom w:val="single" w:color="E2E8F0" w:sz="1"/>
              <w:right w:val="single" w:color="E2E8F0" w:sz="1"/>
            </w:tcBorders>
            <w:shd w:fill="E0F2F1" w:val="clear"/>
            <w:tcMar>
              <w:top w:type="dxa" w:w="60"/>
              <w:left w:type="dxa" w:w="100"/>
              <w:bottom w:type="dxa" w:w="60"/>
              <w:right w:type="dxa" w:w="100"/>
            </w:tcMar>
          </w:tcPr>
          <w:p>
            <w:r>
              <w:rPr>
                <w:rFonts w:ascii="Arial" w:cs="Arial" w:eastAsia="Arial" w:hAnsi="Arial"/>
                <w:b/>
                <w:bCs/>
                <w:color w:val="37474F"/>
                <w:sz w:val="20"/>
                <w:szCs w:val="20"/>
              </w:rPr>
              <w:t xml:space="preserve">S4</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Apr 28–May 9</w:t>
            </w:r>
          </w:p>
        </w:tc>
        <w:tc>
          <w:tcPr>
            <w:tcW w:type="dxa" w:w="38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AR Efficiency composite (BLK1) · Cost to Collect live (B8)</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Deepak + Kalpesh</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Rajnish sign-off on touch SLA (BLK1) · Finance feed live (B8)</w:t>
            </w:r>
          </w:p>
        </w:tc>
      </w:tr>
      <w:tr>
        <w:tc>
          <w:tcPr>
            <w:tcW w:type="dxa" w:w="700"/>
            <w:tcBorders>
              <w:top w:val="single" w:color="E2E8F0" w:sz="1"/>
              <w:left w:val="single" w:color="E2E8F0" w:sz="1"/>
              <w:bottom w:val="single" w:color="E2E8F0" w:sz="1"/>
              <w:right w:val="single" w:color="E2E8F0" w:sz="1"/>
            </w:tcBorders>
            <w:shd w:fill="FFF3E0" w:val="clear"/>
            <w:tcMar>
              <w:top w:type="dxa" w:w="60"/>
              <w:left w:type="dxa" w:w="100"/>
              <w:bottom w:type="dxa" w:w="60"/>
              <w:right w:type="dxa" w:w="100"/>
            </w:tcMar>
          </w:tcPr>
          <w:p>
            <w:r>
              <w:rPr>
                <w:rFonts w:ascii="Arial" w:cs="Arial" w:eastAsia="Arial" w:hAnsi="Arial"/>
                <w:b/>
                <w:bCs/>
                <w:color w:val="37474F"/>
                <w:sz w:val="20"/>
                <w:szCs w:val="20"/>
              </w:rPr>
              <w:t xml:space="preserve">UAT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May 12–16</w:t>
            </w:r>
          </w:p>
        </w:tc>
        <w:tc>
          <w:tcPr>
            <w:tcW w:type="dxa" w:w="38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Full UAT with Rahul and Rajnish · All KPIs validated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All</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None</w:t>
            </w:r>
          </w:p>
        </w:tc>
      </w:tr>
      <w:tr>
        <w:tc>
          <w:tcPr>
            <w:tcW w:type="dxa" w:w="700"/>
            <w:tcBorders>
              <w:top w:val="single" w:color="E2E8F0" w:sz="1"/>
              <w:left w:val="single" w:color="E2E8F0" w:sz="1"/>
              <w:bottom w:val="single" w:color="E2E8F0" w:sz="1"/>
              <w:right w:val="single" w:color="E2E8F0" w:sz="1"/>
            </w:tcBorders>
            <w:shd w:fill="E8F5E9" w:val="clear"/>
            <w:tcMar>
              <w:top w:type="dxa" w:w="60"/>
              <w:left w:type="dxa" w:w="100"/>
              <w:bottom w:type="dxa" w:w="60"/>
              <w:right w:type="dxa" w:w="100"/>
            </w:tcMar>
          </w:tcPr>
          <w:p>
            <w:r>
              <w:rPr>
                <w:rFonts w:ascii="Arial" w:cs="Arial" w:eastAsia="Arial" w:hAnsi="Arial"/>
                <w:b/>
                <w:bCs/>
                <w:color w:val="37474F"/>
                <w:sz w:val="20"/>
                <w:szCs w:val="20"/>
              </w:rPr>
              <w:t xml:space="preserve">Go-Live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May 19</w:t>
            </w:r>
          </w:p>
        </w:tc>
        <w:tc>
          <w:tcPr>
            <w:tcW w:type="dxa" w:w="38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CRS v2.0 production release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Nakul</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UAT sign-off</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9. Open Issues &amp; Decisions Required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2360"/>
        <w:gridCol w:w="1800"/>
      </w:tblGrid>
      <w:tr>
        <w:trPr>
          <w:tblHeader/>
        </w:trPr>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Issue</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Resolution Path</w:t>
            </w:r>
          </w:p>
        </w:tc>
        <w:tc>
          <w:tcPr>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Owner</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37474F"/>
                <w:sz w:val="20"/>
                <w:szCs w:val="20"/>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Optimix workable count vs ops 45-day manual count don't match</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HIGH — non-starter risk. DS models run on different base inventory to ops team.</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Agree reconciliation: overall outstanding counts must match even if workable definition differs. Escalate to Nakul + Hardik.</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Nakul + Hardik</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37474F"/>
                <w:sz w:val="20"/>
                <w:szCs w:val="20"/>
              </w:rPr>
              <w:t xml:space="preserve">2</w:t>
            </w:r>
          </w:p>
        </w:tc>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Touch SLA per channel not agreed (Voicemail 7d, Fax 14d, Paper 30d)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MEDIUM — blocks AR Efficiency KPI (BLK1) and sets threshold for Touch-to-Res. Lag.</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Schedule Rajnish sign-off session. Formalise as a table in Optimix configuration.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Rahul + Rajnish</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37474F"/>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actor_type field in Optimix event log — exists?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MEDIUM — blocks Touchless Automation Rate (B4). Without this field cannot determine if a claim was resolved without human touch.</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Confirm with Deepak and IT. If not present, add to Optimix event schema in S1.</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Deepak + Kalpesh</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37474F"/>
                <w:sz w:val="20"/>
                <w:szCs w:val="20"/>
              </w:rPr>
              <w:t xml:space="preserve">4</w:t>
            </w:r>
          </w:p>
        </w:tc>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associate_id field in touch log — populated?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MEDIUM — blocks associate drill-down in Cash from AR Effort (B3).</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Confirm with Kalpesh. If not populated, add tagging in Optimix touch event pipeline.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Kalpesh + IT</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37474F"/>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Finance team ops cost feed for Cost to Collect (B8)</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LOW-MEDIUM — without this KPI B8 shows placeholder only.</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Nakul to arrange meeting with Finance. Until live, allow manual monthly entry via admin panel.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Nakul + Finance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37474F"/>
                <w:sz w:val="20"/>
                <w:szCs w:val="20"/>
              </w:rPr>
              <w:t xml:space="preserve">6</w:t>
            </w:r>
          </w:p>
        </w:tc>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Payment posting system integration for Cash Collected MTD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MEDIUM — blocks KPI B5. Need API or daily export confirmed.</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Kalpesh to confirm with IT team by end of Sprint 1.</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Kalpesh + IT</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37474F"/>
                <w:sz w:val="20"/>
                <w:szCs w:val="20"/>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Denial prediction at AR stage vs pre-billing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LOW — philosophical: Rahul wants prediction at billing, not AR. Has implications for where denial model is surfaced.</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Separate conversation. Not a blocker for dashboard. Nakul to schedule standalone discussion.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7474F"/>
                <w:sz w:val="19"/>
                <w:szCs w:val="19"/>
              </w:rPr>
              <w:t xml:space="preserve">Nakul + Rahul</w:t>
            </w:r>
          </w:p>
        </w:tc>
      </w:tr>
    </w:tbl>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10. Visualization Technology Recommendations</w:t>
      </w:r>
    </w:p>
    <w:p>
      <w:pPr>
        <w:spacing w:before="0" w:after="100"/>
      </w:pPr>
      <w:r>
        <w:rPr>
          <w:rFonts w:ascii="Arial" w:cs="Arial" w:eastAsia="Arial" w:hAnsi="Arial"/>
          <w:color w:val="37474F"/>
          <w:sz w:val="22"/>
          <w:szCs w:val="22"/>
        </w:rPr>
        <w:t xml:space="preserve">This section answers: what is the best way to build the actual charts and UI components in production?</w:t>
      </w:r>
    </w:p>
    <w:p>
      <w:pPr>
        <w:spacing w:before="0" w:after="60"/>
      </w:pPr>
    </w:p>
    <w:p>
      <w:pPr>
        <w:pStyle w:val="Heading2"/>
        <w:spacing w:before="240" w:after="100"/>
      </w:pPr>
      <w:r>
        <w:rPr>
          <w:rFonts w:ascii="Arial" w:cs="Arial" w:eastAsia="Arial" w:hAnsi="Arial"/>
          <w:b/>
          <w:bCs/>
          <w:color w:val="546E7A"/>
          <w:sz w:val="26"/>
          <w:szCs w:val="26"/>
        </w:rPr>
        <w:t xml:space="preserve">10.1 Current Approach (Prototyping Only)</w:t>
      </w:r>
    </w:p>
    <w:p>
      <w:pPr>
        <w:spacing w:before="0" w:after="100"/>
      </w:pPr>
      <w:r>
        <w:rPr>
          <w:rFonts w:ascii="Arial" w:cs="Arial" w:eastAsia="Arial" w:hAnsi="Arial"/>
          <w:color w:val="37474F"/>
          <w:sz w:val="22"/>
          <w:szCs w:val="22"/>
        </w:rPr>
        <w:t xml:space="preserve">The current dashboard prototypes are built as inline HTML/CSS widgets. This is excellent for rapid design review and stakeholder sign-off — it runs anywhere with no build tooling. However it should not be used for the production build for three reasons: no real data binding, no state management, and styling is not maintainable at scale.</w:t>
      </w:r>
    </w:p>
    <w:p>
      <w:pPr>
        <w:spacing w:before="0" w:after="60"/>
      </w:pPr>
    </w:p>
    <w:p>
      <w:pPr>
        <w:pStyle w:val="Heading2"/>
        <w:spacing w:before="240" w:after="100"/>
      </w:pPr>
      <w:r>
        <w:rPr>
          <w:rFonts w:ascii="Arial" w:cs="Arial" w:eastAsia="Arial" w:hAnsi="Arial"/>
          <w:b/>
          <w:bCs/>
          <w:color w:val="1565C0"/>
          <w:sz w:val="26"/>
          <w:szCs w:val="26"/>
        </w:rPr>
        <w:t xml:space="preserve">10.2 Recommended Production Stack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Borders>
              <w:top w:val="single" w:color="E2E8F0" w:sz="1"/>
              <w:left w:val="single" w:color="E2E8F0" w:sz="1"/>
              <w:bottom w:val="single" w:color="E2E8F0" w:sz="1"/>
              <w:right w:val="single" w:color="E2E8F0"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Borders>
              <w:top w:val="single" w:color="E2E8F0" w:sz="1"/>
              <w:left w:val="single" w:color="E2E8F0" w:sz="1"/>
              <w:bottom w:val="single" w:color="E2E8F0" w:sz="1"/>
              <w:right w:val="single" w:color="E2E8F0"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Borders>
              <w:top w:val="single" w:color="E2E8F0" w:sz="1"/>
              <w:left w:val="single" w:color="E2E8F0" w:sz="1"/>
              <w:bottom w:val="single" w:color="E2E8F0" w:sz="1"/>
              <w:right w:val="single" w:color="E2E8F0"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UI Framework</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React 18 + TypeScript</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Component-based. Each KPI card is a reusable component. TypeScript catches data shape errors early.</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Charting</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Recharts (for bar/line) + Nivo (for specialised)</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Recharts is lightweight and composable. Nivo handles the donut charts and heatmap tables already shown in the prototype. Both are well-maintained and support dark mode.</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State / Data</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React Query + Zustand</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React Query handles async data fetching from Optimix API with caching and revalidation. Zustand manages shared filter state (MTD/WTD, client, month).</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Styling</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Tailwind CSS</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Matches the IKS dark design system. Utility-first means no CSS file drift. Dark mode is a single class toggle.</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Design Tokens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CSS Variables (already defined in IKS)</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The existing IKS dashboard already defines --color-bg, --color-teal, etc. Reuse these. Do not introduce a second design system.</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Charts — Trend lines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Recharts LineChart</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Replace the sparkbar approximations in the prototype with real SVG line charts. Use ResponsiveContainer for fluid width.</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Charts — Donut KPIs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Recharts PieChart with innerRadius</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Matches the existing Payment Accuracy and Denial Accuracy donuts exactly.</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Charts — Tables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TanStack Table (React Table)</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For the Touch-to-Resolution Lag table and Disposition Code table. Supports sorting, pagination, and conditional cell colouring.</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Charts — Bars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Recharts BarChart</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For aging bucket bars, liquidation bars, monthly appeal bars. Simple and consistent.</w:t>
            </w:r>
          </w:p>
        </w:tc>
      </w:tr>
      <w:tr>
        <w:tc>
          <w:tcPr>
            <w:tcW w:type="dxa" w:w="1800"/>
            <w:tcBorders>
              <w:top w:val="single" w:color="E2E8F0" w:sz="1"/>
              <w:left w:val="single" w:color="E2E8F0" w:sz="1"/>
              <w:bottom w:val="single" w:color="E2E8F0" w:sz="1"/>
              <w:right w:val="single" w:color="E2E8F0" w:sz="1"/>
            </w:tcBorders>
            <w:shd w:fill="E3F2FD" w:val="clear"/>
            <w:tcMar>
              <w:top w:type="dxa" w:w="60"/>
              <w:left w:type="dxa" w:w="120"/>
              <w:bottom w:type="dxa" w:w="60"/>
              <w:right w:type="dxa" w:w="120"/>
            </w:tcMar>
          </w:tcPr>
          <w:p>
            <w:r>
              <w:rPr>
                <w:rFonts w:ascii="Arial" w:cs="Arial" w:eastAsia="Arial" w:hAnsi="Arial"/>
                <w:b w:val="false"/>
                <w:bCs w:val="false"/>
                <w:color w:val="37474F"/>
                <w:sz w:val="19"/>
                <w:szCs w:val="19"/>
              </w:rPr>
              <w:t xml:space="preserve">Alerts / Badges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7474F"/>
                <w:sz w:val="20"/>
                <w:szCs w:val="20"/>
              </w:rPr>
              <w:t xml:space="preserve">Custom React component</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74F"/>
                <w:sz w:val="19"/>
                <w:szCs w:val="19"/>
              </w:rPr>
              <w:t xml:space="preserve">A single RAGBadge component that takes a value and thresholds and returns the correct colour. Reuse across all KPI cards.</w:t>
            </w:r>
          </w:p>
        </w:tc>
      </w:tr>
    </w:tbl>
    <w:p>
      <w:pPr>
        <w:spacing w:before="0" w:after="60"/>
      </w:pPr>
    </w:p>
    <w:p>
      <w:pPr>
        <w:spacing w:before="0" w:after="60"/>
      </w:pPr>
    </w:p>
    <w:p>
      <w:pPr>
        <w:pStyle w:val="Heading2"/>
        <w:spacing w:before="240" w:after="100"/>
      </w:pPr>
      <w:r>
        <w:rPr>
          <w:rFonts w:ascii="Arial" w:cs="Arial" w:eastAsia="Arial" w:hAnsi="Arial"/>
          <w:b/>
          <w:bCs/>
          <w:color w:val="1565C0"/>
          <w:sz w:val="26"/>
          <w:szCs w:val="26"/>
        </w:rPr>
        <w:t xml:space="preserve">10.3 Component Architecture</w:t>
      </w:r>
    </w:p>
    <w:p>
      <w:pPr>
        <w:spacing w:before="0" w:after="100"/>
      </w:pPr>
      <w:r>
        <w:rPr>
          <w:rFonts w:ascii="Arial" w:cs="Arial" w:eastAsia="Arial" w:hAnsi="Arial"/>
          <w:color w:val="37474F"/>
          <w:sz w:val="22"/>
          <w:szCs w:val="22"/>
        </w:rPr>
        <w:t xml:space="preserve">Structure each persona tab as a composition of independent KPI cards. This allows cards to be added, removed, or reordered without breaking the page.</w:t>
      </w:r>
    </w:p>
    <w:p>
      <w:pPr>
        <w:spacing w:before="0" w:after="60"/>
      </w:pPr>
    </w:p>
    <w:p>
      <w:pPr>
        <w:pStyle w:val="ListParagraph"/>
        <w:numPr>
          <w:ilvl w:val="0"/>
          <w:numId w:val="2"/>
        </w:numPr>
        <w:spacing w:before="0" w:after="60"/>
      </w:pPr>
      <w:r>
        <w:rPr>
          <w:rFonts w:ascii="Arial" w:cs="Arial" w:eastAsia="Arial" w:hAnsi="Arial"/>
          <w:b w:val="false"/>
          <w:bCs w:val="false"/>
          <w:color w:val="37474F"/>
          <w:sz w:val="21"/>
          <w:szCs w:val="21"/>
        </w:rPr>
        <w:t xml:space="preserve">KPICard — base wrapper with label, value, delta badge, sparkline slot, and RAG border-top</w:t>
      </w:r>
    </w:p>
    <w:p>
      <w:pPr>
        <w:pStyle w:val="ListParagraph"/>
        <w:numPr>
          <w:ilvl w:val="0"/>
          <w:numId w:val="2"/>
        </w:numPr>
        <w:spacing w:before="0" w:after="60"/>
      </w:pPr>
      <w:r>
        <w:rPr>
          <w:rFonts w:ascii="Arial" w:cs="Arial" w:eastAsia="Arial" w:hAnsi="Arial"/>
          <w:b w:val="false"/>
          <w:bCs w:val="false"/>
          <w:color w:val="37474F"/>
          <w:sz w:val="21"/>
          <w:szCs w:val="21"/>
        </w:rPr>
        <w:t xml:space="preserve">RAGBadge — takes value, greenThreshold, amberThreshold and returns coloured badge</w:t>
      </w:r>
    </w:p>
    <w:p>
      <w:pPr>
        <w:pStyle w:val="ListParagraph"/>
        <w:numPr>
          <w:ilvl w:val="0"/>
          <w:numId w:val="2"/>
        </w:numPr>
        <w:spacing w:before="0" w:after="60"/>
      </w:pPr>
      <w:r>
        <w:rPr>
          <w:rFonts w:ascii="Arial" w:cs="Arial" w:eastAsia="Arial" w:hAnsi="Arial"/>
          <w:b w:val="false"/>
          <w:bCs w:val="false"/>
          <w:color w:val="37474F"/>
          <w:sz w:val="21"/>
          <w:szCs w:val="21"/>
        </w:rPr>
        <w:t xml:space="preserve">SparkLine — Recharts LineChart in a 100×28px container, no axes</w:t>
      </w:r>
    </w:p>
    <w:p>
      <w:pPr>
        <w:pStyle w:val="ListParagraph"/>
        <w:numPr>
          <w:ilvl w:val="0"/>
          <w:numId w:val="2"/>
        </w:numPr>
        <w:spacing w:before="0" w:after="60"/>
      </w:pPr>
      <w:r>
        <w:rPr>
          <w:rFonts w:ascii="Arial" w:cs="Arial" w:eastAsia="Arial" w:hAnsi="Arial"/>
          <w:b w:val="false"/>
          <w:bCs w:val="false"/>
          <w:color w:val="37474F"/>
          <w:sz w:val="21"/>
          <w:szCs w:val="21"/>
        </w:rPr>
        <w:t xml:space="preserve">HorizontalBar — single bar with label left, value right, used in aging/liquidation sections</w:t>
      </w:r>
    </w:p>
    <w:p>
      <w:pPr>
        <w:pStyle w:val="ListParagraph"/>
        <w:numPr>
          <w:ilvl w:val="0"/>
          <w:numId w:val="2"/>
        </w:numPr>
        <w:spacing w:before="0" w:after="60"/>
      </w:pPr>
      <w:r>
        <w:rPr>
          <w:rFonts w:ascii="Arial" w:cs="Arial" w:eastAsia="Arial" w:hAnsi="Arial"/>
          <w:b w:val="false"/>
          <w:bCs w:val="false"/>
          <w:color w:val="37474F"/>
          <w:sz w:val="21"/>
          <w:szCs w:val="21"/>
        </w:rPr>
        <w:t xml:space="preserve">LagTable — TanStack Table with conditional cell colouring for the touch-to-resolution view</w:t>
      </w:r>
    </w:p>
    <w:p>
      <w:pPr>
        <w:pStyle w:val="ListParagraph"/>
        <w:numPr>
          <w:ilvl w:val="0"/>
          <w:numId w:val="2"/>
        </w:numPr>
        <w:spacing w:before="0" w:after="60"/>
      </w:pPr>
      <w:r>
        <w:rPr>
          <w:rFonts w:ascii="Arial" w:cs="Arial" w:eastAsia="Arial" w:hAnsi="Arial"/>
          <w:b w:val="false"/>
          <w:bCs w:val="false"/>
          <w:color w:val="37474F"/>
          <w:sz w:val="21"/>
          <w:szCs w:val="21"/>
        </w:rPr>
        <w:t xml:space="preserve">DonutKPI — Recharts PieChart innerRadius, single segment, label in centre</w:t>
      </w:r>
    </w:p>
    <w:p>
      <w:pPr>
        <w:pStyle w:val="ListParagraph"/>
        <w:numPr>
          <w:ilvl w:val="0"/>
          <w:numId w:val="2"/>
        </w:numPr>
        <w:spacing w:before="0" w:after="60"/>
      </w:pPr>
      <w:r>
        <w:rPr>
          <w:rFonts w:ascii="Arial" w:cs="Arial" w:eastAsia="Arial" w:hAnsi="Arial"/>
          <w:b w:val="false"/>
          <w:bCs w:val="false"/>
          <w:color w:val="37474F"/>
          <w:sz w:val="21"/>
          <w:szCs w:val="21"/>
        </w:rPr>
        <w:t xml:space="preserve">PersonaTab — layout shell for Ops Manager and Sr. Leader, accepts a section array</w:t>
      </w:r>
    </w:p>
    <w:p>
      <w:pPr>
        <w:pStyle w:val="ListParagraph"/>
        <w:numPr>
          <w:ilvl w:val="0"/>
          <w:numId w:val="2"/>
        </w:numPr>
        <w:spacing w:before="0" w:after="60"/>
      </w:pPr>
      <w:r>
        <w:rPr>
          <w:rFonts w:ascii="Arial" w:cs="Arial" w:eastAsia="Arial" w:hAnsi="Arial"/>
          <w:b w:val="false"/>
          <w:bCs w:val="false"/>
          <w:color w:val="37474F"/>
          <w:sz w:val="21"/>
          <w:szCs w:val="21"/>
        </w:rPr>
        <w:t xml:space="preserve">SectionHeader — reusable section divider with title and optional description</w:t>
      </w:r>
    </w:p>
    <w:p>
      <w:pPr>
        <w:spacing w:before="0" w:after="60"/>
      </w:pPr>
    </w:p>
    <w:p>
      <w:pPr>
        <w:spacing w:before="0" w:after="60"/>
      </w:pPr>
    </w:p>
    <w:p>
      <w:pPr>
        <w:pStyle w:val="Heading2"/>
        <w:spacing w:before="240" w:after="100"/>
      </w:pPr>
      <w:r>
        <w:rPr>
          <w:rFonts w:ascii="Arial" w:cs="Arial" w:eastAsia="Arial" w:hAnsi="Arial"/>
          <w:b/>
          <w:bCs/>
          <w:color w:val="1565C0"/>
          <w:sz w:val="26"/>
          <w:szCs w:val="26"/>
        </w:rPr>
        <w:t xml:space="preserve">10.4 API Contract</w:t>
      </w:r>
    </w:p>
    <w:p>
      <w:pPr>
        <w:spacing w:before="0" w:after="100"/>
      </w:pPr>
      <w:r>
        <w:rPr>
          <w:rFonts w:ascii="Arial" w:cs="Arial" w:eastAsia="Arial" w:hAnsi="Arial"/>
          <w:color w:val="37474F"/>
          <w:sz w:val="22"/>
          <w:szCs w:val="22"/>
        </w:rPr>
        <w:t xml:space="preserve">Each KPI should have a dedicated API endpoint that returns a typed response. The front-end should never calculate KPI values — the back end does the calculation and returns the number.</w:t>
      </w:r>
    </w:p>
    <w:p>
      <w:pPr>
        <w:spacing w:before="0" w:after="60"/>
      </w:pPr>
    </w:p>
    <w:p>
      <w:pPr>
        <w:pStyle w:val="ListParagraph"/>
        <w:numPr>
          <w:ilvl w:val="0"/>
          <w:numId w:val="2"/>
        </w:numPr>
        <w:spacing w:before="0" w:after="60"/>
      </w:pPr>
      <w:r>
        <w:rPr>
          <w:rFonts w:ascii="Arial" w:cs="Arial" w:eastAsia="Arial" w:hAnsi="Arial"/>
          <w:b w:val="false"/>
          <w:bCs w:val="false"/>
          <w:color w:val="37474F"/>
          <w:sz w:val="21"/>
          <w:szCs w:val="21"/>
        </w:rPr>
        <w:t xml:space="preserve">GET /api/kpi/workable-inventory?client=phase1&amp;period=MTD</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/api/kpi/ar-resolution-by-aging?period=MTD</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/api/kpi/touch-resolution-distribution?period=MTD</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/api/kpi/lag-analysis?months=6</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/api/kpi/ar-liquidation?period=MTD</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/api/kpi/touchless-rate?period=monthly</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/api/kpi/cost-to-collect?period=monthly</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/api/kpi/cash-ar-effort?period=MTD&amp;level=aggregate</w:t>
      </w:r>
    </w:p>
    <w:p>
      <w:pPr>
        <w:pStyle w:val="ListParagraph"/>
        <w:numPr>
          <w:ilvl w:val="0"/>
          <w:numId w:val="2"/>
        </w:numPr>
        <w:spacing w:before="0" w:after="60"/>
      </w:pPr>
      <w:r>
        <w:rPr>
          <w:rFonts w:ascii="Arial" w:cs="Arial" w:eastAsia="Arial" w:hAnsi="Arial"/>
          <w:b w:val="false"/>
          <w:bCs w:val="false"/>
          <w:color w:val="37474F"/>
          <w:sz w:val="21"/>
          <w:szCs w:val="21"/>
        </w:rPr>
        <w:t xml:space="preserve">GET /api/kpi/cash-ar-effort?period=MTD&amp;level=associate (manager+ only)</w:t>
      </w:r>
    </w:p>
    <w:p>
      <w:pPr>
        <w:spacing w:before="0" w:after="60"/>
      </w:pPr>
    </w:p>
    <w:p>
      <w:pPr>
        <w:spacing w:before="0" w:after="100"/>
      </w:pPr>
      <w:r>
        <w:rPr>
          <w:rFonts w:ascii="Arial" w:cs="Arial" w:eastAsia="Arial" w:hAnsi="Arial"/>
          <w:color w:val="37474F"/>
          <w:sz w:val="22"/>
          <w:szCs w:val="22"/>
        </w:rPr>
        <w:t xml:space="preserve">Each endpoint returns: { value, delta, deltaType, trend: [...], threshold: { green, amber }, status: 'green'|'amber'|'red' }</w:t>
      </w:r>
    </w:p>
    <w:p>
      <w:pPr>
        <w:spacing w:before="0" w:after="60"/>
      </w:pPr>
    </w:p>
    <w:p>
      <w:pPr>
        <w:spacing w:before="0" w:after="60"/>
      </w:pPr>
    </w:p>
    <w:p>
      <w:r>class PageBreak extends Run {
  constructor() {
    super({});
    this.root.push(new Break2(BreakType.PAGE));
  }
}</w:r>
    </w:p>
    <w:p>
      <w:pPr>
        <w:pStyle w:val="Heading1"/>
        <w:pBdr>
          <w:bottom w:val="single" w:color="00897B" w:sz="6" w:space="4"/>
        </w:pBdr>
        <w:spacing w:before="320" w:after="160"/>
      </w:pPr>
      <w:r>
        <w:rPr>
          <w:rFonts w:ascii="Arial" w:cs="Arial" w:eastAsia="Arial" w:hAnsi="Arial"/>
          <w:b/>
          <w:bCs/>
          <w:color w:val="1A1A2E"/>
          <w:sz w:val="34"/>
          <w:szCs w:val="34"/>
        </w:rPr>
        <w:t xml:space="preserve">11. Sign-off</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Signature</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Rahul Nair</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Sr. Director AR Ops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c>
          <w:tcPr>
            <w:tcW w:type="dxa" w:w="1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Rajnish</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Ops L2 — KPI Validator</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c>
          <w:tcPr>
            <w:tcW w:type="dxa" w:w="1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Nakul Makkar</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MLOps Lead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c>
          <w:tcPr>
            <w:tcW w:type="dxa" w:w="1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Deepak Chandrasekhar</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DS Lead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c>
          <w:tcPr>
            <w:tcW w:type="dxa" w:w="1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Kalpesh Varankar</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Analytics Engineer</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c>
          <w:tcPr>
            <w:tcW w:type="dxa" w:w="1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74F"/>
                <w:sz w:val="20"/>
                <w:szCs w:val="20"/>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pPr>
    <w:r>
      <w:rPr>
        <w:rFonts w:ascii="Arial" w:cs="Arial" w:eastAsia="Arial" w:hAnsi="Arial"/>
        <w:color w:val="546E7A"/>
        <w:sz w:val="16"/>
        <w:szCs w:val="16"/>
      </w:rPr>
      <w:t xml:space="preserve">Optimix CRS v2.0  |  IKS Data Science &amp; MLOps  |  March 2026  |  Page </w:t>
    </w:r>
    <w:r>
      <w:rPr>
        <w:rFonts w:ascii="Arial" w:cs="Arial" w:eastAsia="Arial" w:hAnsi="Arial"/>
        <w:color w:val="546E7A"/>
        <w:sz w:val="16"/>
        <w:szCs w:val="16"/>
      </w:rPr>
      <w:fldChar w:fldCharType="begin"/>
      <w:instrText xml:space="preserve">PAGE</w:instrText>
      <w:fldChar w:fldCharType="separate"/>
      <w:fldChar w:fldCharType="end"/>
    </w:r>
    <w:r>
      <w:rPr>
        <w:rFonts w:ascii="Arial" w:cs="Arial" w:eastAsia="Arial" w:hAnsi="Arial"/>
        <w:color w:val="546E7A"/>
        <w:sz w:val="16"/>
        <w:szCs w:val="16"/>
      </w:rPr>
      <w:t xml:space="preserve"> of </w:t>
    </w:r>
    <w:r>
      <w:rPr>
        <w:rFonts w:ascii="Arial" w:cs="Arial" w:eastAsia="Arial" w:hAnsi="Arial"/>
        <w:color w:val="546E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4"/>
      </w:pBdr>
      <w:spacing w:before="0" w:after="120"/>
    </w:pPr>
    <w:r>
      <w:rPr>
        <w:rFonts w:ascii="Arial" w:cs="Arial" w:eastAsia="Arial" w:hAnsi="Arial"/>
        <w:color w:val="546E7A"/>
        <w:sz w:val="16"/>
        <w:szCs w:val="16"/>
      </w:rPr>
      <w:t xml:space="preserve">IKS Health · Optimix CRS Dashboard · KPI Implementation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1565C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2026-03-17T12:29:39.163Z</dcterms:created>
  <dcterms:modified xsi:type="dcterms:W3CDTF">2026-03-17T12:29:39.164Z</dcterms:modified>
</cp:coreProperties>
</file>

<file path=docProps/custom.xml><?xml version="1.0" encoding="utf-8"?>
<Properties xmlns="http://schemas.openxmlformats.org/officeDocument/2006/custom-properties" xmlns:vt="http://schemas.openxmlformats.org/officeDocument/2006/docPropsVTypes"/>
</file>