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pBdr>
          <w:bottom w:val="single" w:sz="40" w:space="0" w:color="EB0017"/>
        </w:pBdr>
      </w:pPr>
    </w:p>
    <w:p>
      <w:pPr>
        <w:spacing w:before="80" w:after="40"/>
      </w:pPr>
      <w:r>
        <w:rPr>
          <w:rFonts w:ascii="Arial" w:hAnsi="Arial" w:cs="Arial"/>
          <w:b/>
          <w:i w:val="0"/>
          <w:color w:val="EB0017"/>
          <w:sz w:val="18"/>
          <w:spacing w:val="80"/>
        </w:rPr>
        <w:t>AON  ·  TALENT SOLUTIONS</w:t>
      </w:r>
    </w:p>
    <w:p>
      <w:pPr>
        <w:spacing w:before="0" w:after="200"/>
      </w:pPr>
      <w:r>
        <w:rPr>
          <w:rFonts w:ascii="Arial" w:hAnsi="Arial" w:cs="Arial"/>
          <w:b w:val="0"/>
          <w:i/>
          <w:color w:val="6E6E6E"/>
          <w:sz w:val="20"/>
        </w:rPr>
        <w:t>Internal Consultant Guide</w:t>
      </w:r>
    </w:p>
    <w:p>
      <w:pPr>
        <w:spacing w:before="0" w:after="40"/>
      </w:pPr>
      <w:r>
        <w:rPr>
          <w:rFonts w:ascii="Arial" w:hAnsi="Arial" w:cs="Arial"/>
          <w:b/>
          <w:i w:val="0"/>
          <w:color w:val="191919"/>
          <w:sz w:val="72"/>
        </w:rPr>
        <w:t>NorthPeak Talent Review</w:t>
      </w:r>
    </w:p>
    <w:p>
      <w:pPr>
        <w:spacing w:before="0" w:after="40"/>
      </w:pPr>
      <w:r>
        <w:rPr>
          <w:rFonts w:ascii="Arial" w:hAnsi="Arial" w:cs="Arial"/>
          <w:b w:val="0"/>
          <w:i w:val="0"/>
          <w:color w:val="3E3E3E"/>
          <w:sz w:val="44"/>
        </w:rPr>
        <w:t>Live-Room Dashboard</w:t>
      </w:r>
    </w:p>
    <w:p>
      <w:pPr>
        <w:spacing w:before="200" w:after="200"/>
        <w:pBdr>
          <w:bottom w:val="single" w:sz="4" w:space="0" w:color="E8E9EA"/>
        </w:pBdr>
      </w:pPr>
    </w:p>
    <w:p>
      <w:pPr>
        <w:spacing w:before="0" w:after="200" w:line="320" w:lineRule="auto"/>
      </w:pPr>
      <w:r>
        <w:rPr>
          <w:rFonts w:ascii="Arial" w:hAnsi="Arial" w:cs="Arial"/>
          <w:b w:val="0"/>
          <w:i/>
          <w:color w:val="3E3E3E"/>
          <w:sz w:val="22"/>
        </w:rPr>
        <w:t>A guide for consultants demoing the dashboard to clients — structured from client need to tool capability, with talking points, a three-layer walkthrough, a 30-minute demo flow, and answers to the questions clients most often ask.</w:t>
      </w:r>
    </w:p>
    <w:p/>
    <w:p/>
    <w:p/>
    <w:p/>
    <w:p/>
    <w:p/>
    <w:p/>
    <w:p/>
    <w:p/>
    <w:p/>
    <w:p>
      <w:pPr>
        <w:spacing w:before="100" w:after="40"/>
      </w:pPr>
      <w:r>
        <w:rPr>
          <w:rFonts w:ascii="Arial" w:hAnsi="Arial" w:cs="Arial"/>
          <w:b/>
          <w:i w:val="0"/>
          <w:color w:val="EB0017"/>
          <w:sz w:val="18"/>
        </w:rPr>
        <w:t>Confidential  ·  For internal Aon use only  ·  Not for client distribution</w:t>
      </w:r>
    </w:p>
    <w:p>
      <w:pPr>
        <w:spacing w:before="0" w:after="40"/>
      </w:pPr>
      <w:r>
        <w:rPr>
          <w:rFonts w:ascii="Arial" w:hAnsi="Arial" w:cs="Arial"/>
          <w:b w:val="0"/>
          <w:i w:val="0"/>
          <w:color w:val="6E6E6E"/>
          <w:sz w:val="18"/>
        </w:rPr>
        <w:t>Version 1.0  ·  August 2026</w:t>
      </w:r>
    </w:p>
    <w:p>
      <w:r>
        <w:br w:type="page"/>
      </w:r>
    </w:p>
    <w:p>
      <w:pPr>
        <w:pStyle w:val="Heading1"/>
        <w:spacing w:before="240" w:after="100"/>
        <w:pBdr>
          <w:bottom w:val="single" w:sz="18" w:space="4" w:color="EB0017"/>
        </w:pBdr>
      </w:pPr>
      <w:r>
        <w:rPr>
          <w:rFonts w:ascii="Arial" w:hAnsi="Arial" w:cs="Arial"/>
          <w:b/>
          <w:i w:val="0"/>
          <w:color w:val="191919"/>
          <w:sz w:val="40"/>
        </w:rPr>
        <w:t>Contents</w:t>
      </w:r>
    </w:p>
    <w:p>
      <w:r>
        <w:rPr>
          <w:rFonts w:ascii="Arial" w:hAnsi="Arial" w:cs="Arial"/>
          <w:b w:val="0"/>
          <w:i w:val="0"/>
          <w:color w:val="191919"/>
          <w:sz w:val="20"/>
        </w:rPr>
        <w:fldChar w:fldCharType="begin"/>
        <w:instrText> TOC \o "1-3" \h \z \u </w:instrText>
        <w:fldChar w:fldCharType="separate"/>
        <w:t>Right-click and select 'Update Field' to populate the table of contents.</w:t>
        <w:fldChar w:fldCharType="end"/>
      </w:r>
    </w:p>
    <w:p>
      <w:r>
        <w:br w:type="page"/>
      </w:r>
    </w:p>
    <w:p>
      <w:pPr>
        <w:spacing w:before="100" w:after="40"/>
      </w:pPr>
      <w:r>
        <w:rPr>
          <w:rFonts w:ascii="Arial" w:hAnsi="Arial" w:cs="Arial"/>
          <w:b/>
          <w:i w:val="0"/>
          <w:color w:val="EB0017"/>
          <w:sz w:val="16"/>
          <w:spacing w:val="40"/>
        </w:rPr>
        <w:t>SECTION 1</w:t>
      </w:r>
    </w:p>
    <w:p>
      <w:pPr>
        <w:pStyle w:val="Heading1"/>
        <w:spacing w:before="240" w:after="100"/>
        <w:pBdr>
          <w:bottom w:val="single" w:sz="18" w:space="4" w:color="EB0017"/>
        </w:pBdr>
      </w:pPr>
      <w:r>
        <w:rPr>
          <w:rFonts w:ascii="Arial" w:hAnsi="Arial" w:cs="Arial"/>
          <w:b/>
          <w:i w:val="0"/>
          <w:color w:val="191919"/>
          <w:sz w:val="40"/>
        </w:rPr>
        <w:t>Purpose of this guide</w:t>
      </w:r>
    </w:p>
    <w:p>
      <w:pPr>
        <w:spacing w:before="0" w:after="100" w:line="288" w:lineRule="auto"/>
      </w:pPr>
      <w:r>
        <w:rPr>
          <w:rFonts w:ascii="Arial" w:hAnsi="Arial" w:cs="Arial"/>
          <w:b w:val="0"/>
          <w:i w:val="0"/>
          <w:color w:val="191919"/>
          <w:sz w:val="20"/>
        </w:rPr>
        <w:t>This document is for Aon consultants who will demonstrate the NorthPeak Talent Review dashboard to a prospective or existing client. It is structured to help you land the value story first, then show the tool as evidence — not the other way around.</w:t>
      </w:r>
    </w:p>
    <w:p>
      <w:pPr>
        <w:pStyle w:val="Heading3"/>
        <w:spacing w:before="140" w:after="60"/>
      </w:pPr>
      <w:r>
        <w:rPr>
          <w:rFonts w:ascii="Arial" w:hAnsi="Arial" w:cs="Arial"/>
          <w:b/>
          <w:i w:val="0"/>
          <w:color w:val="EB0017"/>
          <w:sz w:val="22"/>
        </w:rPr>
        <w:t>What this guide will help you do</w:t>
      </w:r>
    </w:p>
    <w:p>
      <w:pPr>
        <w:pStyle w:val="ListBullet"/>
        <w:spacing w:before="40" w:after="40" w:line="288" w:lineRule="auto"/>
      </w:pPr>
      <w:r>
        <w:rPr>
          <w:rFonts w:ascii="Arial" w:hAnsi="Arial" w:cs="Arial"/>
          <w:b w:val="0"/>
          <w:i w:val="0"/>
          <w:color w:val="191919"/>
          <w:sz w:val="20"/>
        </w:rPr>
        <w:t>Open a client conversation with the problem this tool solves, not with the tool itself.</w:t>
      </w:r>
    </w:p>
    <w:p>
      <w:pPr>
        <w:pStyle w:val="ListBullet"/>
        <w:spacing w:before="40" w:after="40" w:line="288" w:lineRule="auto"/>
      </w:pPr>
      <w:r>
        <w:rPr>
          <w:rFonts w:ascii="Arial" w:hAnsi="Arial" w:cs="Arial"/>
          <w:b w:val="0"/>
          <w:i w:val="0"/>
          <w:color w:val="191919"/>
          <w:sz w:val="20"/>
        </w:rPr>
        <w:t>Move fluently across the three layers of the dashboard — enterprise, business-unit, and individual leader — without losing the room.</w:t>
      </w:r>
    </w:p>
    <w:p>
      <w:pPr>
        <w:pStyle w:val="ListBullet"/>
        <w:spacing w:before="40" w:after="40" w:line="288" w:lineRule="auto"/>
      </w:pPr>
      <w:r>
        <w:rPr>
          <w:rFonts w:ascii="Arial" w:hAnsi="Arial" w:cs="Arial"/>
          <w:b w:val="0"/>
          <w:i w:val="0"/>
          <w:color w:val="191919"/>
          <w:sz w:val="20"/>
        </w:rPr>
        <w:t>Show the client that this is a working document that captures decisions live, not a static report.</w:t>
      </w:r>
    </w:p>
    <w:p>
      <w:pPr>
        <w:pStyle w:val="ListBullet"/>
        <w:spacing w:before="40" w:after="40" w:line="288" w:lineRule="auto"/>
      </w:pPr>
      <w:r>
        <w:rPr>
          <w:rFonts w:ascii="Arial" w:hAnsi="Arial" w:cs="Arial"/>
          <w:b w:val="0"/>
          <w:i w:val="0"/>
          <w:color w:val="191919"/>
          <w:sz w:val="20"/>
        </w:rPr>
        <w:t>Run a focused 30-minute walkthrough that ends with the client asking for a next step.</w:t>
      </w:r>
    </w:p>
    <w:p>
      <w:pPr>
        <w:pStyle w:val="ListBullet"/>
        <w:spacing w:before="40" w:after="40" w:line="288" w:lineRule="auto"/>
      </w:pPr>
      <w:r>
        <w:rPr>
          <w:rFonts w:ascii="Arial" w:hAnsi="Arial" w:cs="Arial"/>
          <w:b w:val="0"/>
          <w:i w:val="0"/>
          <w:color w:val="191919"/>
          <w:sz w:val="20"/>
        </w:rPr>
        <w:t>Handle the most common client questions with confidence and precision.</w:t>
      </w:r>
    </w:p>
    <w:p>
      <w:pPr>
        <w:pStyle w:val="Heading3"/>
        <w:spacing w:before="140" w:after="60"/>
      </w:pPr>
      <w:r>
        <w:rPr>
          <w:rFonts w:ascii="Arial" w:hAnsi="Arial" w:cs="Arial"/>
          <w:b/>
          <w:i w:val="0"/>
          <w:color w:val="EB0017"/>
          <w:sz w:val="22"/>
        </w:rPr>
        <w:t>How to use this guide</w:t>
      </w:r>
    </w:p>
    <w:p>
      <w:pPr>
        <w:spacing w:before="0" w:after="100" w:line="288" w:lineRule="auto"/>
      </w:pPr>
      <w:r>
        <w:rPr>
          <w:rFonts w:ascii="Arial" w:hAnsi="Arial" w:cs="Arial"/>
          <w:b w:val="0"/>
          <w:i w:val="0"/>
          <w:color w:val="191919"/>
          <w:sz w:val="20"/>
        </w:rPr>
        <w:t>Read the whole document once before your first demo — it takes about 20 minutes. For subsequent demos, use it as a reference: scan Section 3 (talking points) and Section 6 (demo flow) before you present. The in-dashboard Help drawer carries the same talking points and demo flow in compressed form, accessible via the '? Help' button in the top-right of the tool — use that if you need a quick prompt mid-conversation.</w:t>
      </w:r>
    </w:p>
    <w:p>
      <w:pPr>
        <w:pStyle w:val="Heading3"/>
        <w:spacing w:before="140" w:after="60"/>
      </w:pPr>
      <w:r>
        <w:rPr>
          <w:rFonts w:ascii="Arial" w:hAnsi="Arial" w:cs="Arial"/>
          <w:b/>
          <w:i w:val="0"/>
          <w:color w:val="EB0017"/>
          <w:sz w:val="22"/>
        </w:rPr>
        <w:t>What the tool actually is (in one paragraph)</w:t>
      </w:r>
    </w:p>
    <w:p>
      <w:pPr>
        <w:spacing w:before="0" w:after="100" w:line="288" w:lineRule="auto"/>
      </w:pPr>
      <w:r>
        <w:rPr>
          <w:rFonts w:ascii="Arial" w:hAnsi="Arial" w:cs="Arial"/>
          <w:b w:val="0"/>
          <w:i w:val="0"/>
          <w:color w:val="191919"/>
          <w:sz w:val="20"/>
        </w:rPr>
        <w:t>NorthPeak Talent Review is a live-room, browser-based dashboard for enterprise succession and talent-portfolio discussions. It brings assessment data (DC / Perception / Personality), performance history (PMP), demographics, career aspirations, and 360-feedback themes into a single working surface. Its distinguishing feature is not the data model — it is that decisions made in the room (Functional Fit, Step-in cover, action commitments, scenario changes) are captured live on the same screen the client is looking at, and persist as the document is used again.</w:t>
      </w:r>
    </w:p>
    <w:p>
      <w:pPr>
        <w:spacing w:before="120" w:after="120" w:line="288" w:lineRule="auto"/>
        <w:ind w:left="60" w:right="60"/>
        <w:pBdr>
          <w:top w:val="dashed" w:sz="6" w:space="6" w:color="A0A0A0"/>
          <w:left w:val="dashed" w:sz="6" w:space="6" w:color="A0A0A0"/>
          <w:bottom w:val="dashed" w:sz="6" w:space="6" w:color="A0A0A0"/>
          <w:right w:val="dashed" w:sz="6" w:space="6" w:color="A0A0A0"/>
        </w:pBdr>
        <w:shd w:val="clear" w:color="auto" w:fill="FAFAFB"/>
      </w:pPr>
      <w:r>
        <w:rPr>
          <w:rFonts w:ascii="Arial" w:hAnsi="Arial" w:cs="Arial"/>
          <w:b/>
          <w:i w:val="0"/>
          <w:color w:val="A0A0A0"/>
          <w:sz w:val="18"/>
        </w:rPr>
        <w:t xml:space="preserve">[ SCREENSHOT ]  </w:t>
      </w:r>
      <w:r>
        <w:rPr>
          <w:rFonts w:ascii="Arial" w:hAnsi="Arial" w:cs="Arial"/>
          <w:b w:val="0"/>
          <w:i/>
          <w:color w:val="6E6E6E"/>
          <w:sz w:val="18"/>
        </w:rPr>
        <w:t>Landing view of the dashboard — top bar with view-mode dropdown, four-tab navigation (Pipeline · Leaders · Compare · Scenarios), and the Pipeline view showing the KPI strip and role-family cards.</w:t>
      </w:r>
    </w:p>
    <w:p>
      <w:r>
        <w:br w:type="page"/>
      </w:r>
    </w:p>
    <w:p>
      <w:pPr>
        <w:spacing w:before="100" w:after="40"/>
      </w:pPr>
      <w:r>
        <w:rPr>
          <w:rFonts w:ascii="Arial" w:hAnsi="Arial" w:cs="Arial"/>
          <w:b/>
          <w:i w:val="0"/>
          <w:color w:val="EB0017"/>
          <w:sz w:val="16"/>
          <w:spacing w:val="40"/>
        </w:rPr>
        <w:t>SECTION 2</w:t>
      </w:r>
    </w:p>
    <w:p>
      <w:pPr>
        <w:pStyle w:val="Heading1"/>
        <w:spacing w:before="240" w:after="100"/>
        <w:pBdr>
          <w:bottom w:val="single" w:sz="18" w:space="4" w:color="EB0017"/>
        </w:pBdr>
      </w:pPr>
      <w:r>
        <w:rPr>
          <w:rFonts w:ascii="Arial" w:hAnsi="Arial" w:cs="Arial"/>
          <w:b/>
          <w:i w:val="0"/>
          <w:color w:val="191919"/>
          <w:sz w:val="40"/>
        </w:rPr>
        <w:t>The client problem this tool solves</w:t>
      </w:r>
    </w:p>
    <w:p>
      <w:pPr>
        <w:spacing w:before="0" w:after="100" w:line="288" w:lineRule="auto"/>
      </w:pPr>
      <w:r>
        <w:rPr>
          <w:rFonts w:ascii="Arial" w:hAnsi="Arial" w:cs="Arial"/>
          <w:b w:val="0"/>
          <w:i w:val="0"/>
          <w:color w:val="191919"/>
          <w:sz w:val="20"/>
        </w:rPr>
        <w:t>Every large-enterprise talent conversation runs into a version of the same set of problems. Being explicit about these problems early in a client meeting frames the demo — the client hears their own pain named accurately, and then sees a tool that responds to it.</w:t>
      </w:r>
    </w:p>
    <w:p>
      <w:pPr>
        <w:pStyle w:val="Heading2"/>
        <w:spacing w:before="200" w:after="80"/>
      </w:pPr>
      <w:r>
        <w:rPr>
          <w:rFonts w:ascii="Arial" w:hAnsi="Arial" w:cs="Arial"/>
          <w:b/>
          <w:i w:val="0"/>
          <w:color w:val="191919"/>
          <w:sz w:val="28"/>
        </w:rPr>
        <w:t>The pain points a CHRO or CEO actually feels</w:t>
      </w:r>
    </w:p>
    <w:p>
      <w:pPr>
        <w:pStyle w:val="Heading3"/>
        <w:spacing w:before="140" w:after="60"/>
      </w:pPr>
      <w:r>
        <w:rPr>
          <w:rFonts w:ascii="Arial" w:hAnsi="Arial" w:cs="Arial"/>
          <w:b/>
          <w:i w:val="0"/>
          <w:color w:val="EB0017"/>
          <w:sz w:val="22"/>
        </w:rPr>
        <w:t>1.  The talent review is static, one-way, and quickly outdated</w:t>
      </w:r>
    </w:p>
    <w:p>
      <w:pPr>
        <w:spacing w:before="0" w:after="100" w:line="288" w:lineRule="auto"/>
      </w:pPr>
      <w:r>
        <w:rPr>
          <w:rFonts w:ascii="Arial" w:hAnsi="Arial" w:cs="Arial"/>
          <w:b w:val="0"/>
          <w:i w:val="0"/>
          <w:color w:val="191919"/>
          <w:sz w:val="20"/>
        </w:rPr>
        <w:t>Most enterprises run a formal talent review once a year — spreadsheets get compiled, decks get built, the committee meets, decisions are made, and then the artefact is filed. Six weeks later, retirements happen, promotions happen, exits happen. The deck is stale. The next review starts from scratch.</w:t>
      </w:r>
    </w:p>
    <w:p>
      <w:pPr>
        <w:pStyle w:val="Heading3"/>
        <w:spacing w:before="140" w:after="60"/>
      </w:pPr>
      <w:r>
        <w:rPr>
          <w:rFonts w:ascii="Arial" w:hAnsi="Arial" w:cs="Arial"/>
          <w:b/>
          <w:i w:val="0"/>
          <w:color w:val="EB0017"/>
          <w:sz w:val="22"/>
        </w:rPr>
        <w:t>2.  Data lives in silos; decisions live in memory</w:t>
      </w:r>
    </w:p>
    <w:p>
      <w:pPr>
        <w:spacing w:before="0" w:after="100" w:line="288" w:lineRule="auto"/>
      </w:pPr>
      <w:r>
        <w:rPr>
          <w:rFonts w:ascii="Arial" w:hAnsi="Arial" w:cs="Arial"/>
          <w:b w:val="0"/>
          <w:i w:val="0"/>
          <w:color w:val="191919"/>
          <w:sz w:val="20"/>
        </w:rPr>
        <w:t>Assessment scores are in one system, PMP is in another, 360 is a third, and career-aspiration data is on a spreadsheet someone maintains manually. The decisions the committee makes — who is a Ready-Now successor, who is a step-in for the CFO if she leaves tomorrow, who needs a specific development action — are captured in meeting minutes or, more commonly, remembered by whoever was in the room.</w:t>
      </w:r>
    </w:p>
    <w:p>
      <w:pPr>
        <w:pStyle w:val="Heading3"/>
        <w:spacing w:before="140" w:after="60"/>
      </w:pPr>
      <w:r>
        <w:rPr>
          <w:rFonts w:ascii="Arial" w:hAnsi="Arial" w:cs="Arial"/>
          <w:b/>
          <w:i w:val="0"/>
          <w:color w:val="EB0017"/>
          <w:sz w:val="22"/>
        </w:rPr>
        <w:t>3.  Succession is treated as a spreadsheet, not a portfolio</w:t>
      </w:r>
    </w:p>
    <w:p>
      <w:pPr>
        <w:spacing w:before="0" w:after="100" w:line="288" w:lineRule="auto"/>
      </w:pPr>
      <w:r>
        <w:rPr>
          <w:rFonts w:ascii="Arial" w:hAnsi="Arial" w:cs="Arial"/>
          <w:b w:val="0"/>
          <w:i w:val="0"/>
          <w:color w:val="191919"/>
          <w:sz w:val="20"/>
        </w:rPr>
        <w:t>Ready-Now / 1-year / 2-3 year successors are named per role, but the health of the portfolio — how thin is the HiPo bench, how many roles are exposed, how much of the current cohort is 3 years from retirement — is rarely visible in one place. The Board sees a summary; the BU CEO sees their own patch; nobody sees both together.</w:t>
      </w:r>
    </w:p>
    <w:p>
      <w:pPr>
        <w:pStyle w:val="Heading3"/>
        <w:spacing w:before="140" w:after="60"/>
      </w:pPr>
      <w:r>
        <w:rPr>
          <w:rFonts w:ascii="Arial" w:hAnsi="Arial" w:cs="Arial"/>
          <w:b/>
          <w:i w:val="0"/>
          <w:color w:val="EB0017"/>
          <w:sz w:val="22"/>
        </w:rPr>
        <w:t>4.  The retirement wave is treated as a surprise every year</w:t>
      </w:r>
    </w:p>
    <w:p>
      <w:pPr>
        <w:spacing w:before="0" w:after="100" w:line="288" w:lineRule="auto"/>
      </w:pPr>
      <w:r>
        <w:rPr>
          <w:rFonts w:ascii="Arial" w:hAnsi="Arial" w:cs="Arial"/>
          <w:b w:val="0"/>
          <w:i w:val="0"/>
          <w:color w:val="191919"/>
          <w:sz w:val="20"/>
        </w:rPr>
        <w:t>Age is captured. Retirement policy exists. But the intersection — which critical roles have an incumbent within 3 years of retirement AND no Ready-Now successor named — is rarely surfaced as a single, defensible number that drives urgency.</w:t>
      </w:r>
    </w:p>
    <w:p>
      <w:pPr>
        <w:pStyle w:val="Heading3"/>
        <w:spacing w:before="140" w:after="60"/>
      </w:pPr>
      <w:r>
        <w:rPr>
          <w:rFonts w:ascii="Arial" w:hAnsi="Arial" w:cs="Arial"/>
          <w:b/>
          <w:i w:val="0"/>
          <w:color w:val="EB0017"/>
          <w:sz w:val="22"/>
        </w:rPr>
        <w:t>5.  Cross-BU or functional insights are structurally absent</w:t>
      </w:r>
    </w:p>
    <w:p>
      <w:pPr>
        <w:spacing w:before="0" w:after="100" w:line="288" w:lineRule="auto"/>
      </w:pPr>
      <w:r>
        <w:rPr>
          <w:rFonts w:ascii="Arial" w:hAnsi="Arial" w:cs="Arial"/>
          <w:b w:val="0"/>
          <w:i w:val="0"/>
          <w:color w:val="191919"/>
          <w:sz w:val="20"/>
        </w:rPr>
        <w:t>Whether People Leadership is the cohort's weakest trait, whether Innovation Leader personas are under-represented, whether the DR-Manager 360 gap points to a critique-avoidance culture — these are the questions a Board actually asks. They cannot be answered from role-by-role succession spreadsheets.</w:t>
      </w:r>
    </w:p>
    <w:p>
      <w:pPr>
        <w:pStyle w:val="Heading2"/>
        <w:spacing w:before="200" w:after="80"/>
      </w:pPr>
      <w:r>
        <w:rPr>
          <w:rFonts w:ascii="Arial" w:hAnsi="Arial" w:cs="Arial"/>
          <w:b/>
          <w:i w:val="0"/>
          <w:color w:val="191919"/>
          <w:sz w:val="28"/>
        </w:rPr>
        <w:t>What clients actually need — and rarely have</w:t>
      </w:r>
    </w:p>
    <w:p>
      <w:pPr>
        <w:pStyle w:val="ListBullet"/>
        <w:spacing w:before="40" w:after="40" w:line="288" w:lineRule="auto"/>
      </w:pPr>
      <w:r>
        <w:rPr>
          <w:rFonts w:ascii="Arial" w:hAnsi="Arial" w:cs="Arial"/>
          <w:b w:val="0"/>
          <w:i w:val="0"/>
          <w:color w:val="191919"/>
          <w:sz w:val="20"/>
        </w:rPr>
        <w:t>A single, live surface that holds enterprise, BU, and individual-leader views of the same data.</w:t>
      </w:r>
    </w:p>
    <w:p>
      <w:pPr>
        <w:pStyle w:val="ListBullet"/>
        <w:spacing w:before="40" w:after="40" w:line="288" w:lineRule="auto"/>
      </w:pPr>
      <w:r>
        <w:rPr>
          <w:rFonts w:ascii="Arial" w:hAnsi="Arial" w:cs="Arial"/>
          <w:b w:val="0"/>
          <w:i w:val="0"/>
          <w:color w:val="191919"/>
          <w:sz w:val="20"/>
        </w:rPr>
        <w:t>The ability to capture decisions (Fit, Step-in, next actions) during the review — not afterwards.</w:t>
      </w:r>
    </w:p>
    <w:p>
      <w:pPr>
        <w:pStyle w:val="ListBullet"/>
        <w:spacing w:before="40" w:after="40" w:line="288" w:lineRule="auto"/>
      </w:pPr>
      <w:r>
        <w:rPr>
          <w:rFonts w:ascii="Arial" w:hAnsi="Arial" w:cs="Arial"/>
          <w:b w:val="0"/>
          <w:i w:val="0"/>
          <w:color w:val="191919"/>
          <w:sz w:val="20"/>
        </w:rPr>
        <w:t>Portfolio-level lenses (HiPo density, retirement risk, persona mix) alongside person-level detail.</w:t>
      </w:r>
    </w:p>
    <w:p>
      <w:pPr>
        <w:pStyle w:val="ListBullet"/>
        <w:spacing w:before="40" w:after="40" w:line="288" w:lineRule="auto"/>
      </w:pPr>
      <w:r>
        <w:rPr>
          <w:rFonts w:ascii="Arial" w:hAnsi="Arial" w:cs="Arial"/>
          <w:b w:val="0"/>
          <w:i w:val="0"/>
          <w:color w:val="191919"/>
          <w:sz w:val="20"/>
        </w:rPr>
        <w:t>Scenario modelling — what happens to the bench if a top role opens tomorrow.</w:t>
      </w:r>
    </w:p>
    <w:p>
      <w:pPr>
        <w:pStyle w:val="ListBullet"/>
        <w:spacing w:before="40" w:after="40" w:line="288" w:lineRule="auto"/>
      </w:pPr>
      <w:r>
        <w:rPr>
          <w:rFonts w:ascii="Arial" w:hAnsi="Arial" w:cs="Arial"/>
          <w:b w:val="0"/>
          <w:i w:val="0"/>
          <w:color w:val="191919"/>
          <w:sz w:val="20"/>
        </w:rPr>
        <w:t>A record that persists — so the next review starts from where this one ended, not from zero.</w:t>
      </w:r>
    </w:p>
    <w:p>
      <w:pPr>
        <w:pStyle w:val="ListBullet"/>
        <w:spacing w:before="40" w:after="40" w:line="288" w:lineRule="auto"/>
      </w:pPr>
      <w:r>
        <w:rPr>
          <w:rFonts w:ascii="Arial" w:hAnsi="Arial" w:cs="Arial"/>
          <w:b w:val="0"/>
          <w:i w:val="0"/>
          <w:color w:val="191919"/>
          <w:sz w:val="20"/>
        </w:rPr>
        <w:t>An export that HR / the Nomination Committee can use for formal sign-off.</w:t>
      </w:r>
    </w:p>
    <w:p>
      <w:pPr>
        <w:spacing w:before="100" w:after="140" w:line="320" w:lineRule="auto"/>
        <w:ind w:left="200" w:right="100"/>
        <w:pBdr>
          <w:left w:val="single" w:sz="24" w:space="12" w:color="007585"/>
        </w:pBdr>
        <w:shd w:val="clear" w:color="auto" w:fill="DFEEEE"/>
      </w:pPr>
      <w:r>
        <w:rPr>
          <w:rFonts w:ascii="Arial" w:hAnsi="Arial" w:cs="Arial"/>
          <w:b w:val="0"/>
          <w:i/>
          <w:color w:val="191919"/>
          <w:sz w:val="22"/>
        </w:rPr>
        <w:t>The dashboard exists to move talent review from a once-a-year artefact to a continuous, decision-capturing discipline. That reframe is the sale, not the feature list.</w:t>
      </w:r>
    </w:p>
    <w:p>
      <w:r>
        <w:br w:type="page"/>
      </w:r>
    </w:p>
    <w:p>
      <w:pPr>
        <w:spacing w:before="100" w:after="40"/>
      </w:pPr>
      <w:r>
        <w:rPr>
          <w:rFonts w:ascii="Arial" w:hAnsi="Arial" w:cs="Arial"/>
          <w:b/>
          <w:i w:val="0"/>
          <w:color w:val="EB0017"/>
          <w:sz w:val="16"/>
          <w:spacing w:val="40"/>
        </w:rPr>
        <w:t>SECTION 3</w:t>
      </w:r>
    </w:p>
    <w:p>
      <w:pPr>
        <w:pStyle w:val="Heading1"/>
        <w:spacing w:before="240" w:after="100"/>
        <w:pBdr>
          <w:bottom w:val="single" w:sz="18" w:space="4" w:color="EB0017"/>
        </w:pBdr>
      </w:pPr>
      <w:r>
        <w:rPr>
          <w:rFonts w:ascii="Arial" w:hAnsi="Arial" w:cs="Arial"/>
          <w:b/>
          <w:i w:val="0"/>
          <w:color w:val="191919"/>
          <w:sz w:val="40"/>
        </w:rPr>
        <w:t>High-level talking points — six lines to lead with</w:t>
      </w:r>
    </w:p>
    <w:p>
      <w:pPr>
        <w:spacing w:before="0" w:after="100" w:line="288" w:lineRule="auto"/>
      </w:pPr>
      <w:r>
        <w:rPr>
          <w:rFonts w:ascii="Arial" w:hAnsi="Arial" w:cs="Arial"/>
          <w:b w:val="0"/>
          <w:i w:val="0"/>
          <w:color w:val="191919"/>
          <w:sz w:val="20"/>
        </w:rPr>
        <w:t>These are the six framings to use in the first five minutes of a client conversation, before you touch a single button on the tool. Use them in order or pick the three most relevant to that client's pain. Each is designed to land a specific idea, followed by the natural next question the client will ask — which the demo then answers.</w:t>
      </w:r>
    </w:p>
    <w:p>
      <w:pPr>
        <w:spacing w:before="120" w:after="40" w:line="288" w:lineRule="auto"/>
        <w:ind w:left="200"/>
        <w:pBdr>
          <w:left w:val="single" w:sz="24" w:space="12" w:color="EB0017"/>
        </w:pBdr>
      </w:pPr>
      <w:r>
        <w:rPr>
          <w:rFonts w:ascii="Arial" w:hAnsi="Arial" w:cs="Arial"/>
          <w:b/>
          <w:i w:val="0"/>
          <w:color w:val="EB0017"/>
          <w:sz w:val="24"/>
        </w:rPr>
        <w:t xml:space="preserve">1.  </w:t>
      </w:r>
      <w:r>
        <w:rPr>
          <w:rFonts w:ascii="Arial" w:hAnsi="Arial" w:cs="Arial"/>
          <w:b/>
          <w:i w:val="0"/>
          <w:color w:val="191919"/>
          <w:sz w:val="24"/>
        </w:rPr>
        <w:t>This is not a report — it is a working document.</w:t>
      </w:r>
    </w:p>
    <w:p>
      <w:pPr>
        <w:spacing w:before="0" w:after="180" w:line="288" w:lineRule="auto"/>
        <w:ind w:left="200"/>
        <w:pBdr>
          <w:left w:val="single" w:sz="24" w:space="12" w:color="EB0017"/>
        </w:pBdr>
      </w:pPr>
      <w:r>
        <w:rPr>
          <w:rFonts w:ascii="Arial" w:hAnsi="Arial" w:cs="Arial"/>
          <w:b w:val="0"/>
          <w:i/>
          <w:color w:val="3E3E3E"/>
          <w:sz w:val="20"/>
        </w:rPr>
        <w:t>Everything captured in the room today persists. When you re-open this next quarter, the notes, actions, Fit assessments, step-in decisions are all still here. The next review starts where this one ended.</w:t>
      </w:r>
    </w:p>
    <w:p>
      <w:pPr>
        <w:spacing w:before="120" w:after="40" w:line="288" w:lineRule="auto"/>
        <w:ind w:left="200"/>
        <w:pBdr>
          <w:left w:val="single" w:sz="24" w:space="12" w:color="EB0017"/>
        </w:pBdr>
      </w:pPr>
      <w:r>
        <w:rPr>
          <w:rFonts w:ascii="Arial" w:hAnsi="Arial" w:cs="Arial"/>
          <w:b/>
          <w:i w:val="0"/>
          <w:color w:val="EB0017"/>
          <w:sz w:val="24"/>
        </w:rPr>
        <w:t xml:space="preserve">2.  </w:t>
      </w:r>
      <w:r>
        <w:rPr>
          <w:rFonts w:ascii="Arial" w:hAnsi="Arial" w:cs="Arial"/>
          <w:b/>
          <w:i w:val="0"/>
          <w:color w:val="191919"/>
          <w:sz w:val="24"/>
        </w:rPr>
        <w:t>Same data — three lenses. Board, CEO, Business Unit.</w:t>
      </w:r>
    </w:p>
    <w:p>
      <w:pPr>
        <w:spacing w:before="0" w:after="180" w:line="288" w:lineRule="auto"/>
        <w:ind w:left="200"/>
        <w:pBdr>
          <w:left w:val="single" w:sz="24" w:space="12" w:color="EB0017"/>
        </w:pBdr>
      </w:pPr>
      <w:r>
        <w:rPr>
          <w:rFonts w:ascii="Arial" w:hAnsi="Arial" w:cs="Arial"/>
          <w:b w:val="0"/>
          <w:i/>
          <w:color w:val="3E3E3E"/>
          <w:sz w:val="20"/>
        </w:rPr>
        <w:t>The Board sees portfolio health and retirement risk. The Group CEO sees the enterprise pipeline. The BU CEO sees only their own critical roles and successors. One surface, three audiences, one truth.</w:t>
      </w:r>
    </w:p>
    <w:p>
      <w:pPr>
        <w:spacing w:before="120" w:after="40" w:line="288" w:lineRule="auto"/>
        <w:ind w:left="200"/>
        <w:pBdr>
          <w:left w:val="single" w:sz="24" w:space="12" w:color="EB0017"/>
        </w:pBdr>
      </w:pPr>
      <w:r>
        <w:rPr>
          <w:rFonts w:ascii="Arial" w:hAnsi="Arial" w:cs="Arial"/>
          <w:b/>
          <w:i w:val="0"/>
          <w:color w:val="EB0017"/>
          <w:sz w:val="24"/>
        </w:rPr>
        <w:t xml:space="preserve">3.  </w:t>
      </w:r>
      <w:r>
        <w:rPr>
          <w:rFonts w:ascii="Arial" w:hAnsi="Arial" w:cs="Arial"/>
          <w:b/>
          <w:i w:val="0"/>
          <w:color w:val="191919"/>
          <w:sz w:val="24"/>
        </w:rPr>
        <w:t>Decisions get captured live, not afterwards.</w:t>
      </w:r>
    </w:p>
    <w:p>
      <w:pPr>
        <w:spacing w:before="0" w:after="180" w:line="288" w:lineRule="auto"/>
        <w:ind w:left="200"/>
        <w:pBdr>
          <w:left w:val="single" w:sz="24" w:space="12" w:color="EB0017"/>
        </w:pBdr>
      </w:pPr>
      <w:r>
        <w:rPr>
          <w:rFonts w:ascii="Arial" w:hAnsi="Arial" w:cs="Arial"/>
          <w:b w:val="0"/>
          <w:i/>
          <w:color w:val="3E3E3E"/>
          <w:sz w:val="20"/>
        </w:rPr>
        <w:t>Functional Fit, Step-in cover, next-quarter development actions — these are captured on-screen while the review is happening. There is no separate template to fill in afterwards, and nothing gets lost between the discussion and the record.</w:t>
      </w:r>
    </w:p>
    <w:p>
      <w:pPr>
        <w:spacing w:before="120" w:after="40" w:line="288" w:lineRule="auto"/>
        <w:ind w:left="200"/>
        <w:pBdr>
          <w:left w:val="single" w:sz="24" w:space="12" w:color="EB0017"/>
        </w:pBdr>
      </w:pPr>
      <w:r>
        <w:rPr>
          <w:rFonts w:ascii="Arial" w:hAnsi="Arial" w:cs="Arial"/>
          <w:b/>
          <w:i w:val="0"/>
          <w:color w:val="EB0017"/>
          <w:sz w:val="24"/>
        </w:rPr>
        <w:t xml:space="preserve">4.  </w:t>
      </w:r>
      <w:r>
        <w:rPr>
          <w:rFonts w:ascii="Arial" w:hAnsi="Arial" w:cs="Arial"/>
          <w:b/>
          <w:i w:val="0"/>
          <w:color w:val="191919"/>
          <w:sz w:val="24"/>
        </w:rPr>
        <w:t>Data + human judgment, together — not either / or.</w:t>
      </w:r>
    </w:p>
    <w:p>
      <w:pPr>
        <w:spacing w:before="0" w:after="180" w:line="288" w:lineRule="auto"/>
        <w:ind w:left="200"/>
        <w:pBdr>
          <w:left w:val="single" w:sz="24" w:space="12" w:color="EB0017"/>
        </w:pBdr>
      </w:pPr>
      <w:r>
        <w:rPr>
          <w:rFonts w:ascii="Arial" w:hAnsi="Arial" w:cs="Arial"/>
          <w:b w:val="0"/>
          <w:i/>
          <w:color w:val="3E3E3E"/>
          <w:sz w:val="20"/>
        </w:rPr>
        <w:t>Assessment scores, 360, PMP, ADEPT — all visible on the leader profile. But readiness horizon and Fit are captured by the line leaders in the room, not derived from a formula. The tool respects that the humans in the room have context the data doesn't.</w:t>
      </w:r>
    </w:p>
    <w:p>
      <w:pPr>
        <w:spacing w:before="120" w:after="40" w:line="288" w:lineRule="auto"/>
        <w:ind w:left="200"/>
        <w:pBdr>
          <w:left w:val="single" w:sz="24" w:space="12" w:color="EB0017"/>
        </w:pBdr>
      </w:pPr>
      <w:r>
        <w:rPr>
          <w:rFonts w:ascii="Arial" w:hAnsi="Arial" w:cs="Arial"/>
          <w:b/>
          <w:i w:val="0"/>
          <w:color w:val="EB0017"/>
          <w:sz w:val="24"/>
        </w:rPr>
        <w:t xml:space="preserve">5.  </w:t>
      </w:r>
      <w:r>
        <w:rPr>
          <w:rFonts w:ascii="Arial" w:hAnsi="Arial" w:cs="Arial"/>
          <w:b/>
          <w:i w:val="0"/>
          <w:color w:val="191919"/>
          <w:sz w:val="24"/>
        </w:rPr>
        <w:t>The retirement wave is visible, not a surprise.</w:t>
      </w:r>
    </w:p>
    <w:p>
      <w:pPr>
        <w:spacing w:before="0" w:after="180" w:line="288" w:lineRule="auto"/>
        <w:ind w:left="200"/>
        <w:pBdr>
          <w:left w:val="single" w:sz="24" w:space="12" w:color="EB0017"/>
        </w:pBdr>
      </w:pPr>
      <w:r>
        <w:rPr>
          <w:rFonts w:ascii="Arial" w:hAnsi="Arial" w:cs="Arial"/>
          <w:b w:val="0"/>
          <w:i/>
          <w:color w:val="3E3E3E"/>
          <w:sz w:val="20"/>
        </w:rPr>
        <w:t>Every critical role shows the incumbent's succession horizon. Every role with a near-term retirement AND no Ready-Now successor is flagged as a business-continuity risk. Portfolio-level: how many roles are exposed, at what pace.</w:t>
      </w:r>
    </w:p>
    <w:p>
      <w:pPr>
        <w:spacing w:before="120" w:after="40" w:line="288" w:lineRule="auto"/>
        <w:ind w:left="200"/>
        <w:pBdr>
          <w:left w:val="single" w:sz="24" w:space="12" w:color="EB0017"/>
        </w:pBdr>
      </w:pPr>
      <w:r>
        <w:rPr>
          <w:rFonts w:ascii="Arial" w:hAnsi="Arial" w:cs="Arial"/>
          <w:b/>
          <w:i w:val="0"/>
          <w:color w:val="EB0017"/>
          <w:sz w:val="24"/>
        </w:rPr>
        <w:t xml:space="preserve">6.  </w:t>
      </w:r>
      <w:r>
        <w:rPr>
          <w:rFonts w:ascii="Arial" w:hAnsi="Arial" w:cs="Arial"/>
          <w:b/>
          <w:i w:val="0"/>
          <w:color w:val="191919"/>
          <w:sz w:val="24"/>
        </w:rPr>
        <w:t>You leave the room with commitments, not observations.</w:t>
      </w:r>
    </w:p>
    <w:p>
      <w:pPr>
        <w:spacing w:before="0" w:after="180" w:line="288" w:lineRule="auto"/>
        <w:ind w:left="200"/>
        <w:pBdr>
          <w:left w:val="single" w:sz="24" w:space="12" w:color="EB0017"/>
        </w:pBdr>
      </w:pPr>
      <w:r>
        <w:rPr>
          <w:rFonts w:ascii="Arial" w:hAnsi="Arial" w:cs="Arial"/>
          <w:b w:val="0"/>
          <w:i/>
          <w:color w:val="3E3E3E"/>
          <w:sz w:val="20"/>
        </w:rPr>
        <w:t>Notes and Actions are captured per role and per leader as the discussion unfolds. Export to Excel and the HR committee has a ready-to-sign artefact. Nothing manual, nothing to reconstruct from memory.</w:t>
      </w:r>
    </w:p>
    <w:p>
      <w:r>
        <w:br w:type="page"/>
      </w:r>
    </w:p>
    <w:p>
      <w:pPr>
        <w:spacing w:before="100" w:after="40"/>
      </w:pPr>
      <w:r>
        <w:rPr>
          <w:rFonts w:ascii="Arial" w:hAnsi="Arial" w:cs="Arial"/>
          <w:b/>
          <w:i w:val="0"/>
          <w:color w:val="EB0017"/>
          <w:sz w:val="16"/>
          <w:spacing w:val="40"/>
        </w:rPr>
        <w:t>SECTION 4</w:t>
      </w:r>
    </w:p>
    <w:p>
      <w:pPr>
        <w:pStyle w:val="Heading1"/>
        <w:spacing w:before="240" w:after="100"/>
        <w:pBdr>
          <w:bottom w:val="single" w:sz="18" w:space="4" w:color="EB0017"/>
        </w:pBdr>
      </w:pPr>
      <w:r>
        <w:rPr>
          <w:rFonts w:ascii="Arial" w:hAnsi="Arial" w:cs="Arial"/>
          <w:b/>
          <w:i w:val="0"/>
          <w:color w:val="191919"/>
          <w:sz w:val="40"/>
        </w:rPr>
        <w:t>The three-layer structure of the dashboard</w:t>
      </w:r>
    </w:p>
    <w:p>
      <w:pPr>
        <w:spacing w:before="0" w:after="100" w:line="288" w:lineRule="auto"/>
      </w:pPr>
      <w:r>
        <w:rPr>
          <w:rFonts w:ascii="Arial" w:hAnsi="Arial" w:cs="Arial"/>
          <w:b w:val="0"/>
          <w:i w:val="0"/>
          <w:color w:val="191919"/>
          <w:sz w:val="20"/>
        </w:rPr>
        <w:t>The dashboard shows the same underlying data at three levels of resolution. The layer a viewer starts at should match their role: Board and Group CEO start at Layer 1; BU CEOs and function heads start at Layer 2; a coach or an HR business partner starts at Layer 3. Every layer links to the ones above and below.</w:t>
      </w:r>
    </w:p>
    <w:p>
      <w:pPr>
        <w:spacing w:before="100" w:after="140" w:line="320" w:lineRule="auto"/>
        <w:ind w:left="200" w:right="100"/>
        <w:pBdr>
          <w:left w:val="single" w:sz="24" w:space="12" w:color="007585"/>
        </w:pBdr>
        <w:shd w:val="clear" w:color="auto" w:fill="DFEEEE"/>
      </w:pPr>
      <w:r>
        <w:rPr>
          <w:rFonts w:ascii="Arial" w:hAnsi="Arial" w:cs="Arial"/>
          <w:b w:val="0"/>
          <w:i/>
          <w:color w:val="191919"/>
          <w:sz w:val="22"/>
        </w:rPr>
        <w:t>The three-layer structure is what makes the tool relevant to more than one stakeholder in a single conversation. This is the single most important idea to get across in the demo.</w:t>
      </w:r>
    </w:p>
    <w:p>
      <w:pPr>
        <w:pStyle w:val="Heading2"/>
        <w:spacing w:before="200" w:after="80"/>
      </w:pPr>
      <w:r>
        <w:rPr>
          <w:rFonts w:ascii="Arial" w:hAnsi="Arial" w:cs="Arial"/>
          <w:b/>
          <w:i w:val="0"/>
          <w:color w:val="191919"/>
          <w:sz w:val="28"/>
        </w:rPr>
        <w:t>Layer 1  ·  Board / Enterprise portfolio view</w:t>
      </w:r>
    </w:p>
    <w:p>
      <w:pPr>
        <w:pStyle w:val="Heading3"/>
        <w:spacing w:before="140" w:after="60"/>
      </w:pPr>
      <w:r>
        <w:rPr>
          <w:rFonts w:ascii="Arial" w:hAnsi="Arial" w:cs="Arial"/>
          <w:b/>
          <w:i w:val="0"/>
          <w:color w:val="EB0017"/>
          <w:sz w:val="22"/>
        </w:rPr>
        <w:t>Audience</w:t>
      </w:r>
    </w:p>
    <w:p>
      <w:pPr>
        <w:spacing w:before="0" w:after="100" w:line="288" w:lineRule="auto"/>
      </w:pPr>
      <w:r>
        <w:rPr>
          <w:rFonts w:ascii="Arial" w:hAnsi="Arial" w:cs="Arial"/>
          <w:b w:val="0"/>
          <w:i w:val="0"/>
          <w:color w:val="191919"/>
          <w:sz w:val="20"/>
        </w:rPr>
        <w:t>The Board (specifically the Nomination and Compensation Committee), the Group CEO, and the CHRO in a portfolio-review posture. The view-mode dropdown shows this as 'Board'.</w:t>
      </w:r>
    </w:p>
    <w:p>
      <w:pPr>
        <w:pStyle w:val="Heading3"/>
        <w:spacing w:before="140" w:after="60"/>
      </w:pPr>
      <w:r>
        <w:rPr>
          <w:rFonts w:ascii="Arial" w:hAnsi="Arial" w:cs="Arial"/>
          <w:b/>
          <w:i w:val="0"/>
          <w:color w:val="EB0017"/>
          <w:sz w:val="22"/>
        </w:rPr>
        <w:t>What they see</w:t>
      </w:r>
    </w:p>
    <w:p>
      <w:pPr>
        <w:pStyle w:val="ListBullet"/>
        <w:spacing w:before="40" w:after="40" w:line="288" w:lineRule="auto"/>
      </w:pPr>
      <w:r>
        <w:rPr>
          <w:rFonts w:ascii="Arial" w:hAnsi="Arial" w:cs="Arial"/>
          <w:b w:val="0"/>
          <w:i w:val="0"/>
          <w:color w:val="191919"/>
          <w:sz w:val="20"/>
        </w:rPr>
        <w:t>KPI strip — total critical roles in view, pipeline health, step-in cover %, retirement risk (roles), Fit-captured %.</w:t>
      </w:r>
    </w:p>
    <w:p>
      <w:pPr>
        <w:pStyle w:val="ListBullet"/>
        <w:spacing w:before="40" w:after="40" w:line="288" w:lineRule="auto"/>
      </w:pPr>
      <w:r>
        <w:rPr>
          <w:rFonts w:ascii="Arial" w:hAnsi="Arial" w:cs="Arial"/>
          <w:b w:val="0"/>
          <w:i w:val="0"/>
          <w:color w:val="191919"/>
          <w:sz w:val="20"/>
        </w:rPr>
        <w:t>Family-grouped role table with headline succession health per role (Healthy / Watch / At-risk / Exposed).</w:t>
      </w:r>
    </w:p>
    <w:p>
      <w:pPr>
        <w:pStyle w:val="ListBullet"/>
        <w:spacing w:before="40" w:after="40" w:line="288" w:lineRule="auto"/>
      </w:pPr>
      <w:r>
        <w:rPr>
          <w:rFonts w:ascii="Arial" w:hAnsi="Arial" w:cs="Arial"/>
          <w:b w:val="0"/>
          <w:i w:val="0"/>
          <w:color w:val="191919"/>
          <w:sz w:val="20"/>
        </w:rPr>
        <w:t>Cohort demographics, age distribution, sector split — the shape of the enterprise talent portfolio.</w:t>
      </w:r>
    </w:p>
    <w:p>
      <w:pPr>
        <w:pStyle w:val="ListBullet"/>
        <w:spacing w:before="40" w:after="40" w:line="288" w:lineRule="auto"/>
      </w:pPr>
      <w:r>
        <w:rPr>
          <w:rFonts w:ascii="Arial" w:hAnsi="Arial" w:cs="Arial"/>
          <w:b w:val="0"/>
          <w:i w:val="0"/>
          <w:color w:val="191919"/>
          <w:sz w:val="20"/>
        </w:rPr>
        <w:t>GLIDE trait profile and persona mix at cohort level — how the leadership is skewed.</w:t>
      </w:r>
    </w:p>
    <w:p>
      <w:pPr>
        <w:pStyle w:val="Heading3"/>
        <w:spacing w:before="140" w:after="60"/>
      </w:pPr>
      <w:r>
        <w:rPr>
          <w:rFonts w:ascii="Arial" w:hAnsi="Arial" w:cs="Arial"/>
          <w:b/>
          <w:i w:val="0"/>
          <w:color w:val="EB0017"/>
          <w:sz w:val="22"/>
        </w:rPr>
        <w:t>What they can do</w:t>
      </w:r>
    </w:p>
    <w:p>
      <w:pPr>
        <w:pStyle w:val="ListBullet"/>
        <w:spacing w:before="40" w:after="40" w:line="288" w:lineRule="auto"/>
      </w:pPr>
      <w:r>
        <w:rPr>
          <w:rFonts w:ascii="Arial" w:hAnsi="Arial" w:cs="Arial"/>
          <w:b w:val="0"/>
          <w:i w:val="0"/>
          <w:color w:val="191919"/>
          <w:sz w:val="20"/>
        </w:rPr>
        <w:t>Scan the retirement horizon and the exposed roles in under 30 seconds.</w:t>
      </w:r>
    </w:p>
    <w:p>
      <w:pPr>
        <w:pStyle w:val="ListBullet"/>
        <w:spacing w:before="40" w:after="40" w:line="288" w:lineRule="auto"/>
      </w:pPr>
      <w:r>
        <w:rPr>
          <w:rFonts w:ascii="Arial" w:hAnsi="Arial" w:cs="Arial"/>
          <w:b w:val="0"/>
          <w:i w:val="0"/>
          <w:color w:val="191919"/>
          <w:sz w:val="20"/>
        </w:rPr>
        <w:t>Click any role or leader to drill down into Layer 2 or Layer 3.</w:t>
      </w:r>
    </w:p>
    <w:p>
      <w:pPr>
        <w:pStyle w:val="ListBullet"/>
        <w:spacing w:before="40" w:after="40" w:line="288" w:lineRule="auto"/>
      </w:pPr>
      <w:r>
        <w:rPr>
          <w:rFonts w:ascii="Arial" w:hAnsi="Arial" w:cs="Arial"/>
          <w:b w:val="0"/>
          <w:i w:val="0"/>
          <w:color w:val="191919"/>
          <w:sz w:val="20"/>
        </w:rPr>
        <w:t>Switch to CXO view to see how a specific BU compares to the enterprise average.</w:t>
      </w:r>
    </w:p>
    <w:p>
      <w:pPr>
        <w:pStyle w:val="Heading3"/>
        <w:spacing w:before="140" w:after="60"/>
      </w:pPr>
      <w:r>
        <w:rPr>
          <w:rFonts w:ascii="Arial" w:hAnsi="Arial" w:cs="Arial"/>
          <w:b/>
          <w:i w:val="0"/>
          <w:color w:val="EB0017"/>
          <w:sz w:val="22"/>
        </w:rPr>
        <w:t>What to say</w:t>
      </w:r>
    </w:p>
    <w:p>
      <w:pPr>
        <w:spacing w:before="0" w:after="100" w:line="288" w:lineRule="auto"/>
      </w:pPr>
      <w:r>
        <w:rPr>
          <w:rFonts w:ascii="Arial" w:hAnsi="Arial" w:cs="Arial"/>
          <w:b w:val="0"/>
          <w:i w:val="0"/>
          <w:color w:val="191919"/>
          <w:sz w:val="20"/>
        </w:rPr>
        <w:t>Open here. Land the KPI strip as the 'vital signs' of the succession portfolio. Point to the retirement-risk number. Point to the pipeline-health mix. This is what the Board actually reads before making a nomination decision — and it is the first thing this tool is designed to serve.</w:t>
      </w:r>
    </w:p>
    <w:p>
      <w:pPr>
        <w:spacing w:before="120" w:after="120" w:line="288" w:lineRule="auto"/>
        <w:ind w:left="60" w:right="60"/>
        <w:pBdr>
          <w:top w:val="dashed" w:sz="6" w:space="6" w:color="A0A0A0"/>
          <w:left w:val="dashed" w:sz="6" w:space="6" w:color="A0A0A0"/>
          <w:bottom w:val="dashed" w:sz="6" w:space="6" w:color="A0A0A0"/>
          <w:right w:val="dashed" w:sz="6" w:space="6" w:color="A0A0A0"/>
        </w:pBdr>
        <w:shd w:val="clear" w:color="auto" w:fill="FAFAFB"/>
      </w:pPr>
      <w:r>
        <w:rPr>
          <w:rFonts w:ascii="Arial" w:hAnsi="Arial" w:cs="Arial"/>
          <w:b/>
          <w:i w:val="0"/>
          <w:color w:val="A0A0A0"/>
          <w:sz w:val="18"/>
        </w:rPr>
        <w:t xml:space="preserve">[ SCREENSHOT ]  </w:t>
      </w:r>
      <w:r>
        <w:rPr>
          <w:rFonts w:ascii="Arial" w:hAnsi="Arial" w:cs="Arial"/>
          <w:b w:val="0"/>
          <w:i/>
          <w:color w:val="6E6E6E"/>
          <w:sz w:val="18"/>
        </w:rPr>
        <w:t>Board view — top KPI strip with 5 metrics, family-grouped critical-roles table below with health colouring, retirement-horizon indicators on incumbent blocks.</w:t>
      </w:r>
    </w:p>
    <w:p>
      <w:r>
        <w:br w:type="page"/>
      </w:r>
    </w:p>
    <w:p>
      <w:pPr>
        <w:pStyle w:val="Heading2"/>
        <w:spacing w:before="200" w:after="80"/>
      </w:pPr>
      <w:r>
        <w:rPr>
          <w:rFonts w:ascii="Arial" w:hAnsi="Arial" w:cs="Arial"/>
          <w:b/>
          <w:i w:val="0"/>
          <w:color w:val="191919"/>
          <w:sz w:val="28"/>
        </w:rPr>
        <w:t>Layer 2  ·  CXO / BU-scoped view</w:t>
      </w:r>
    </w:p>
    <w:p>
      <w:pPr>
        <w:pStyle w:val="Heading3"/>
        <w:spacing w:before="140" w:after="60"/>
      </w:pPr>
      <w:r>
        <w:rPr>
          <w:rFonts w:ascii="Arial" w:hAnsi="Arial" w:cs="Arial"/>
          <w:b/>
          <w:i w:val="0"/>
          <w:color w:val="EB0017"/>
          <w:sz w:val="22"/>
        </w:rPr>
        <w:t>Audience</w:t>
      </w:r>
    </w:p>
    <w:p>
      <w:pPr>
        <w:spacing w:before="0" w:after="100" w:line="288" w:lineRule="auto"/>
      </w:pPr>
      <w:r>
        <w:rPr>
          <w:rFonts w:ascii="Arial" w:hAnsi="Arial" w:cs="Arial"/>
          <w:b w:val="0"/>
          <w:i w:val="0"/>
          <w:color w:val="191919"/>
          <w:sz w:val="20"/>
        </w:rPr>
        <w:t>A BU CEO reviewing succession for their own patch, or a functional CXO (CFO, CHRO, COO) reviewing their functional pipeline across BUs. Selected from the view-mode dropdown — e.g., 'CXO · Auto Components (BU CEO)'.</w:t>
      </w:r>
    </w:p>
    <w:p>
      <w:pPr>
        <w:pStyle w:val="Heading3"/>
        <w:spacing w:before="140" w:after="60"/>
      </w:pPr>
      <w:r>
        <w:rPr>
          <w:rFonts w:ascii="Arial" w:hAnsi="Arial" w:cs="Arial"/>
          <w:b/>
          <w:i w:val="0"/>
          <w:color w:val="EB0017"/>
          <w:sz w:val="22"/>
        </w:rPr>
        <w:t>What they see</w:t>
      </w:r>
    </w:p>
    <w:p>
      <w:pPr>
        <w:pStyle w:val="ListBullet"/>
        <w:spacing w:before="40" w:after="40" w:line="288" w:lineRule="auto"/>
      </w:pPr>
      <w:r>
        <w:rPr>
          <w:rFonts w:ascii="Arial" w:hAnsi="Arial" w:cs="Arial"/>
          <w:b w:val="0"/>
          <w:i w:val="0"/>
          <w:color w:val="191919"/>
          <w:sz w:val="20"/>
        </w:rPr>
        <w:t>The same table structure as Layer 1, but filtered to only their scope.</w:t>
      </w:r>
    </w:p>
    <w:p>
      <w:pPr>
        <w:pStyle w:val="ListBullet"/>
        <w:spacing w:before="40" w:after="40" w:line="288" w:lineRule="auto"/>
      </w:pPr>
      <w:r>
        <w:rPr>
          <w:rFonts w:ascii="Arial" w:hAnsi="Arial" w:cs="Arial"/>
          <w:b w:val="0"/>
          <w:i w:val="0"/>
          <w:color w:val="191919"/>
          <w:sz w:val="20"/>
        </w:rPr>
        <w:t>Every critical role in their BU with named successors, readiness levels, and Fit indicators.</w:t>
      </w:r>
    </w:p>
    <w:p>
      <w:pPr>
        <w:pStyle w:val="ListBullet"/>
        <w:spacing w:before="40" w:after="40" w:line="288" w:lineRule="auto"/>
      </w:pPr>
      <w:r>
        <w:rPr>
          <w:rFonts w:ascii="Arial" w:hAnsi="Arial" w:cs="Arial"/>
          <w:b w:val="0"/>
          <w:i w:val="0"/>
          <w:color w:val="191919"/>
          <w:sz w:val="20"/>
        </w:rPr>
        <w:t>Step-in cover status per role — with Ready-Now successors auto-flagged as implicit cover.</w:t>
      </w:r>
    </w:p>
    <w:p>
      <w:pPr>
        <w:pStyle w:val="ListBullet"/>
        <w:spacing w:before="40" w:after="40" w:line="288" w:lineRule="auto"/>
      </w:pPr>
      <w:r>
        <w:rPr>
          <w:rFonts w:ascii="Arial" w:hAnsi="Arial" w:cs="Arial"/>
          <w:b w:val="0"/>
          <w:i w:val="0"/>
          <w:color w:val="191919"/>
          <w:sz w:val="20"/>
        </w:rPr>
        <w:t>Notes and actions specific to their scope, filtered from the enterprise view.</w:t>
      </w:r>
    </w:p>
    <w:p>
      <w:pPr>
        <w:pStyle w:val="Heading3"/>
        <w:spacing w:before="140" w:after="60"/>
      </w:pPr>
      <w:r>
        <w:rPr>
          <w:rFonts w:ascii="Arial" w:hAnsi="Arial" w:cs="Arial"/>
          <w:b/>
          <w:i w:val="0"/>
          <w:color w:val="EB0017"/>
          <w:sz w:val="22"/>
        </w:rPr>
        <w:t>What they can do</w:t>
      </w:r>
    </w:p>
    <w:p>
      <w:pPr>
        <w:pStyle w:val="ListBullet"/>
        <w:spacing w:before="40" w:after="40" w:line="288" w:lineRule="auto"/>
      </w:pPr>
      <w:r>
        <w:rPr>
          <w:rFonts w:ascii="Arial" w:hAnsi="Arial" w:cs="Arial"/>
          <w:b w:val="0"/>
          <w:i w:val="0"/>
          <w:color w:val="191919"/>
          <w:sz w:val="20"/>
        </w:rPr>
        <w:t>Capture Functional Fit (Low / Med / High) per successor per role — the click flows the readiness horizon.</w:t>
      </w:r>
    </w:p>
    <w:p>
      <w:pPr>
        <w:pStyle w:val="ListBullet"/>
        <w:spacing w:before="40" w:after="40" w:line="288" w:lineRule="auto"/>
      </w:pPr>
      <w:r>
        <w:rPr>
          <w:rFonts w:ascii="Arial" w:hAnsi="Arial" w:cs="Arial"/>
          <w:b w:val="0"/>
          <w:i w:val="0"/>
          <w:color w:val="191919"/>
          <w:sz w:val="20"/>
        </w:rPr>
        <w:t>Name a step-in cover for any role that doesn't have a Ready-Now successor.</w:t>
      </w:r>
    </w:p>
    <w:p>
      <w:pPr>
        <w:pStyle w:val="ListBullet"/>
        <w:spacing w:before="40" w:after="40" w:line="288" w:lineRule="auto"/>
      </w:pPr>
      <w:r>
        <w:rPr>
          <w:rFonts w:ascii="Arial" w:hAnsi="Arial" w:cs="Arial"/>
          <w:b w:val="0"/>
          <w:i w:val="0"/>
          <w:color w:val="191919"/>
          <w:sz w:val="20"/>
        </w:rPr>
        <w:t>Add notes against a role or a leader that persist to the enterprise view.</w:t>
      </w:r>
    </w:p>
    <w:p>
      <w:pPr>
        <w:pStyle w:val="ListBullet"/>
        <w:spacing w:before="40" w:after="40" w:line="288" w:lineRule="auto"/>
      </w:pPr>
      <w:r>
        <w:rPr>
          <w:rFonts w:ascii="Arial" w:hAnsi="Arial" w:cs="Arial"/>
          <w:b w:val="0"/>
          <w:i w:val="0"/>
          <w:color w:val="191919"/>
          <w:sz w:val="20"/>
        </w:rPr>
        <w:t>Compare two or more successors side-by-side (Compare tab).</w:t>
      </w:r>
    </w:p>
    <w:p>
      <w:pPr>
        <w:pStyle w:val="Heading3"/>
        <w:spacing w:before="140" w:after="60"/>
      </w:pPr>
      <w:r>
        <w:rPr>
          <w:rFonts w:ascii="Arial" w:hAnsi="Arial" w:cs="Arial"/>
          <w:b/>
          <w:i w:val="0"/>
          <w:color w:val="EB0017"/>
          <w:sz w:val="22"/>
        </w:rPr>
        <w:t>What to say</w:t>
      </w:r>
    </w:p>
    <w:p>
      <w:pPr>
        <w:spacing w:before="0" w:after="100" w:line="288" w:lineRule="auto"/>
      </w:pPr>
      <w:r>
        <w:rPr>
          <w:rFonts w:ascii="Arial" w:hAnsi="Arial" w:cs="Arial"/>
          <w:b w:val="0"/>
          <w:i w:val="0"/>
          <w:color w:val="191919"/>
          <w:sz w:val="20"/>
        </w:rPr>
        <w:t>Layer 2 is where the live capture happens. The BU CEO is the one who knows whether Priya really can step into the CFO role — the assessment can't tell you that, only the line leader can. The Fit rating and the Step-in decision are the two moments where the tool is doing what a spreadsheet or a deck cannot: capturing tacit judgment in place.</w:t>
      </w:r>
    </w:p>
    <w:p>
      <w:pPr>
        <w:spacing w:before="120" w:after="120" w:line="288" w:lineRule="auto"/>
        <w:ind w:left="60" w:right="60"/>
        <w:pBdr>
          <w:top w:val="dashed" w:sz="6" w:space="6" w:color="A0A0A0"/>
          <w:left w:val="dashed" w:sz="6" w:space="6" w:color="A0A0A0"/>
          <w:bottom w:val="dashed" w:sz="6" w:space="6" w:color="A0A0A0"/>
          <w:right w:val="dashed" w:sz="6" w:space="6" w:color="A0A0A0"/>
        </w:pBdr>
        <w:shd w:val="clear" w:color="auto" w:fill="FAFAFB"/>
      </w:pPr>
      <w:r>
        <w:rPr>
          <w:rFonts w:ascii="Arial" w:hAnsi="Arial" w:cs="Arial"/>
          <w:b/>
          <w:i w:val="0"/>
          <w:color w:val="A0A0A0"/>
          <w:sz w:val="18"/>
        </w:rPr>
        <w:t xml:space="preserve">[ SCREENSHOT ]  </w:t>
      </w:r>
      <w:r>
        <w:rPr>
          <w:rFonts w:ascii="Arial" w:hAnsi="Arial" w:cs="Arial"/>
          <w:b w:val="0"/>
          <w:i/>
          <w:color w:val="6E6E6E"/>
          <w:sz w:val="18"/>
        </w:rPr>
        <w:t>CXO view — filtered role table for one BU, one row expanded to show 4 successor cards with Functional Fit (L / M / H) buttons, one row with the 'auto step-in from Ready-Now' info line, one row with the explicit step-in picker.</w:t>
      </w:r>
    </w:p>
    <w:p>
      <w:r>
        <w:br w:type="page"/>
      </w:r>
    </w:p>
    <w:p>
      <w:pPr>
        <w:pStyle w:val="Heading2"/>
        <w:spacing w:before="200" w:after="80"/>
      </w:pPr>
      <w:r>
        <w:rPr>
          <w:rFonts w:ascii="Arial" w:hAnsi="Arial" w:cs="Arial"/>
          <w:b/>
          <w:i w:val="0"/>
          <w:color w:val="191919"/>
          <w:sz w:val="28"/>
        </w:rPr>
        <w:t>Layer 3  ·  Individual leader profile</w:t>
      </w:r>
    </w:p>
    <w:p>
      <w:pPr>
        <w:pStyle w:val="Heading3"/>
        <w:spacing w:before="140" w:after="60"/>
      </w:pPr>
      <w:r>
        <w:rPr>
          <w:rFonts w:ascii="Arial" w:hAnsi="Arial" w:cs="Arial"/>
          <w:b/>
          <w:i w:val="0"/>
          <w:color w:val="EB0017"/>
          <w:sz w:val="22"/>
        </w:rPr>
        <w:t>Audience</w:t>
      </w:r>
    </w:p>
    <w:p>
      <w:pPr>
        <w:spacing w:before="0" w:after="100" w:line="288" w:lineRule="auto"/>
      </w:pPr>
      <w:r>
        <w:rPr>
          <w:rFonts w:ascii="Arial" w:hAnsi="Arial" w:cs="Arial"/>
          <w:b w:val="0"/>
          <w:i w:val="0"/>
          <w:color w:val="191919"/>
          <w:sz w:val="20"/>
        </w:rPr>
        <w:t>An executive coach, an HR business partner, a manager preparing a development conversation, or a Board member wanting to understand 'who is this person' before a role decision. Reached by clicking any leader's name anywhere in the dashboard.</w:t>
      </w:r>
    </w:p>
    <w:p>
      <w:pPr>
        <w:pStyle w:val="Heading3"/>
        <w:spacing w:before="140" w:after="60"/>
      </w:pPr>
      <w:r>
        <w:rPr>
          <w:rFonts w:ascii="Arial" w:hAnsi="Arial" w:cs="Arial"/>
          <w:b/>
          <w:i w:val="0"/>
          <w:color w:val="EB0017"/>
          <w:sz w:val="22"/>
        </w:rPr>
        <w:t>What they see</w:t>
      </w:r>
    </w:p>
    <w:p>
      <w:pPr>
        <w:pStyle w:val="ListBullet"/>
        <w:spacing w:before="40" w:after="40" w:line="288" w:lineRule="auto"/>
      </w:pPr>
      <w:r>
        <w:rPr>
          <w:rFonts w:ascii="Arial" w:hAnsi="Arial" w:cs="Arial"/>
          <w:b w:val="0"/>
          <w:i w:val="0"/>
          <w:color w:val="191919"/>
          <w:sz w:val="20"/>
        </w:rPr>
        <w:t>Facts strip at top — role, age, tenure, PMP trajectory, flight-risk, mobility, retirement horizon (softly flagged).</w:t>
      </w:r>
    </w:p>
    <w:p>
      <w:pPr>
        <w:pStyle w:val="ListBullet"/>
        <w:spacing w:before="40" w:after="40" w:line="288" w:lineRule="auto"/>
      </w:pPr>
      <w:r>
        <w:rPr>
          <w:rFonts w:ascii="Arial" w:hAnsi="Arial" w:cs="Arial"/>
          <w:b w:val="0"/>
          <w:i w:val="0"/>
          <w:color w:val="191919"/>
          <w:sz w:val="20"/>
        </w:rPr>
        <w:t>Assessment scores across all 10 GLIDE traits, broken by lens (Potential / Perception / Personality).</w:t>
      </w:r>
    </w:p>
    <w:p>
      <w:pPr>
        <w:pStyle w:val="ListBullet"/>
        <w:spacing w:before="40" w:after="40" w:line="288" w:lineRule="auto"/>
      </w:pPr>
      <w:r>
        <w:rPr>
          <w:rFonts w:ascii="Arial" w:hAnsi="Arial" w:cs="Arial"/>
          <w:b w:val="0"/>
          <w:i w:val="0"/>
          <w:color w:val="191919"/>
          <w:sz w:val="20"/>
        </w:rPr>
        <w:t>360-feedback rater breakdown — Manager / Peers / Direct Reports / Others.</w:t>
      </w:r>
    </w:p>
    <w:p>
      <w:pPr>
        <w:pStyle w:val="ListBullet"/>
        <w:spacing w:before="40" w:after="40" w:line="288" w:lineRule="auto"/>
      </w:pPr>
      <w:r>
        <w:rPr>
          <w:rFonts w:ascii="Arial" w:hAnsi="Arial" w:cs="Arial"/>
          <w:b w:val="0"/>
          <w:i w:val="0"/>
          <w:color w:val="191919"/>
          <w:sz w:val="20"/>
        </w:rPr>
        <w:t>ADEPT-15 personality profile with derailer signals.</w:t>
      </w:r>
    </w:p>
    <w:p>
      <w:pPr>
        <w:pStyle w:val="ListBullet"/>
        <w:spacing w:before="40" w:after="40" w:line="288" w:lineRule="auto"/>
      </w:pPr>
      <w:r>
        <w:rPr>
          <w:rFonts w:ascii="Arial" w:hAnsi="Arial" w:cs="Arial"/>
          <w:b w:val="0"/>
          <w:i w:val="0"/>
          <w:color w:val="191919"/>
          <w:sz w:val="20"/>
        </w:rPr>
        <w:t>Coach executive summary and development recommendations.</w:t>
      </w:r>
    </w:p>
    <w:p>
      <w:pPr>
        <w:pStyle w:val="ListBullet"/>
        <w:spacing w:before="40" w:after="40" w:line="288" w:lineRule="auto"/>
      </w:pPr>
      <w:r>
        <w:rPr>
          <w:rFonts w:ascii="Arial" w:hAnsi="Arial" w:cs="Arial"/>
          <w:b w:val="0"/>
          <w:i w:val="0"/>
          <w:color w:val="191919"/>
          <w:sz w:val="20"/>
        </w:rPr>
        <w:t>Notes and actions specific to this leader.</w:t>
      </w:r>
    </w:p>
    <w:p>
      <w:pPr>
        <w:pStyle w:val="Heading3"/>
        <w:spacing w:before="140" w:after="60"/>
      </w:pPr>
      <w:r>
        <w:rPr>
          <w:rFonts w:ascii="Arial" w:hAnsi="Arial" w:cs="Arial"/>
          <w:b/>
          <w:i w:val="0"/>
          <w:color w:val="EB0017"/>
          <w:sz w:val="22"/>
        </w:rPr>
        <w:t>What they can do</w:t>
      </w:r>
    </w:p>
    <w:p>
      <w:pPr>
        <w:pStyle w:val="ListBullet"/>
        <w:spacing w:before="40" w:after="40" w:line="288" w:lineRule="auto"/>
      </w:pPr>
      <w:r>
        <w:rPr>
          <w:rFonts w:ascii="Arial" w:hAnsi="Arial" w:cs="Arial"/>
          <w:b w:val="0"/>
          <w:i w:val="0"/>
          <w:color w:val="191919"/>
          <w:sz w:val="20"/>
        </w:rPr>
        <w:t>See where the assessment agrees with itself (convergence) and where it disagrees (divergence).</w:t>
      </w:r>
    </w:p>
    <w:p>
      <w:pPr>
        <w:pStyle w:val="ListBullet"/>
        <w:spacing w:before="40" w:after="40" w:line="288" w:lineRule="auto"/>
      </w:pPr>
      <w:r>
        <w:rPr>
          <w:rFonts w:ascii="Arial" w:hAnsi="Arial" w:cs="Arial"/>
          <w:b w:val="0"/>
          <w:i w:val="0"/>
          <w:color w:val="191919"/>
          <w:sz w:val="20"/>
        </w:rPr>
        <w:t>Capture development actions, coaching next-steps, or role considerations against the leader.</w:t>
      </w:r>
    </w:p>
    <w:p>
      <w:pPr>
        <w:pStyle w:val="ListBullet"/>
        <w:spacing w:before="40" w:after="40" w:line="288" w:lineRule="auto"/>
      </w:pPr>
      <w:r>
        <w:rPr>
          <w:rFonts w:ascii="Arial" w:hAnsi="Arial" w:cs="Arial"/>
          <w:b w:val="0"/>
          <w:i w:val="0"/>
          <w:color w:val="191919"/>
          <w:sz w:val="20"/>
        </w:rPr>
        <w:t>Link back to the roles this leader is named on as a successor.</w:t>
      </w:r>
    </w:p>
    <w:p>
      <w:pPr>
        <w:pStyle w:val="Heading3"/>
        <w:spacing w:before="140" w:after="60"/>
      </w:pPr>
      <w:r>
        <w:rPr>
          <w:rFonts w:ascii="Arial" w:hAnsi="Arial" w:cs="Arial"/>
          <w:b/>
          <w:i w:val="0"/>
          <w:color w:val="EB0017"/>
          <w:sz w:val="22"/>
        </w:rPr>
        <w:t>What to say</w:t>
      </w:r>
    </w:p>
    <w:p>
      <w:pPr>
        <w:spacing w:before="0" w:after="100" w:line="288" w:lineRule="auto"/>
      </w:pPr>
      <w:r>
        <w:rPr>
          <w:rFonts w:ascii="Arial" w:hAnsi="Arial" w:cs="Arial"/>
          <w:b w:val="0"/>
          <w:i w:val="0"/>
          <w:color w:val="191919"/>
          <w:sz w:val="20"/>
        </w:rPr>
        <w:t>This is the depth layer. It is where the client sees that 'same data, three lenses' is real — the KPI on Layer 1 rolls up from the Fit captures on Layer 2, which pull from the assessment data on Layer 3. Don't linger too long here in a demo (5 minutes max) — the point is that the depth exists, not to walk through every field.</w:t>
      </w:r>
    </w:p>
    <w:p>
      <w:pPr>
        <w:spacing w:before="120" w:after="120" w:line="288" w:lineRule="auto"/>
        <w:ind w:left="60" w:right="60"/>
        <w:pBdr>
          <w:top w:val="dashed" w:sz="6" w:space="6" w:color="A0A0A0"/>
          <w:left w:val="dashed" w:sz="6" w:space="6" w:color="A0A0A0"/>
          <w:bottom w:val="dashed" w:sz="6" w:space="6" w:color="A0A0A0"/>
          <w:right w:val="dashed" w:sz="6" w:space="6" w:color="A0A0A0"/>
        </w:pBdr>
        <w:shd w:val="clear" w:color="auto" w:fill="FAFAFB"/>
      </w:pPr>
      <w:r>
        <w:rPr>
          <w:rFonts w:ascii="Arial" w:hAnsi="Arial" w:cs="Arial"/>
          <w:b/>
          <w:i w:val="0"/>
          <w:color w:val="A0A0A0"/>
          <w:sz w:val="18"/>
        </w:rPr>
        <w:t xml:space="preserve">[ SCREENSHOT ]  </w:t>
      </w:r>
      <w:r>
        <w:rPr>
          <w:rFonts w:ascii="Arial" w:hAnsi="Arial" w:cs="Arial"/>
          <w:b w:val="0"/>
          <w:i/>
          <w:color w:val="6E6E6E"/>
          <w:sz w:val="18"/>
        </w:rPr>
        <w:t>Leader profile — top facts strip with Succession horizon pill, GLIDE trait bars with all 3 lenses stacked, coach executive summary block below, Johari-style self-vs-manager grid on the right.</w:t>
      </w:r>
    </w:p>
    <w:p>
      <w:r>
        <w:br w:type="page"/>
      </w:r>
    </w:p>
    <w:p>
      <w:pPr>
        <w:spacing w:before="100" w:after="40"/>
      </w:pPr>
      <w:r>
        <w:rPr>
          <w:rFonts w:ascii="Arial" w:hAnsi="Arial" w:cs="Arial"/>
          <w:b/>
          <w:i w:val="0"/>
          <w:color w:val="EB0017"/>
          <w:sz w:val="16"/>
          <w:spacing w:val="40"/>
        </w:rPr>
        <w:t>SECTION 5</w:t>
      </w:r>
    </w:p>
    <w:p>
      <w:pPr>
        <w:pStyle w:val="Heading1"/>
        <w:spacing w:before="240" w:after="100"/>
        <w:pBdr>
          <w:bottom w:val="single" w:sz="18" w:space="4" w:color="EB0017"/>
        </w:pBdr>
      </w:pPr>
      <w:r>
        <w:rPr>
          <w:rFonts w:ascii="Arial" w:hAnsi="Arial" w:cs="Arial"/>
          <w:b/>
          <w:i w:val="0"/>
          <w:color w:val="191919"/>
          <w:sz w:val="40"/>
        </w:rPr>
        <w:t>Live-working capabilities to highlight</w:t>
      </w:r>
    </w:p>
    <w:p>
      <w:pPr>
        <w:spacing w:before="0" w:after="100" w:line="288" w:lineRule="auto"/>
      </w:pPr>
      <w:r>
        <w:rPr>
          <w:rFonts w:ascii="Arial" w:hAnsi="Arial" w:cs="Arial"/>
          <w:b w:val="0"/>
          <w:i w:val="0"/>
          <w:color w:val="191919"/>
          <w:sz w:val="20"/>
        </w:rPr>
        <w:t>This section is not a feature list. It is a set of capabilities organised around specific decisions the client makes during a review. Frame each of these as answering a question the client is already trying to answer — that is what makes them land.</w:t>
      </w:r>
    </w:p>
    <w:p>
      <w:pPr>
        <w:pStyle w:val="Heading3"/>
        <w:spacing w:before="140" w:after="60"/>
      </w:pPr>
      <w:r>
        <w:rPr>
          <w:rFonts w:ascii="Arial" w:hAnsi="Arial" w:cs="Arial"/>
          <w:b/>
          <w:i w:val="0"/>
          <w:color w:val="EB0017"/>
          <w:sz w:val="22"/>
        </w:rPr>
        <w:t>Capturing Functional Fit + Step-in Cover live</w:t>
      </w:r>
    </w:p>
    <w:p>
      <w:pPr>
        <w:spacing w:before="0" w:after="100" w:line="288" w:lineRule="auto"/>
      </w:pPr>
      <w:r>
        <w:rPr>
          <w:rFonts w:ascii="Arial" w:hAnsi="Arial" w:cs="Arial"/>
          <w:b w:val="0"/>
          <w:i w:val="0"/>
          <w:color w:val="191919"/>
          <w:sz w:val="20"/>
        </w:rPr>
        <w:t>Every successor card carries three Fit buttons — Low / Med / High. Clicking one updates the readiness horizon (Ready Now / 1yr / 2-3yr / 4+yr) via the matrix that combines Fit with Leadership Potential. The Step-in cover for a role is captured on the same row. Every click persists — the client can leave and come back and the state is there. This is the difference between a slide deck and a working document.</w:t>
      </w:r>
    </w:p>
    <w:p>
      <w:pPr>
        <w:pStyle w:val="Heading3"/>
        <w:spacing w:before="140" w:after="60"/>
      </w:pPr>
      <w:r>
        <w:rPr>
          <w:rFonts w:ascii="Arial" w:hAnsi="Arial" w:cs="Arial"/>
          <w:b/>
          <w:i w:val="0"/>
          <w:color w:val="EB0017"/>
          <w:sz w:val="22"/>
        </w:rPr>
        <w:t>Ready-Now becomes the implicit Step-in Cover</w:t>
      </w:r>
    </w:p>
    <w:p>
      <w:pPr>
        <w:spacing w:before="0" w:after="100" w:line="288" w:lineRule="auto"/>
      </w:pPr>
      <w:r>
        <w:rPr>
          <w:rFonts w:ascii="Arial" w:hAnsi="Arial" w:cs="Arial"/>
          <w:b w:val="0"/>
          <w:i w:val="0"/>
          <w:color w:val="191919"/>
          <w:sz w:val="20"/>
        </w:rPr>
        <w:t>If a role has a Ready-Now successor named, that person is by definition capable of holding the role for 3-6 months during an unexpected gap. The tool recognises this: it does not ask for a separate Step-in — it auto-flags the Ready-Now successor as the cover, and only shows the explicit step-in picker for roles that don't have a Ready-Now. This removes about a third of the click-work from a typical BU review, and stops the tool asking the same question twice.</w:t>
      </w:r>
    </w:p>
    <w:p>
      <w:pPr>
        <w:pStyle w:val="Heading3"/>
        <w:spacing w:before="140" w:after="60"/>
      </w:pPr>
      <w:r>
        <w:rPr>
          <w:rFonts w:ascii="Arial" w:hAnsi="Arial" w:cs="Arial"/>
          <w:b/>
          <w:i w:val="0"/>
          <w:color w:val="EB0017"/>
          <w:sz w:val="22"/>
        </w:rPr>
        <w:t>Retirement horizon — soft-flagged, portfolio-visible</w:t>
      </w:r>
    </w:p>
    <w:p>
      <w:pPr>
        <w:spacing w:before="0" w:after="100" w:line="288" w:lineRule="auto"/>
      </w:pPr>
      <w:r>
        <w:rPr>
          <w:rFonts w:ascii="Arial" w:hAnsi="Arial" w:cs="Arial"/>
          <w:b w:val="0"/>
          <w:i w:val="0"/>
          <w:color w:val="191919"/>
          <w:sz w:val="20"/>
        </w:rPr>
        <w:t>Every critical role shows the incumbent's succession horizon (e.g., 'Succession horizon: 2 yrs' for a leader within 3 years of default retirement, or 'On extension · 2 yrs past default' for a leader beyond it). The framing is deliberately factual, not alarmist — the incumbent may be in the room. At portfolio level, the retirement-risk KPI counts every role where the incumbent is within 3 years AND no Ready-Now successor exists — the intersection is the number that matters.</w:t>
      </w:r>
    </w:p>
    <w:p>
      <w:pPr>
        <w:pStyle w:val="Heading3"/>
        <w:spacing w:before="140" w:after="60"/>
      </w:pPr>
      <w:r>
        <w:rPr>
          <w:rFonts w:ascii="Arial" w:hAnsi="Arial" w:cs="Arial"/>
          <w:b/>
          <w:i w:val="0"/>
          <w:color w:val="EB0017"/>
          <w:sz w:val="22"/>
        </w:rPr>
        <w:t>Notes and Actions that persist per role and per leader</w:t>
      </w:r>
    </w:p>
    <w:p>
      <w:pPr>
        <w:spacing w:before="0" w:after="100" w:line="288" w:lineRule="auto"/>
      </w:pPr>
      <w:r>
        <w:rPr>
          <w:rFonts w:ascii="Arial" w:hAnsi="Arial" w:cs="Arial"/>
          <w:b w:val="0"/>
          <w:i w:val="0"/>
          <w:color w:val="191919"/>
          <w:sz w:val="20"/>
        </w:rPr>
        <w:t>Every role has a notes field. Every leader has a notes field. Actions can be captured against either ('Coach Priya on transformation exposure — 3 months'). These persist to localStorage, so the state is there when the tool is re-opened. For enterprise use, export to Excel gives you a portable artefact for the HR committee or Nomination Committee to sign off.</w:t>
      </w:r>
    </w:p>
    <w:p>
      <w:pPr>
        <w:pStyle w:val="Heading3"/>
        <w:spacing w:before="140" w:after="60"/>
      </w:pPr>
      <w:r>
        <w:rPr>
          <w:rFonts w:ascii="Arial" w:hAnsi="Arial" w:cs="Arial"/>
          <w:b/>
          <w:i w:val="0"/>
          <w:color w:val="EB0017"/>
          <w:sz w:val="22"/>
        </w:rPr>
        <w:t>Scenarios modelling — 'what if we lose X'</w:t>
      </w:r>
    </w:p>
    <w:p>
      <w:pPr>
        <w:spacing w:before="0" w:after="100" w:line="288" w:lineRule="auto"/>
      </w:pPr>
      <w:r>
        <w:rPr>
          <w:rFonts w:ascii="Arial" w:hAnsi="Arial" w:cs="Arial"/>
          <w:b w:val="0"/>
          <w:i w:val="0"/>
          <w:color w:val="191919"/>
          <w:sz w:val="20"/>
        </w:rPr>
        <w:t>The Scenarios tab lets a client model 'if the CFO leaves tomorrow' or 'if we open two new plants in FY26, what does the bench look like'. It re-computes pipeline health under the scenario, shows which roles become exposed, and surfaces which successors would move up. This is the tab that turns talent review from backward-looking to forward-looking, and it is often the moment a client says 'we need this'.</w:t>
      </w:r>
    </w:p>
    <w:p>
      <w:pPr>
        <w:pStyle w:val="Heading3"/>
        <w:spacing w:before="140" w:after="60"/>
      </w:pPr>
      <w:r>
        <w:rPr>
          <w:rFonts w:ascii="Arial" w:hAnsi="Arial" w:cs="Arial"/>
          <w:b/>
          <w:i w:val="0"/>
          <w:color w:val="EB0017"/>
          <w:sz w:val="22"/>
        </w:rPr>
        <w:t>Compare — successors head-to-head</w:t>
      </w:r>
    </w:p>
    <w:p>
      <w:pPr>
        <w:spacing w:before="0" w:after="100" w:line="288" w:lineRule="auto"/>
      </w:pPr>
      <w:r>
        <w:rPr>
          <w:rFonts w:ascii="Arial" w:hAnsi="Arial" w:cs="Arial"/>
          <w:b w:val="0"/>
          <w:i w:val="0"/>
          <w:color w:val="191919"/>
          <w:sz w:val="20"/>
        </w:rPr>
        <w:t>Any two or three successors can be compared side-by-side — traits, PMP history, career aspirations, flight risk, ADEPT signals. This is the tab a client opens when the discussion moves from 'we have three Ready-Now for this role' to 'which one'. The comparison is not a decision — it is scaffolding for the humans to make one.</w:t>
      </w:r>
    </w:p>
    <w:p>
      <w:pPr>
        <w:pStyle w:val="Heading3"/>
        <w:spacing w:before="140" w:after="60"/>
      </w:pPr>
      <w:r>
        <w:rPr>
          <w:rFonts w:ascii="Arial" w:hAnsi="Arial" w:cs="Arial"/>
          <w:b/>
          <w:i w:val="0"/>
          <w:color w:val="EB0017"/>
          <w:sz w:val="22"/>
        </w:rPr>
        <w:t>Export</w:t>
      </w:r>
    </w:p>
    <w:p>
      <w:pPr>
        <w:spacing w:before="0" w:after="100" w:line="288" w:lineRule="auto"/>
      </w:pPr>
      <w:r>
        <w:rPr>
          <w:rFonts w:ascii="Arial" w:hAnsi="Arial" w:cs="Arial"/>
          <w:b w:val="0"/>
          <w:i w:val="0"/>
          <w:color w:val="191919"/>
          <w:sz w:val="20"/>
        </w:rPr>
        <w:t>The current state of the dashboard (roles, successors, Fit, step-in, notes, actions) can be exported to an Excel workbook with structured sheets — Leaders, Roles, Successors, Notes. This is the artefact the client's HR / HRBP team can work with outside the review, and the one that goes to the committee for sign-off.</w:t>
      </w:r>
    </w:p>
    <w:p>
      <w:pPr>
        <w:spacing w:before="100" w:after="140" w:line="320" w:lineRule="auto"/>
        <w:ind w:left="200" w:right="100"/>
        <w:pBdr>
          <w:left w:val="single" w:sz="24" w:space="12" w:color="007585"/>
        </w:pBdr>
        <w:shd w:val="clear" w:color="auto" w:fill="DFEEEE"/>
      </w:pPr>
      <w:r>
        <w:rPr>
          <w:rFonts w:ascii="Arial" w:hAnsi="Arial" w:cs="Arial"/>
          <w:b w:val="0"/>
          <w:i/>
          <w:color w:val="191919"/>
          <w:sz w:val="22"/>
        </w:rPr>
        <w:t>Every capability in this section responds to a question the client is already asking. The demo works when you frame it that way — 'let me show you how this answers the question you just raised' — not as a walkthrough of the menu.</w:t>
      </w:r>
    </w:p>
    <w:p>
      <w:r>
        <w:br w:type="page"/>
      </w:r>
    </w:p>
    <w:p>
      <w:pPr>
        <w:spacing w:before="100" w:after="40"/>
      </w:pPr>
      <w:r>
        <w:rPr>
          <w:rFonts w:ascii="Arial" w:hAnsi="Arial" w:cs="Arial"/>
          <w:b/>
          <w:i w:val="0"/>
          <w:color w:val="EB0017"/>
          <w:sz w:val="16"/>
          <w:spacing w:val="40"/>
        </w:rPr>
        <w:t>SECTION 6</w:t>
      </w:r>
    </w:p>
    <w:p>
      <w:pPr>
        <w:pStyle w:val="Heading1"/>
        <w:spacing w:before="240" w:after="100"/>
        <w:pBdr>
          <w:bottom w:val="single" w:sz="18" w:space="4" w:color="EB0017"/>
        </w:pBdr>
      </w:pPr>
      <w:r>
        <w:rPr>
          <w:rFonts w:ascii="Arial" w:hAnsi="Arial" w:cs="Arial"/>
          <w:b/>
          <w:i w:val="0"/>
          <w:color w:val="191919"/>
          <w:sz w:val="40"/>
        </w:rPr>
        <w:t>A 30-minute demo flow</w:t>
      </w:r>
    </w:p>
    <w:p>
      <w:pPr>
        <w:spacing w:before="0" w:after="100" w:line="288" w:lineRule="auto"/>
      </w:pPr>
      <w:r>
        <w:rPr>
          <w:rFonts w:ascii="Arial" w:hAnsi="Arial" w:cs="Arial"/>
          <w:b w:val="0"/>
          <w:i w:val="0"/>
          <w:color w:val="191919"/>
          <w:sz w:val="20"/>
        </w:rPr>
        <w:t>Below is a step-by-step demo script that works for a first-time client conversation. It moves top-down (enterprise → BU → individual → back up), then forward (scenarios → export). Total time: 30 minutes with room to answer questions. Adjust up or down based on the room.</w:t>
      </w:r>
    </w:p>
    <w:p>
      <w:pPr>
        <w:spacing w:before="180" w:after="20"/>
      </w:pPr>
      <w:r>
        <w:rPr>
          <w:rFonts w:ascii="Arial" w:hAnsi="Arial" w:cs="Arial"/>
          <w:b/>
          <w:i w:val="0"/>
          <w:color w:val="EB0017"/>
          <w:sz w:val="16"/>
          <w:spacing w:val="40"/>
        </w:rPr>
        <w:t>STEP 1</w:t>
      </w:r>
    </w:p>
    <w:p>
      <w:pPr>
        <w:spacing w:before="0" w:after="80"/>
      </w:pPr>
      <w:r>
        <w:rPr>
          <w:rFonts w:ascii="Arial" w:hAnsi="Arial" w:cs="Arial"/>
          <w:b/>
          <w:i w:val="0"/>
          <w:color w:val="191919"/>
          <w:sz w:val="24"/>
        </w:rPr>
        <w:t>Open with the client problem — five minutes</w:t>
      </w:r>
    </w:p>
    <w:p>
      <w:pPr>
        <w:spacing w:before="20" w:after="80" w:line="288" w:lineRule="auto"/>
        <w:ind w:left="120"/>
      </w:pPr>
      <w:r>
        <w:rPr>
          <w:rFonts w:ascii="Arial" w:hAnsi="Arial" w:cs="Arial"/>
          <w:b/>
          <w:i w:val="0"/>
          <w:color w:val="007585"/>
          <w:sz w:val="18"/>
          <w:spacing w:val="40"/>
        </w:rPr>
        <w:t xml:space="preserve">DO:  </w:t>
      </w:r>
      <w:r>
        <w:rPr>
          <w:rFonts w:ascii="Arial" w:hAnsi="Arial" w:cs="Arial"/>
          <w:b w:val="0"/>
          <w:i w:val="0"/>
          <w:color w:val="191919"/>
          <w:sz w:val="20"/>
        </w:rPr>
        <w:t>Do not open the tool. Talk. Ask the client how their last talent review went. Ask them what happened after it. Draw out one or two of the pain points from Section 2.</w:t>
      </w:r>
    </w:p>
    <w:p>
      <w:pPr>
        <w:spacing w:before="20" w:after="180" w:line="288" w:lineRule="auto"/>
        <w:ind w:left="120"/>
      </w:pPr>
      <w:r>
        <w:rPr>
          <w:rFonts w:ascii="Arial" w:hAnsi="Arial" w:cs="Arial"/>
          <w:b/>
          <w:i w:val="0"/>
          <w:color w:val="EB0017"/>
          <w:sz w:val="18"/>
          <w:spacing w:val="40"/>
        </w:rPr>
        <w:t xml:space="preserve">SAY:  </w:t>
      </w:r>
      <w:r>
        <w:rPr>
          <w:rFonts w:ascii="Arial" w:hAnsi="Arial" w:cs="Arial"/>
          <w:b w:val="0"/>
          <w:i/>
          <w:color w:val="191919"/>
          <w:sz w:val="20"/>
        </w:rPr>
        <w:t>This is a warm-up — you are earning the right to show a tool by first showing you understand the problem it addresses. Nine times out of ten, the client will name one of the pain points before you do.</w:t>
      </w:r>
    </w:p>
    <w:p>
      <w:pPr>
        <w:spacing w:before="180" w:after="20"/>
      </w:pPr>
      <w:r>
        <w:rPr>
          <w:rFonts w:ascii="Arial" w:hAnsi="Arial" w:cs="Arial"/>
          <w:b/>
          <w:i w:val="0"/>
          <w:color w:val="EB0017"/>
          <w:sz w:val="16"/>
          <w:spacing w:val="40"/>
        </w:rPr>
        <w:t>STEP 2</w:t>
      </w:r>
    </w:p>
    <w:p>
      <w:pPr>
        <w:spacing w:before="0" w:after="80"/>
      </w:pPr>
      <w:r>
        <w:rPr>
          <w:rFonts w:ascii="Arial" w:hAnsi="Arial" w:cs="Arial"/>
          <w:b/>
          <w:i w:val="0"/>
          <w:color w:val="191919"/>
          <w:sz w:val="24"/>
        </w:rPr>
        <w:t>Set the frame — one minute</w:t>
      </w:r>
    </w:p>
    <w:p>
      <w:pPr>
        <w:spacing w:before="20" w:after="80" w:line="288" w:lineRule="auto"/>
        <w:ind w:left="120"/>
      </w:pPr>
      <w:r>
        <w:rPr>
          <w:rFonts w:ascii="Arial" w:hAnsi="Arial" w:cs="Arial"/>
          <w:b/>
          <w:i w:val="0"/>
          <w:color w:val="007585"/>
          <w:sz w:val="18"/>
          <w:spacing w:val="40"/>
        </w:rPr>
        <w:t xml:space="preserve">DO:  </w:t>
      </w:r>
      <w:r>
        <w:rPr>
          <w:rFonts w:ascii="Arial" w:hAnsi="Arial" w:cs="Arial"/>
          <w:b w:val="0"/>
          <w:i w:val="0"/>
          <w:color w:val="191919"/>
          <w:sz w:val="20"/>
        </w:rPr>
        <w:t>Now open the tool. Do not click yet. Say the six talking points from Section 3, or pick three that matched what the client just said.</w:t>
      </w:r>
    </w:p>
    <w:p>
      <w:pPr>
        <w:spacing w:before="20" w:after="180" w:line="288" w:lineRule="auto"/>
        <w:ind w:left="120"/>
      </w:pPr>
      <w:r>
        <w:rPr>
          <w:rFonts w:ascii="Arial" w:hAnsi="Arial" w:cs="Arial"/>
          <w:b/>
          <w:i w:val="0"/>
          <w:color w:val="EB0017"/>
          <w:sz w:val="18"/>
          <w:spacing w:val="40"/>
        </w:rPr>
        <w:t xml:space="preserve">SAY:  </w:t>
      </w:r>
      <w:r>
        <w:rPr>
          <w:rFonts w:ascii="Arial" w:hAnsi="Arial" w:cs="Arial"/>
          <w:b w:val="0"/>
          <w:i/>
          <w:color w:val="191919"/>
          <w:sz w:val="20"/>
        </w:rPr>
        <w:t>'Before I show you the mechanics, I want you to know how to read this. This is not a report — it is a working document. Same data, three lenses. Decisions get captured live. This is what we mean by talent review as a discipline, not an artefact.'</w:t>
      </w:r>
    </w:p>
    <w:p>
      <w:pPr>
        <w:spacing w:before="180" w:after="20"/>
      </w:pPr>
      <w:r>
        <w:rPr>
          <w:rFonts w:ascii="Arial" w:hAnsi="Arial" w:cs="Arial"/>
          <w:b/>
          <w:i w:val="0"/>
          <w:color w:val="EB0017"/>
          <w:sz w:val="16"/>
          <w:spacing w:val="40"/>
        </w:rPr>
        <w:t>STEP 3</w:t>
      </w:r>
    </w:p>
    <w:p>
      <w:pPr>
        <w:spacing w:before="0" w:after="80"/>
      </w:pPr>
      <w:r>
        <w:rPr>
          <w:rFonts w:ascii="Arial" w:hAnsi="Arial" w:cs="Arial"/>
          <w:b/>
          <w:i w:val="0"/>
          <w:color w:val="191919"/>
          <w:sz w:val="24"/>
        </w:rPr>
        <w:t>Layer 1 — the Board view. Five minutes</w:t>
      </w:r>
    </w:p>
    <w:p>
      <w:pPr>
        <w:spacing w:before="20" w:after="80" w:line="288" w:lineRule="auto"/>
        <w:ind w:left="120"/>
      </w:pPr>
      <w:r>
        <w:rPr>
          <w:rFonts w:ascii="Arial" w:hAnsi="Arial" w:cs="Arial"/>
          <w:b/>
          <w:i w:val="0"/>
          <w:color w:val="007585"/>
          <w:sz w:val="18"/>
          <w:spacing w:val="40"/>
        </w:rPr>
        <w:t xml:space="preserve">DO:  </w:t>
      </w:r>
      <w:r>
        <w:rPr>
          <w:rFonts w:ascii="Arial" w:hAnsi="Arial" w:cs="Arial"/>
          <w:b w:val="0"/>
          <w:i w:val="0"/>
          <w:color w:val="191919"/>
          <w:sz w:val="20"/>
        </w:rPr>
        <w:t>Land on the Pipeline view with the default Board view mode. Point at the KPI strip. Point at the retirement risk number. Point at the pipeline-health mix. Do not click into anything yet.</w:t>
      </w:r>
    </w:p>
    <w:p>
      <w:pPr>
        <w:spacing w:before="20" w:after="180" w:line="288" w:lineRule="auto"/>
        <w:ind w:left="120"/>
      </w:pPr>
      <w:r>
        <w:rPr>
          <w:rFonts w:ascii="Arial" w:hAnsi="Arial" w:cs="Arial"/>
          <w:b/>
          <w:i w:val="0"/>
          <w:color w:val="EB0017"/>
          <w:sz w:val="18"/>
          <w:spacing w:val="40"/>
        </w:rPr>
        <w:t xml:space="preserve">SAY:  </w:t>
      </w:r>
      <w:r>
        <w:rPr>
          <w:rFonts w:ascii="Arial" w:hAnsi="Arial" w:cs="Arial"/>
          <w:b w:val="0"/>
          <w:i/>
          <w:color w:val="191919"/>
          <w:sz w:val="20"/>
        </w:rPr>
        <w:t>'This is what the Board sees when they open the tool. Five numbers, one screen. That number in red is the count of critical roles where the incumbent is within three years of default retirement AND no Ready-Now successor has been named. That is a business-continuity metric, not a talent-review metric.'</w:t>
      </w:r>
    </w:p>
    <w:p>
      <w:pPr>
        <w:spacing w:before="180" w:after="20"/>
      </w:pPr>
      <w:r>
        <w:rPr>
          <w:rFonts w:ascii="Arial" w:hAnsi="Arial" w:cs="Arial"/>
          <w:b/>
          <w:i w:val="0"/>
          <w:color w:val="EB0017"/>
          <w:sz w:val="16"/>
          <w:spacing w:val="40"/>
        </w:rPr>
        <w:t>STEP 4</w:t>
      </w:r>
    </w:p>
    <w:p>
      <w:pPr>
        <w:spacing w:before="0" w:after="80"/>
      </w:pPr>
      <w:r>
        <w:rPr>
          <w:rFonts w:ascii="Arial" w:hAnsi="Arial" w:cs="Arial"/>
          <w:b/>
          <w:i w:val="0"/>
          <w:color w:val="191919"/>
          <w:sz w:val="24"/>
        </w:rPr>
        <w:t>Layer 2 — CXO view. Eight minutes</w:t>
      </w:r>
    </w:p>
    <w:p>
      <w:pPr>
        <w:spacing w:before="20" w:after="80" w:line="288" w:lineRule="auto"/>
        <w:ind w:left="120"/>
      </w:pPr>
      <w:r>
        <w:rPr>
          <w:rFonts w:ascii="Arial" w:hAnsi="Arial" w:cs="Arial"/>
          <w:b/>
          <w:i w:val="0"/>
          <w:color w:val="007585"/>
          <w:sz w:val="18"/>
          <w:spacing w:val="40"/>
        </w:rPr>
        <w:t xml:space="preserve">DO:  </w:t>
      </w:r>
      <w:r>
        <w:rPr>
          <w:rFonts w:ascii="Arial" w:hAnsi="Arial" w:cs="Arial"/>
          <w:b w:val="0"/>
          <w:i w:val="0"/>
          <w:color w:val="191919"/>
          <w:sz w:val="20"/>
        </w:rPr>
        <w:t>Switch to a CXO scope (e.g., 'CXO · Auto Components'). Show the role list narrows. Pick a role and expand the successor cards. Click a Fit button on one of them — show that the readiness horizon updates. Point to a Ready-Now-cover row and a picker row side-by-side.</w:t>
      </w:r>
    </w:p>
    <w:p>
      <w:pPr>
        <w:spacing w:before="20" w:after="180" w:line="288" w:lineRule="auto"/>
        <w:ind w:left="120"/>
      </w:pPr>
      <w:r>
        <w:rPr>
          <w:rFonts w:ascii="Arial" w:hAnsi="Arial" w:cs="Arial"/>
          <w:b/>
          <w:i w:val="0"/>
          <w:color w:val="EB0017"/>
          <w:sz w:val="18"/>
          <w:spacing w:val="40"/>
        </w:rPr>
        <w:t xml:space="preserve">SAY:  </w:t>
      </w:r>
      <w:r>
        <w:rPr>
          <w:rFonts w:ascii="Arial" w:hAnsi="Arial" w:cs="Arial"/>
          <w:b w:val="0"/>
          <w:i/>
          <w:color w:val="191919"/>
          <w:sz w:val="20"/>
        </w:rPr>
        <w:t>'This is where the BU CEO does the work. Every one of these Fit buttons is a decision the line leader is making in real time. The tool captures it. Notice this role has a Ready-Now successor — the tool has auto-flagged them as the step-in cover, so we're not asking twice. This one doesn't — that's why the picker is there.'</w:t>
      </w:r>
    </w:p>
    <w:p>
      <w:pPr>
        <w:spacing w:before="180" w:after="20"/>
      </w:pPr>
      <w:r>
        <w:rPr>
          <w:rFonts w:ascii="Arial" w:hAnsi="Arial" w:cs="Arial"/>
          <w:b/>
          <w:i w:val="0"/>
          <w:color w:val="EB0017"/>
          <w:sz w:val="16"/>
          <w:spacing w:val="40"/>
        </w:rPr>
        <w:t>STEP 5</w:t>
      </w:r>
    </w:p>
    <w:p>
      <w:pPr>
        <w:spacing w:before="0" w:after="80"/>
      </w:pPr>
      <w:r>
        <w:rPr>
          <w:rFonts w:ascii="Arial" w:hAnsi="Arial" w:cs="Arial"/>
          <w:b/>
          <w:i w:val="0"/>
          <w:color w:val="191919"/>
          <w:sz w:val="24"/>
        </w:rPr>
        <w:t>Layer 3 — Leader profile. Five minutes</w:t>
      </w:r>
    </w:p>
    <w:p>
      <w:pPr>
        <w:spacing w:before="20" w:after="80" w:line="288" w:lineRule="auto"/>
        <w:ind w:left="120"/>
      </w:pPr>
      <w:r>
        <w:rPr>
          <w:rFonts w:ascii="Arial" w:hAnsi="Arial" w:cs="Arial"/>
          <w:b/>
          <w:i w:val="0"/>
          <w:color w:val="007585"/>
          <w:sz w:val="18"/>
          <w:spacing w:val="40"/>
        </w:rPr>
        <w:t xml:space="preserve">DO:  </w:t>
      </w:r>
      <w:r>
        <w:rPr>
          <w:rFonts w:ascii="Arial" w:hAnsi="Arial" w:cs="Arial"/>
          <w:b w:val="0"/>
          <w:i w:val="0"/>
          <w:color w:val="191919"/>
          <w:sz w:val="20"/>
        </w:rPr>
        <w:t>Click on any leader's name to open their profile. Scroll through the trait bars, the 360 breakdown, the ADEPT profile. Do not read every number. Point to the coach summary. Point to the notes field.</w:t>
      </w:r>
    </w:p>
    <w:p>
      <w:pPr>
        <w:spacing w:before="20" w:after="180" w:line="288" w:lineRule="auto"/>
        <w:ind w:left="120"/>
      </w:pPr>
      <w:r>
        <w:rPr>
          <w:rFonts w:ascii="Arial" w:hAnsi="Arial" w:cs="Arial"/>
          <w:b/>
          <w:i w:val="0"/>
          <w:color w:val="EB0017"/>
          <w:sz w:val="18"/>
          <w:spacing w:val="40"/>
        </w:rPr>
        <w:t xml:space="preserve">SAY:  </w:t>
      </w:r>
      <w:r>
        <w:rPr>
          <w:rFonts w:ascii="Arial" w:hAnsi="Arial" w:cs="Arial"/>
          <w:b w:val="0"/>
          <w:i/>
          <w:color w:val="191919"/>
          <w:sz w:val="20"/>
        </w:rPr>
        <w:t>'This is where the assessment lives. GLIDE traits across three lenses, 360 rater breakdown, personality. Notice the retirement horizon at the top is factual — not alarmist — because the leader may be in the room. Coach summary at the bottom is where the human judgment lands. Notes are here — everything captured persists.'</w:t>
      </w:r>
    </w:p>
    <w:p>
      <w:pPr>
        <w:spacing w:before="180" w:after="20"/>
      </w:pPr>
      <w:r>
        <w:rPr>
          <w:rFonts w:ascii="Arial" w:hAnsi="Arial" w:cs="Arial"/>
          <w:b/>
          <w:i w:val="0"/>
          <w:color w:val="EB0017"/>
          <w:sz w:val="16"/>
          <w:spacing w:val="40"/>
        </w:rPr>
        <w:t>STEP 6</w:t>
      </w:r>
    </w:p>
    <w:p>
      <w:pPr>
        <w:spacing w:before="0" w:after="80"/>
      </w:pPr>
      <w:r>
        <w:rPr>
          <w:rFonts w:ascii="Arial" w:hAnsi="Arial" w:cs="Arial"/>
          <w:b/>
          <w:i w:val="0"/>
          <w:color w:val="191919"/>
          <w:sz w:val="24"/>
        </w:rPr>
        <w:t>Scenarios and Export — five minutes</w:t>
      </w:r>
    </w:p>
    <w:p>
      <w:pPr>
        <w:spacing w:before="20" w:after="80" w:line="288" w:lineRule="auto"/>
        <w:ind w:left="120"/>
      </w:pPr>
      <w:r>
        <w:rPr>
          <w:rFonts w:ascii="Arial" w:hAnsi="Arial" w:cs="Arial"/>
          <w:b/>
          <w:i w:val="0"/>
          <w:color w:val="007585"/>
          <w:sz w:val="18"/>
          <w:spacing w:val="40"/>
        </w:rPr>
        <w:t xml:space="preserve">DO:  </w:t>
      </w:r>
      <w:r>
        <w:rPr>
          <w:rFonts w:ascii="Arial" w:hAnsi="Arial" w:cs="Arial"/>
          <w:b w:val="0"/>
          <w:i w:val="0"/>
          <w:color w:val="191919"/>
          <w:sz w:val="20"/>
        </w:rPr>
        <w:t>Jump to the Scenarios tab. Model one scenario ('if the CFO leaves tomorrow'). Show how the pipeline health shifts. Then briefly show the Export tab — the Excel that comes out.</w:t>
      </w:r>
    </w:p>
    <w:p>
      <w:pPr>
        <w:spacing w:before="20" w:after="180" w:line="288" w:lineRule="auto"/>
        <w:ind w:left="120"/>
      </w:pPr>
      <w:r>
        <w:rPr>
          <w:rFonts w:ascii="Arial" w:hAnsi="Arial" w:cs="Arial"/>
          <w:b/>
          <w:i w:val="0"/>
          <w:color w:val="EB0017"/>
          <w:sz w:val="18"/>
          <w:spacing w:val="40"/>
        </w:rPr>
        <w:t xml:space="preserve">SAY:  </w:t>
      </w:r>
      <w:r>
        <w:rPr>
          <w:rFonts w:ascii="Arial" w:hAnsi="Arial" w:cs="Arial"/>
          <w:b w:val="0"/>
          <w:i/>
          <w:color w:val="191919"/>
          <w:sz w:val="20"/>
        </w:rPr>
        <w:t>'This is the part that changes talent review from backward-looking to forward-looking. And this is the artefact the HR committee signs off — everything captured today, ready in Excel.'</w:t>
      </w:r>
    </w:p>
    <w:p>
      <w:pPr>
        <w:pStyle w:val="Heading3"/>
        <w:spacing w:before="140" w:after="60"/>
      </w:pPr>
      <w:r>
        <w:rPr>
          <w:rFonts w:ascii="Arial" w:hAnsi="Arial" w:cs="Arial"/>
          <w:b/>
          <w:i w:val="0"/>
          <w:color w:val="EB0017"/>
          <w:sz w:val="22"/>
        </w:rPr>
        <w:t>Closing the demo — two minutes</w:t>
      </w:r>
    </w:p>
    <w:p>
      <w:pPr>
        <w:spacing w:before="0" w:after="100" w:line="288" w:lineRule="auto"/>
      </w:pPr>
      <w:r>
        <w:rPr>
          <w:rFonts w:ascii="Arial" w:hAnsi="Arial" w:cs="Arial"/>
          <w:b w:val="0"/>
          <w:i w:val="0"/>
          <w:color w:val="191919"/>
          <w:sz w:val="20"/>
        </w:rPr>
        <w:t>Do not do a summary. Do not do a features recap. Ask one question: 'Given what you've seen, what would you want to try first at your organisation?' Then be quiet.</w:t>
      </w:r>
    </w:p>
    <w:p>
      <w:r>
        <w:br w:type="page"/>
      </w:r>
    </w:p>
    <w:p>
      <w:pPr>
        <w:spacing w:before="100" w:after="40"/>
      </w:pPr>
      <w:r>
        <w:rPr>
          <w:rFonts w:ascii="Arial" w:hAnsi="Arial" w:cs="Arial"/>
          <w:b/>
          <w:i w:val="0"/>
          <w:color w:val="EB0017"/>
          <w:sz w:val="16"/>
          <w:spacing w:val="40"/>
        </w:rPr>
        <w:t>SECTION 7</w:t>
      </w:r>
    </w:p>
    <w:p>
      <w:pPr>
        <w:pStyle w:val="Heading1"/>
        <w:spacing w:before="240" w:after="100"/>
        <w:pBdr>
          <w:bottom w:val="single" w:sz="18" w:space="4" w:color="EB0017"/>
        </w:pBdr>
      </w:pPr>
      <w:r>
        <w:rPr>
          <w:rFonts w:ascii="Arial" w:hAnsi="Arial" w:cs="Arial"/>
          <w:b/>
          <w:i w:val="0"/>
          <w:color w:val="191919"/>
          <w:sz w:val="40"/>
        </w:rPr>
        <w:t>Common client questions</w:t>
      </w:r>
    </w:p>
    <w:p>
      <w:pPr>
        <w:spacing w:before="0" w:after="100" w:line="288" w:lineRule="auto"/>
      </w:pPr>
      <w:r>
        <w:rPr>
          <w:rFonts w:ascii="Arial" w:hAnsi="Arial" w:cs="Arial"/>
          <w:b w:val="0"/>
          <w:i w:val="0"/>
          <w:color w:val="191919"/>
          <w:sz w:val="20"/>
        </w:rPr>
        <w:t>Below are the questions clients ask most often after a demo. The answers are direct — memorise the shape of each. If a client asks something outside this list and you don't know, say so and follow up in writing; a confident 'I don't know, I'll find out' is always better than a hedged answer that leaks uncertainty.</w:t>
      </w:r>
    </w:p>
    <w:p>
      <w:pPr>
        <w:spacing w:before="200" w:after="60"/>
      </w:pPr>
      <w:r>
        <w:rPr>
          <w:rFonts w:ascii="Arial" w:hAnsi="Arial" w:cs="Arial"/>
          <w:b/>
          <w:i w:val="0"/>
          <w:color w:val="001F3D"/>
          <w:sz w:val="22"/>
        </w:rPr>
        <w:t xml:space="preserve">Q:  </w:t>
      </w:r>
      <w:r>
        <w:rPr>
          <w:rFonts w:ascii="Arial" w:hAnsi="Arial" w:cs="Arial"/>
          <w:b/>
          <w:i w:val="0"/>
          <w:color w:val="001F3D"/>
          <w:sz w:val="22"/>
        </w:rPr>
        <w:t>Is my data safe?</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The demo you're seeing uses fictitious data — no real leaders, no real business units. When we deploy for you, data lives in your environment (either your intranet or an environment we host with your controls). Nothing goes to any third party. Notes and actions captured in the tool are stored locally in the browser by default, or in a database of your choice if you want persistence across users. We can walk you through the specific data flow with your security team.</w:t>
      </w:r>
    </w:p>
    <w:p>
      <w:pPr>
        <w:spacing w:before="200" w:after="60"/>
      </w:pPr>
      <w:r>
        <w:rPr>
          <w:rFonts w:ascii="Arial" w:hAnsi="Arial" w:cs="Arial"/>
          <w:b/>
          <w:i w:val="0"/>
          <w:color w:val="001F3D"/>
          <w:sz w:val="22"/>
        </w:rPr>
        <w:t xml:space="preserve">Q:  </w:t>
      </w:r>
      <w:r>
        <w:rPr>
          <w:rFonts w:ascii="Arial" w:hAnsi="Arial" w:cs="Arial"/>
          <w:b/>
          <w:i w:val="0"/>
          <w:color w:val="001F3D"/>
          <w:sz w:val="22"/>
        </w:rPr>
        <w:t>Can we brand it with our logo, colours, business units?</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Yes. The dashboard is a single HTML application that we rebrand for each engagement — your BUs, your role families, your leaders. What you saw today with NorthPeak is a demo shell. In a live engagement, we replace the demo data with your data and the branding with yours, and the entire tool becomes yours to keep and iterate.</w:t>
      </w:r>
    </w:p>
    <w:p>
      <w:pPr>
        <w:spacing w:before="200" w:after="60"/>
      </w:pPr>
      <w:r>
        <w:rPr>
          <w:rFonts w:ascii="Arial" w:hAnsi="Arial" w:cs="Arial"/>
          <w:b/>
          <w:i w:val="0"/>
          <w:color w:val="001F3D"/>
          <w:sz w:val="22"/>
        </w:rPr>
        <w:t xml:space="preserve">Q:  </w:t>
      </w:r>
      <w:r>
        <w:rPr>
          <w:rFonts w:ascii="Arial" w:hAnsi="Arial" w:cs="Arial"/>
          <w:b/>
          <w:i w:val="0"/>
          <w:color w:val="001F3D"/>
          <w:sz w:val="22"/>
        </w:rPr>
        <w:t>How does this replace our current talent review process?</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It doesn't replace the discipline — it replaces the artefact. You will still hold a Level 1 review with each BU CEO, and a Level 2 calibration with the HR committee. What changes is that the review happens on this dashboard rather than on a slide deck or a spreadsheet — so the decisions get captured live, the artefact stays alive, and the next review starts from where this one ended, not from zero.</w:t>
      </w:r>
    </w:p>
    <w:p>
      <w:pPr>
        <w:spacing w:before="200" w:after="60"/>
      </w:pPr>
      <w:r>
        <w:rPr>
          <w:rFonts w:ascii="Arial" w:hAnsi="Arial" w:cs="Arial"/>
          <w:b/>
          <w:i w:val="0"/>
          <w:color w:val="001F3D"/>
          <w:sz w:val="22"/>
        </w:rPr>
        <w:t xml:space="preserve">Q:  </w:t>
      </w:r>
      <w:r>
        <w:rPr>
          <w:rFonts w:ascii="Arial" w:hAnsi="Arial" w:cs="Arial"/>
          <w:b/>
          <w:i w:val="0"/>
          <w:color w:val="001F3D"/>
          <w:sz w:val="22"/>
        </w:rPr>
        <w:t>What about our existing assessment tools — ADEPT, DDI, Korn Ferry?</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The dashboard is tool-agnostic on the data side. Whatever assessments you run (Aon's GLIDE / ADEPT-15, or third-party tools like DDI, Korn Ferry, SHL), we ingest the outputs. What the dashboard adds is the review-and-decide layer that sits on top of any assessment data — the succession pipeline, the Fit capture, the scenarios, the exports. You don't rip and replace anything you already have.</w:t>
      </w:r>
    </w:p>
    <w:p>
      <w:pPr>
        <w:spacing w:before="200" w:after="60"/>
      </w:pPr>
      <w:r>
        <w:rPr>
          <w:rFonts w:ascii="Arial" w:hAnsi="Arial" w:cs="Arial"/>
          <w:b/>
          <w:i w:val="0"/>
          <w:color w:val="001F3D"/>
          <w:sz w:val="22"/>
        </w:rPr>
        <w:t xml:space="preserve">Q:  </w:t>
      </w:r>
      <w:r>
        <w:rPr>
          <w:rFonts w:ascii="Arial" w:hAnsi="Arial" w:cs="Arial"/>
          <w:b/>
          <w:i w:val="0"/>
          <w:color w:val="001F3D"/>
          <w:sz w:val="22"/>
        </w:rPr>
        <w:t>How long does it take to set up for our organisation?</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Typical timeline for a first deployment: 6-8 weeks. First 2 weeks are data mapping — pulling your leader master, role structure, PMP, assessment scores. Weeks 3-4 are configuration — rebranding, BU structure, custom fields. Weeks 5-6 are UAT with your HR and one pilot BU. Week 7-8 is Talent Council pilot review. From week 9 onwards it is a live tool.</w:t>
      </w:r>
    </w:p>
    <w:p>
      <w:pPr>
        <w:spacing w:before="200" w:after="60"/>
      </w:pPr>
      <w:r>
        <w:rPr>
          <w:rFonts w:ascii="Arial" w:hAnsi="Arial" w:cs="Arial"/>
          <w:b/>
          <w:i w:val="0"/>
          <w:color w:val="001F3D"/>
          <w:sz w:val="22"/>
        </w:rPr>
        <w:t xml:space="preserve">Q:  </w:t>
      </w:r>
      <w:r>
        <w:rPr>
          <w:rFonts w:ascii="Arial" w:hAnsi="Arial" w:cs="Arial"/>
          <w:b/>
          <w:i w:val="0"/>
          <w:color w:val="001F3D"/>
          <w:sz w:val="22"/>
        </w:rPr>
        <w:t>What does it cost?</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Pricing depends on scope — number of leaders, number of BUs, whether you want database persistence or file-based, and whether you want ongoing engagement (quarterly reviews, coach summaries kept fresh) or a one-time build. I'd rather not quote a number today — happy to send a scoped estimate within a week once we understand what you actually want to cover.</w:t>
      </w:r>
    </w:p>
    <w:p>
      <w:pPr>
        <w:spacing w:before="200" w:after="60"/>
      </w:pPr>
      <w:r>
        <w:rPr>
          <w:rFonts w:ascii="Arial" w:hAnsi="Arial" w:cs="Arial"/>
          <w:b/>
          <w:i w:val="0"/>
          <w:color w:val="001F3D"/>
          <w:sz w:val="22"/>
        </w:rPr>
        <w:t xml:space="preserve">Q:  </w:t>
      </w:r>
      <w:r>
        <w:rPr>
          <w:rFonts w:ascii="Arial" w:hAnsi="Arial" w:cs="Arial"/>
          <w:b/>
          <w:i w:val="0"/>
          <w:color w:val="001F3D"/>
          <w:sz w:val="22"/>
        </w:rPr>
        <w:t>What happens if the person who set up the tool leaves?</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The dashboard is a single HTML file with your data. It runs on any browser. There is no dependency on any Aon employee to keep it running — that's deliberate. Where we add value on an ongoing basis is with the review facilitation, the assessment refresh, and the interpretation — not with keeping a piece of software alive.</w:t>
      </w:r>
    </w:p>
    <w:p>
      <w:pPr>
        <w:spacing w:before="200" w:after="60"/>
      </w:pPr>
      <w:r>
        <w:rPr>
          <w:rFonts w:ascii="Arial" w:hAnsi="Arial" w:cs="Arial"/>
          <w:b/>
          <w:i w:val="0"/>
          <w:color w:val="001F3D"/>
          <w:sz w:val="22"/>
        </w:rPr>
        <w:t xml:space="preserve">Q:  </w:t>
      </w:r>
      <w:r>
        <w:rPr>
          <w:rFonts w:ascii="Arial" w:hAnsi="Arial" w:cs="Arial"/>
          <w:b/>
          <w:i w:val="0"/>
          <w:color w:val="001F3D"/>
          <w:sz w:val="22"/>
        </w:rPr>
        <w:t>Can this handle a very large organisation — 500+ critical roles?</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Yes. The dashboard has been used at 400+ role scales and it stays snappy — the underlying data model is designed to scale. Above 1000 roles, the UI benefits from an additional layer of grouping (which we would design with you). The three-layer structure — Board / BU / Leader — is exactly what makes larger organisations navigable.</w:t>
      </w:r>
    </w:p>
    <w:p>
      <w:pPr>
        <w:spacing w:before="200" w:after="60"/>
      </w:pPr>
      <w:r>
        <w:rPr>
          <w:rFonts w:ascii="Arial" w:hAnsi="Arial" w:cs="Arial"/>
          <w:b/>
          <w:i w:val="0"/>
          <w:color w:val="001F3D"/>
          <w:sz w:val="22"/>
        </w:rPr>
        <w:t xml:space="preserve">Q:  </w:t>
      </w:r>
      <w:r>
        <w:rPr>
          <w:rFonts w:ascii="Arial" w:hAnsi="Arial" w:cs="Arial"/>
          <w:b/>
          <w:i w:val="0"/>
          <w:color w:val="001F3D"/>
          <w:sz w:val="22"/>
        </w:rPr>
        <w:t>Do you have a live implementation we can talk to?</w:t>
      </w:r>
    </w:p>
    <w:p>
      <w:pPr>
        <w:spacing w:before="0" w:after="140" w:line="288" w:lineRule="auto"/>
        <w:ind w:left="120"/>
      </w:pPr>
      <w:r>
        <w:rPr>
          <w:rFonts w:ascii="Arial" w:hAnsi="Arial" w:cs="Arial"/>
          <w:b/>
          <w:i w:val="0"/>
          <w:color w:val="191919"/>
          <w:sz w:val="20"/>
        </w:rPr>
        <w:t xml:space="preserve">A:  </w:t>
      </w:r>
      <w:r>
        <w:rPr>
          <w:rFonts w:ascii="Arial" w:hAnsi="Arial" w:cs="Arial"/>
          <w:b w:val="0"/>
          <w:i w:val="0"/>
          <w:color w:val="191919"/>
          <w:sz w:val="20"/>
        </w:rPr>
        <w:t>Yes. We have three current implementations — happy to arrange a reference call with any of them under NDA. The most comparable to your organisation is [name], where we're on our fourth quarterly review cycle.</w:t>
      </w:r>
    </w:p>
    <w:p>
      <w:r>
        <w:br w:type="page"/>
      </w:r>
    </w:p>
    <w:p>
      <w:pPr>
        <w:spacing w:before="100" w:after="40"/>
      </w:pPr>
      <w:r>
        <w:rPr>
          <w:rFonts w:ascii="Arial" w:hAnsi="Arial" w:cs="Arial"/>
          <w:b/>
          <w:i w:val="0"/>
          <w:color w:val="EB0017"/>
          <w:sz w:val="16"/>
          <w:spacing w:val="40"/>
        </w:rPr>
        <w:t>APPENDIX</w:t>
      </w:r>
    </w:p>
    <w:p>
      <w:pPr>
        <w:pStyle w:val="Heading1"/>
        <w:spacing w:before="240" w:after="100"/>
        <w:pBdr>
          <w:bottom w:val="single" w:sz="18" w:space="4" w:color="EB0017"/>
        </w:pBdr>
      </w:pPr>
      <w:r>
        <w:rPr>
          <w:rFonts w:ascii="Arial" w:hAnsi="Arial" w:cs="Arial"/>
          <w:b/>
          <w:i w:val="0"/>
          <w:color w:val="191919"/>
          <w:sz w:val="40"/>
        </w:rPr>
        <w:t>Screenshots to capture</w:t>
      </w:r>
    </w:p>
    <w:p>
      <w:pPr>
        <w:spacing w:before="0" w:after="100" w:line="288" w:lineRule="auto"/>
      </w:pPr>
      <w:r>
        <w:rPr>
          <w:rFonts w:ascii="Arial" w:hAnsi="Arial" w:cs="Arial"/>
          <w:b w:val="0"/>
          <w:i w:val="0"/>
          <w:color w:val="191919"/>
          <w:sz w:val="20"/>
        </w:rPr>
        <w:t>Below is the list of screenshots to insert into this guide before printing or distributing. Capture each from the live NorthPeak tool. Suggested browser: Chrome or Edge at 1440×900. Crop tightly to the described area.</w:t>
      </w:r>
    </w:p>
    <w:tbl>
      <w:tblPr>
        <w:tblW w:type="auto" w:w="0"/>
        <w:tblLayout w:type="fixed"/>
        <w:tblLook w:firstColumn="1" w:firstRow="1" w:lastColumn="0" w:lastRow="0" w:noHBand="0" w:noVBand="1" w:val="04A0"/>
      </w:tblPr>
      <w:tblGrid>
        <w:gridCol w:w="2448"/>
        <w:gridCol w:w="6912"/>
      </w:tblGrid>
      <w:tr>
        <w:tc>
          <w:tcPr>
            <w:tcW w:type="dxa" w:w="2448"/>
            <w:tcBorders>
              <w:top w:val="single" w:sz="4" w:color="E8E9EA"/>
              <w:left w:val="nil"/>
              <w:bottom w:val="single" w:sz="4" w:color="E8E9EA"/>
              <w:right w:val="nil"/>
            </w:tcBorders>
          </w:tcPr>
          <w:p>
            <w:pPr>
              <w:spacing w:before="40" w:after="40"/>
            </w:pPr>
            <w:r>
              <w:rPr>
                <w:rFonts w:ascii="Arial" w:hAnsi="Arial" w:cs="Arial"/>
                <w:b/>
                <w:i w:val="0"/>
                <w:color w:val="6E6E6E"/>
                <w:sz w:val="18"/>
              </w:rPr>
              <w:t>Section 1</w:t>
            </w:r>
          </w:p>
        </w:tc>
        <w:tc>
          <w:tcPr>
            <w:tcW w:type="dxa" w:w="6912"/>
            <w:tcBorders>
              <w:top w:val="single" w:sz="4" w:color="E8E9EA"/>
              <w:left w:val="nil"/>
              <w:bottom w:val="single" w:sz="4" w:color="E8E9EA"/>
              <w:right w:val="nil"/>
            </w:tcBorders>
          </w:tcPr>
          <w:p>
            <w:pPr>
              <w:spacing w:before="40" w:after="40"/>
            </w:pPr>
            <w:r>
              <w:rPr>
                <w:rFonts w:ascii="Arial" w:hAnsi="Arial" w:cs="Arial"/>
                <w:b w:val="0"/>
                <w:i w:val="0"/>
                <w:color w:val="191919"/>
                <w:sz w:val="20"/>
              </w:rPr>
              <w:t>Landing view — full dashboard on default Board view mode, showing the top bar, tabs, and Pipeline layout.</w:t>
            </w:r>
          </w:p>
        </w:tc>
      </w:tr>
      <w:tr>
        <w:tc>
          <w:tcPr>
            <w:tcW w:type="dxa" w:w="2448"/>
            <w:tcBorders>
              <w:top w:val="single" w:sz="4" w:color="E8E9EA"/>
              <w:left w:val="nil"/>
              <w:bottom w:val="single" w:sz="4" w:color="E8E9EA"/>
              <w:right w:val="nil"/>
            </w:tcBorders>
          </w:tcPr>
          <w:p>
            <w:pPr>
              <w:spacing w:before="40" w:after="40"/>
            </w:pPr>
            <w:r>
              <w:rPr>
                <w:rFonts w:ascii="Arial" w:hAnsi="Arial" w:cs="Arial"/>
                <w:b/>
                <w:i w:val="0"/>
                <w:color w:val="6E6E6E"/>
                <w:sz w:val="18"/>
              </w:rPr>
              <w:t>Section 4 — Layer 1</w:t>
            </w:r>
          </w:p>
        </w:tc>
        <w:tc>
          <w:tcPr>
            <w:tcW w:type="dxa" w:w="6912"/>
            <w:tcBorders>
              <w:top w:val="single" w:sz="4" w:color="E8E9EA"/>
              <w:left w:val="nil"/>
              <w:bottom w:val="single" w:sz="4" w:color="E8E9EA"/>
              <w:right w:val="nil"/>
            </w:tcBorders>
          </w:tcPr>
          <w:p>
            <w:pPr>
              <w:spacing w:before="40" w:after="40"/>
            </w:pPr>
            <w:r>
              <w:rPr>
                <w:rFonts w:ascii="Arial" w:hAnsi="Arial" w:cs="Arial"/>
                <w:b w:val="0"/>
                <w:i w:val="0"/>
                <w:color w:val="191919"/>
                <w:sz w:val="20"/>
              </w:rPr>
              <w:t>Board view: KPI strip + family-grouped roles table + health colouring.</w:t>
            </w:r>
          </w:p>
        </w:tc>
      </w:tr>
      <w:tr>
        <w:tc>
          <w:tcPr>
            <w:tcW w:type="dxa" w:w="2448"/>
            <w:tcBorders>
              <w:top w:val="single" w:sz="4" w:color="E8E9EA"/>
              <w:left w:val="nil"/>
              <w:bottom w:val="single" w:sz="4" w:color="E8E9EA"/>
              <w:right w:val="nil"/>
            </w:tcBorders>
          </w:tcPr>
          <w:p>
            <w:pPr>
              <w:spacing w:before="40" w:after="40"/>
            </w:pPr>
            <w:r>
              <w:rPr>
                <w:rFonts w:ascii="Arial" w:hAnsi="Arial" w:cs="Arial"/>
                <w:b/>
                <w:i w:val="0"/>
                <w:color w:val="6E6E6E"/>
                <w:sz w:val="18"/>
              </w:rPr>
              <w:t>Section 4 — Layer 2</w:t>
            </w:r>
          </w:p>
        </w:tc>
        <w:tc>
          <w:tcPr>
            <w:tcW w:type="dxa" w:w="6912"/>
            <w:tcBorders>
              <w:top w:val="single" w:sz="4" w:color="E8E9EA"/>
              <w:left w:val="nil"/>
              <w:bottom w:val="single" w:sz="4" w:color="E8E9EA"/>
              <w:right w:val="nil"/>
            </w:tcBorders>
          </w:tcPr>
          <w:p>
            <w:pPr>
              <w:spacing w:before="40" w:after="40"/>
            </w:pPr>
            <w:r>
              <w:rPr>
                <w:rFonts w:ascii="Arial" w:hAnsi="Arial" w:cs="Arial"/>
                <w:b w:val="0"/>
                <w:i w:val="0"/>
                <w:color w:val="191919"/>
                <w:sz w:val="20"/>
              </w:rPr>
              <w:t>CXO view: filtered role table with one row expanded showing successor cards, Fit buttons, Ready-Now auto step-in info line, and explicit step-in picker.</w:t>
            </w:r>
          </w:p>
        </w:tc>
      </w:tr>
      <w:tr>
        <w:tc>
          <w:tcPr>
            <w:tcW w:type="dxa" w:w="2448"/>
            <w:tcBorders>
              <w:top w:val="single" w:sz="4" w:color="E8E9EA"/>
              <w:left w:val="nil"/>
              <w:bottom w:val="single" w:sz="4" w:color="E8E9EA"/>
              <w:right w:val="nil"/>
            </w:tcBorders>
          </w:tcPr>
          <w:p>
            <w:pPr>
              <w:spacing w:before="40" w:after="40"/>
            </w:pPr>
            <w:r>
              <w:rPr>
                <w:rFonts w:ascii="Arial" w:hAnsi="Arial" w:cs="Arial"/>
                <w:b/>
                <w:i w:val="0"/>
                <w:color w:val="6E6E6E"/>
                <w:sz w:val="18"/>
              </w:rPr>
              <w:t>Section 4 — Layer 3</w:t>
            </w:r>
          </w:p>
        </w:tc>
        <w:tc>
          <w:tcPr>
            <w:tcW w:type="dxa" w:w="6912"/>
            <w:tcBorders>
              <w:top w:val="single" w:sz="4" w:color="E8E9EA"/>
              <w:left w:val="nil"/>
              <w:bottom w:val="single" w:sz="4" w:color="E8E9EA"/>
              <w:right w:val="nil"/>
            </w:tcBorders>
          </w:tcPr>
          <w:p>
            <w:pPr>
              <w:spacing w:before="40" w:after="40"/>
            </w:pPr>
            <w:r>
              <w:rPr>
                <w:rFonts w:ascii="Arial" w:hAnsi="Arial" w:cs="Arial"/>
                <w:b w:val="0"/>
                <w:i w:val="0"/>
                <w:color w:val="191919"/>
                <w:sz w:val="20"/>
              </w:rPr>
              <w:t>Leader profile: facts strip with Succession horizon pill + GLIDE trait bars (3 lenses) + coach summary + Johari grid.</w:t>
            </w:r>
          </w:p>
        </w:tc>
      </w:tr>
      <w:tr>
        <w:tc>
          <w:tcPr>
            <w:tcW w:type="dxa" w:w="2448"/>
            <w:tcBorders>
              <w:top w:val="single" w:sz="4" w:color="E8E9EA"/>
              <w:left w:val="nil"/>
              <w:bottom w:val="single" w:sz="4" w:color="E8E9EA"/>
              <w:right w:val="nil"/>
            </w:tcBorders>
          </w:tcPr>
          <w:p>
            <w:pPr>
              <w:spacing w:before="40" w:after="40"/>
            </w:pPr>
            <w:r>
              <w:rPr>
                <w:rFonts w:ascii="Arial" w:hAnsi="Arial" w:cs="Arial"/>
                <w:b/>
                <w:i w:val="0"/>
                <w:color w:val="6E6E6E"/>
                <w:sz w:val="18"/>
              </w:rPr>
              <w:t>Section 5 (opt.)</w:t>
            </w:r>
          </w:p>
        </w:tc>
        <w:tc>
          <w:tcPr>
            <w:tcW w:type="dxa" w:w="6912"/>
            <w:tcBorders>
              <w:top w:val="single" w:sz="4" w:color="E8E9EA"/>
              <w:left w:val="nil"/>
              <w:bottom w:val="single" w:sz="4" w:color="E8E9EA"/>
              <w:right w:val="nil"/>
            </w:tcBorders>
          </w:tcPr>
          <w:p>
            <w:pPr>
              <w:spacing w:before="40" w:after="40"/>
            </w:pPr>
            <w:r>
              <w:rPr>
                <w:rFonts w:ascii="Arial" w:hAnsi="Arial" w:cs="Arial"/>
                <w:b w:val="0"/>
                <w:i w:val="0"/>
                <w:color w:val="191919"/>
                <w:sz w:val="20"/>
              </w:rPr>
              <w:t>Scenarios tab: a modelled scenario with pipeline-health before/after comparison.</w:t>
            </w:r>
          </w:p>
        </w:tc>
      </w:tr>
      <w:tr>
        <w:tc>
          <w:tcPr>
            <w:tcW w:type="dxa" w:w="2448"/>
            <w:tcBorders>
              <w:top w:val="single" w:sz="4" w:color="E8E9EA"/>
              <w:left w:val="nil"/>
              <w:bottom w:val="single" w:sz="4" w:color="E8E9EA"/>
              <w:right w:val="nil"/>
            </w:tcBorders>
          </w:tcPr>
          <w:p>
            <w:pPr>
              <w:spacing w:before="40" w:after="40"/>
            </w:pPr>
            <w:r>
              <w:rPr>
                <w:rFonts w:ascii="Arial" w:hAnsi="Arial" w:cs="Arial"/>
                <w:b/>
                <w:i w:val="0"/>
                <w:color w:val="6E6E6E"/>
                <w:sz w:val="18"/>
              </w:rPr>
              <w:t>Section 5 (opt.)</w:t>
            </w:r>
          </w:p>
        </w:tc>
        <w:tc>
          <w:tcPr>
            <w:tcW w:type="dxa" w:w="6912"/>
            <w:tcBorders>
              <w:top w:val="single" w:sz="4" w:color="E8E9EA"/>
              <w:left w:val="nil"/>
              <w:bottom w:val="single" w:sz="4" w:color="E8E9EA"/>
              <w:right w:val="nil"/>
            </w:tcBorders>
          </w:tcPr>
          <w:p>
            <w:pPr>
              <w:spacing w:before="40" w:after="40"/>
            </w:pPr>
            <w:r>
              <w:rPr>
                <w:rFonts w:ascii="Arial" w:hAnsi="Arial" w:cs="Arial"/>
                <w:b w:val="0"/>
                <w:i w:val="0"/>
                <w:color w:val="191919"/>
                <w:sz w:val="20"/>
              </w:rPr>
              <w:t>Excel export: opened in Excel showing the Roles / Leaders / Successors / Notes tabs.</w:t>
            </w:r>
          </w:p>
        </w:tc>
      </w:tr>
      <w:tr>
        <w:tc>
          <w:tcPr>
            <w:tcW w:type="dxa" w:w="2448"/>
            <w:tcBorders>
              <w:top w:val="single" w:sz="4" w:color="E8E9EA"/>
              <w:left w:val="nil"/>
              <w:bottom w:val="single" w:sz="4" w:color="E8E9EA"/>
              <w:right w:val="nil"/>
            </w:tcBorders>
          </w:tcPr>
          <w:p>
            <w:pPr>
              <w:spacing w:before="40" w:after="40"/>
            </w:pPr>
            <w:r>
              <w:rPr>
                <w:rFonts w:ascii="Arial" w:hAnsi="Arial" w:cs="Arial"/>
                <w:b/>
                <w:i w:val="0"/>
                <w:color w:val="6E6E6E"/>
                <w:sz w:val="18"/>
              </w:rPr>
              <w:t>Section 6 (opt.)</w:t>
            </w:r>
          </w:p>
        </w:tc>
        <w:tc>
          <w:tcPr>
            <w:tcW w:type="dxa" w:w="6912"/>
            <w:tcBorders>
              <w:top w:val="single" w:sz="4" w:color="E8E9EA"/>
              <w:left w:val="nil"/>
              <w:bottom w:val="single" w:sz="4" w:color="E8E9EA"/>
              <w:right w:val="nil"/>
            </w:tcBorders>
          </w:tcPr>
          <w:p>
            <w:pPr>
              <w:spacing w:before="40" w:after="40"/>
            </w:pPr>
            <w:r>
              <w:rPr>
                <w:rFonts w:ascii="Arial" w:hAnsi="Arial" w:cs="Arial"/>
                <w:b w:val="0"/>
                <w:i w:val="0"/>
                <w:color w:val="191919"/>
                <w:sz w:val="20"/>
              </w:rPr>
              <w:t>Help drawer open (top-right of the dashboard) — for the 'reference card' note.</w:t>
            </w:r>
          </w:p>
        </w:tc>
      </w:tr>
    </w:tbl>
    <w:p>
      <w:pPr>
        <w:spacing w:before="0" w:after="100" w:line="288" w:lineRule="auto"/>
      </w:pPr>
      <w:r>
        <w:rPr>
          <w:rFonts w:ascii="Arial" w:hAnsi="Arial" w:cs="Arial"/>
          <w:b w:val="0"/>
          <w:i w:val="0"/>
          <w:color w:val="191919"/>
          <w:sz w:val="20"/>
        </w:rPr>
      </w:r>
    </w:p>
    <w:p>
      <w:pPr>
        <w:spacing w:before="0" w:after="100" w:line="288" w:lineRule="auto"/>
      </w:pPr>
      <w:r>
        <w:rPr>
          <w:rFonts w:ascii="Arial" w:hAnsi="Arial" w:cs="Arial"/>
          <w:b w:val="0"/>
          <w:i w:val="0"/>
          <w:color w:val="191919"/>
          <w:sz w:val="20"/>
        </w:rPr>
        <w:t>For version control: the guide file is stored alongside the NorthPeak repo. Update this version number whenever the tool or the guide is revised.</w:t>
      </w:r>
    </w:p>
    <w:sectPr w:rsidR="00FC693F" w:rsidRPr="0006063C" w:rsidSect="00034616">
      <w:footerReference w:type="default" r:id="rId9"/>
      <w:pgSz w:w="12240" w:h="15840"/>
      <w:pgMar w:top="1296" w:right="1296" w:bottom="1296"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jc w:val="left"/>
      <w:pBdr>
        <w:top w:val="single" w:sz="4" w:space="6" w:color="E8E9EA"/>
      </w:pBdr>
    </w:pPr>
    <w:r>
      <w:rPr>
        <w:rFonts w:ascii="Arial" w:hAnsi="Arial" w:cs="Arial"/>
        <w:b/>
        <w:i w:val="0"/>
        <w:color w:val="EB0017"/>
        <w:sz w:val="16"/>
      </w:rPr>
      <w:t>AON</w:t>
    </w:r>
    <w:r>
      <w:rPr>
        <w:rFonts w:ascii="Arial" w:hAnsi="Arial" w:cs="Arial"/>
        <w:b w:val="0"/>
        <w:i w:val="0"/>
        <w:color w:val="6E6E6E"/>
        <w:sz w:val="14"/>
      </w:rPr>
      <w:t xml:space="preserve">  ·  NorthPeak Talent Review — Consultant User Guide  ·  Confidential  ·  For internal Aon use only</w:t>
    </w:r>
    <w:r>
      <w:rPr>
        <w:rFonts w:ascii="Arial" w:hAnsi="Arial" w:cs="Arial"/>
        <w:b w:val="0"/>
        <w:i w:val="0"/>
        <w:color w:val="6E6E6E"/>
        <w:sz w:val="14"/>
      </w:rPr>
      <w:tab/>
      <w:t xml:space="preserve">Page </w:t>
    </w:r>
    <w:r>
      <w:rPr>
        <w:rFonts w:ascii="Arial" w:hAnsi="Arial" w:cs="Arial"/>
        <w:b w:val="0"/>
        <w:i w:val="0"/>
        <w:color w:val="6E6E6E"/>
        <w:sz w:val="14"/>
      </w:rPr>
      <w:fldChar w:fldCharType="begin"/>
      <w:instrText> PAGE </w:instrText>
      <w:fldChar w:fldCharType="end"/>
    </w:r>
    <w:r>
      <w:rPr>
        <w:rFonts w:ascii="Arial" w:hAnsi="Arial" w:cs="Arial"/>
        <w:b w:val="0"/>
        <w:i w:val="0"/>
        <w:color w:val="6E6E6E"/>
        <w:sz w:val="14"/>
      </w:rPr>
      <w:t xml:space="preserve"> of </w:t>
    </w:r>
    <w:r>
      <w:rPr>
        <w:rFonts w:ascii="Arial" w:hAnsi="Arial" w:cs="Arial"/>
        <w:b w:val="0"/>
        <w:i w:val="0"/>
        <w:color w:val="6E6E6E"/>
        <w:sz w:val="14"/>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