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120"/>
        <w:jc w:val="center"/>
      </w:pPr>
      <w:r>
        <w:rPr>
          <w:b/>
          <w:i w:val="0"/>
          <w:color w:val="1F3B6B"/>
          <w:sz w:val="60"/>
        </w:rPr>
        <w:t>RMMM Plan</w:t>
      </w:r>
    </w:p>
    <w:p>
      <w:pPr>
        <w:spacing w:before="0" w:after="360"/>
        <w:jc w:val="center"/>
      </w:pPr>
      <w:r>
        <w:rPr>
          <w:b w:val="0"/>
          <w:i/>
          <w:color w:val="2E75B6"/>
          <w:sz w:val="30"/>
        </w:rPr>
        <w:t>Risk Mitigation, Monitoring, and Management Plan</w:t>
      </w:r>
    </w:p>
    <w:p>
      <w:pPr>
        <w:spacing w:before="0" w:after="200"/>
        <w:jc w:val="center"/>
      </w:pPr>
      <w:r>
        <w:rPr>
          <w:b/>
          <w:i w:val="0"/>
          <w:color w:val="000000"/>
          <w:sz w:val="24"/>
        </w:rPr>
        <w:t>Project: Integrated Management Business Suite (IBMS)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</w:tblPr>
      <w:tblGrid>
        <w:gridCol w:w="9360"/>
      </w:tblGrid>
      <w:tr>
        <w:tc>
          <w:tcPr>
            <w:tcW w:type="dxa" w:w="9360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4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2551"/>
        <w:gridCol w:w="6474"/>
      </w:tblGrid>
      <w:tr>
        <w:tc>
          <w:tcPr>
            <w:tcW w:type="dxa" w:w="4680"/>
            <w:shd w:val="clear" w:color="auto" w:fill="1F3B6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20"/>
              </w:rPr>
              <w:t>Version</w:t>
            </w:r>
          </w:p>
        </w:tc>
        <w:tc>
          <w:tcPr>
            <w:tcW w:type="dxa" w:w="4680"/>
            <w:shd w:val="clear" w:color="auto" w:fill="BDD7EE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1.0</w:t>
            </w:r>
          </w:p>
        </w:tc>
      </w:tr>
      <w:tr>
        <w:tc>
          <w:tcPr>
            <w:tcW w:type="dxa" w:w="4680"/>
            <w:shd w:val="clear" w:color="auto" w:fill="1F3B6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468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April 24, 2026</w:t>
            </w:r>
          </w:p>
        </w:tc>
      </w:tr>
      <w:tr>
        <w:tc>
          <w:tcPr>
            <w:tcW w:type="dxa" w:w="4680"/>
            <w:shd w:val="clear" w:color="auto" w:fill="1F3B6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20"/>
              </w:rPr>
              <w:t>Course</w:t>
            </w:r>
          </w:p>
        </w:tc>
        <w:tc>
          <w:tcPr>
            <w:tcW w:type="dxa" w:w="4680"/>
            <w:shd w:val="clear" w:color="auto" w:fill="BDD7EE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SEPM (Software Engineering and Project Management)</w:t>
            </w:r>
          </w:p>
        </w:tc>
      </w:tr>
      <w:tr>
        <w:tc>
          <w:tcPr>
            <w:tcW w:type="dxa" w:w="4680"/>
            <w:shd w:val="clear" w:color="auto" w:fill="1F3B6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20"/>
              </w:rPr>
              <w:t>Team</w:t>
            </w:r>
          </w:p>
        </w:tc>
        <w:tc>
          <w:tcPr>
            <w:tcW w:type="dxa" w:w="468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Shivansh Srivastava   –   Product Developer</w:t>
              <w:br/>
              <w:t>Prahallad Padhan       –   Product Owner</w:t>
              <w:br/>
              <w:t>Ranveer Rai Khare      –   Scrum Master</w:t>
            </w:r>
          </w:p>
        </w:tc>
      </w:tr>
      <w:tr>
        <w:tc>
          <w:tcPr>
            <w:tcW w:type="dxa" w:w="4680"/>
            <w:shd w:val="clear" w:color="auto" w:fill="1F3B6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20"/>
              </w:rPr>
              <w:t>Project</w:t>
            </w:r>
          </w:p>
        </w:tc>
        <w:tc>
          <w:tcPr>
            <w:tcW w:type="dxa" w:w="4680"/>
            <w:shd w:val="clear" w:color="auto" w:fill="BDD7EE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Integrated Management Business Suite (IBMS)</w:t>
            </w:r>
          </w:p>
        </w:tc>
      </w:tr>
      <w:tr>
        <w:tc>
          <w:tcPr>
            <w:tcW w:type="dxa" w:w="4680"/>
            <w:shd w:val="clear" w:color="auto" w:fill="1F3B6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468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20"/>
              </w:rPr>
              <w:t>Version 1.0  |  April 2026</w:t>
            </w:r>
          </w:p>
        </w:tc>
      </w:tr>
    </w:tbl>
    <w:p>
      <w:r>
        <w:br w:type="page"/>
      </w:r>
    </w:p>
    <w:p>
      <w:pPr>
        <w:spacing w:before="200" w:after="60"/>
        <w:jc w:val="left"/>
      </w:pPr>
      <w:r>
        <w:rPr>
          <w:b/>
          <w:color w:val="1F3B6B"/>
          <w:sz w:val="26"/>
        </w:rPr>
        <w:t>1.  Introduction</w:t>
      </w:r>
    </w:p>
    <w:p>
      <w:pPr>
        <w:spacing w:before="40" w:after="40"/>
        <w:jc w:val="both"/>
      </w:pPr>
      <w:r>
        <w:rPr>
          <w:i w:val="0"/>
          <w:color w:val="000000"/>
          <w:sz w:val="20"/>
        </w:rPr>
        <w:t>This document presents the Risk Mitigation, Monitoring, and Management (RMMM) Plan for the Integrated Management Business Suite (IBMS) — an AI-first Enterprise Resource Planning platform built on FastAPI, Frappe, Supabase, and machine-learning services.  The plan identifies key risks, assigns probability and impact values, and specifies concrete mitigation strategies for each risk.</w:t>
      </w:r>
    </w:p>
    <w:p>
      <w:pPr>
        <w:spacing w:before="40" w:after="40"/>
        <w:jc w:val="both"/>
      </w:pPr>
      <w:r>
        <w:rPr>
          <w:i w:val="0"/>
          <w:color w:val="000000"/>
          <w:sz w:val="20"/>
        </w:rPr>
        <w:t>The plan follows the three-step process (Pressman, 2015):</w:t>
      </w:r>
    </w:p>
    <w:p>
      <w:pPr>
        <w:pStyle w:val="ListBullet"/>
        <w:spacing w:before="20" w:after="20"/>
      </w:pPr>
      <w:r>
        <w:rPr>
          <w:sz w:val="19"/>
        </w:rPr>
        <w:t>Step 1 – Form a Risk Table listing all identified risks.</w:t>
      </w:r>
    </w:p>
    <w:p>
      <w:pPr>
        <w:pStyle w:val="ListBullet"/>
        <w:spacing w:before="20" w:after="20"/>
      </w:pPr>
      <w:r>
        <w:rPr>
          <w:sz w:val="19"/>
        </w:rPr>
        <w:t>Step 2 – Sort risks in descending order of probability.</w:t>
      </w:r>
    </w:p>
    <w:p>
      <w:pPr>
        <w:pStyle w:val="ListBullet"/>
        <w:spacing w:before="20" w:after="20"/>
      </w:pPr>
      <w:r>
        <w:rPr>
          <w:sz w:val="19"/>
        </w:rPr>
        <w:t>Step 3 – Produce a Risk Information Sheet (RIS) for each individual risk.</w:t>
      </w:r>
    </w:p>
    <w:p>
      <w:pPr>
        <w:spacing w:before="120" w:after="40"/>
        <w:jc w:val="left"/>
      </w:pPr>
      <w:r>
        <w:rPr>
          <w:b/>
          <w:color w:val="2E75B6"/>
          <w:sz w:val="21"/>
        </w:rPr>
        <w:t>Risk Category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1020"/>
        <w:gridCol w:w="2438"/>
        <w:gridCol w:w="5567"/>
      </w:tblGrid>
      <w:tr>
        <w:tc>
          <w:tcPr>
            <w:tcW w:type="dxa" w:w="3120"/>
            <w:shd w:val="clear" w:color="auto" w:fill="2E75B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Short Form</w:t>
            </w:r>
          </w:p>
        </w:tc>
        <w:tc>
          <w:tcPr>
            <w:tcW w:type="dxa" w:w="3120"/>
            <w:shd w:val="clear" w:color="auto" w:fill="2E75B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Risk Category</w:t>
            </w:r>
          </w:p>
        </w:tc>
        <w:tc>
          <w:tcPr>
            <w:tcW w:type="dxa" w:w="3120"/>
            <w:shd w:val="clear" w:color="auto" w:fill="2E75B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Explanation</w:t>
            </w:r>
          </w:p>
        </w:tc>
      </w:tr>
      <w:tr>
        <w:tc>
          <w:tcPr>
            <w:tcW w:type="dxa" w:w="312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PS</w:t>
            </w:r>
          </w:p>
        </w:tc>
        <w:tc>
          <w:tcPr>
            <w:tcW w:type="dxa" w:w="312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000000"/>
                <w:sz w:val="18"/>
              </w:rPr>
              <w:t>Product Size</w:t>
            </w:r>
          </w:p>
        </w:tc>
        <w:tc>
          <w:tcPr>
            <w:tcW w:type="dxa" w:w="312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Risks related to overall size, scale, and complexity of the software.</w:t>
            </w:r>
          </w:p>
        </w:tc>
      </w:tr>
      <w:tr>
        <w:tc>
          <w:tcPr>
            <w:tcW w:type="dxa" w:w="3120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BU</w:t>
            </w:r>
          </w:p>
        </w:tc>
        <w:tc>
          <w:tcPr>
            <w:tcW w:type="dxa" w:w="3120"/>
            <w:shd w:val="clear" w:color="auto" w:fill="BDD7EE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000000"/>
                <w:sz w:val="18"/>
              </w:rPr>
              <w:t>Business Impact</w:t>
            </w:r>
          </w:p>
        </w:tc>
        <w:tc>
          <w:tcPr>
            <w:tcW w:type="dxa" w:w="3120"/>
            <w:shd w:val="clear" w:color="auto" w:fill="BDD7EE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Risks from business constraints: market conditions, competition, management.</w:t>
            </w:r>
          </w:p>
        </w:tc>
      </w:tr>
      <w:tr>
        <w:tc>
          <w:tcPr>
            <w:tcW w:type="dxa" w:w="312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CU</w:t>
            </w:r>
          </w:p>
        </w:tc>
        <w:tc>
          <w:tcPr>
            <w:tcW w:type="dxa" w:w="312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000000"/>
                <w:sz w:val="18"/>
              </w:rPr>
              <w:t>Customer Characteristics</w:t>
            </w:r>
          </w:p>
        </w:tc>
        <w:tc>
          <w:tcPr>
            <w:tcW w:type="dxa" w:w="312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Risks related to customer behaviour, expectations, and communication.</w:t>
            </w:r>
          </w:p>
        </w:tc>
      </w:tr>
      <w:tr>
        <w:tc>
          <w:tcPr>
            <w:tcW w:type="dxa" w:w="3120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PD</w:t>
            </w:r>
          </w:p>
        </w:tc>
        <w:tc>
          <w:tcPr>
            <w:tcW w:type="dxa" w:w="3120"/>
            <w:shd w:val="clear" w:color="auto" w:fill="BDD7EE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000000"/>
                <w:sz w:val="18"/>
              </w:rPr>
              <w:t>Process Definition</w:t>
            </w:r>
          </w:p>
        </w:tc>
        <w:tc>
          <w:tcPr>
            <w:tcW w:type="dxa" w:w="3120"/>
            <w:shd w:val="clear" w:color="auto" w:fill="BDD7EE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Risks from unclear, undefined, or poorly followed development processes.</w:t>
            </w:r>
          </w:p>
        </w:tc>
      </w:tr>
      <w:tr>
        <w:tc>
          <w:tcPr>
            <w:tcW w:type="dxa" w:w="312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DE</w:t>
            </w:r>
          </w:p>
        </w:tc>
        <w:tc>
          <w:tcPr>
            <w:tcW w:type="dxa" w:w="312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000000"/>
                <w:sz w:val="18"/>
              </w:rPr>
              <w:t>Development Environment</w:t>
            </w:r>
          </w:p>
        </w:tc>
        <w:tc>
          <w:tcPr>
            <w:tcW w:type="dxa" w:w="312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Risks related to availability, reliability, and quality of dev tools.</w:t>
            </w:r>
          </w:p>
        </w:tc>
      </w:tr>
      <w:tr>
        <w:tc>
          <w:tcPr>
            <w:tcW w:type="dxa" w:w="3120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TE</w:t>
            </w:r>
          </w:p>
        </w:tc>
        <w:tc>
          <w:tcPr>
            <w:tcW w:type="dxa" w:w="3120"/>
            <w:shd w:val="clear" w:color="auto" w:fill="BDD7EE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000000"/>
                <w:sz w:val="18"/>
              </w:rPr>
              <w:t>Technology to be Built</w:t>
            </w:r>
          </w:p>
        </w:tc>
        <w:tc>
          <w:tcPr>
            <w:tcW w:type="dxa" w:w="3120"/>
            <w:shd w:val="clear" w:color="auto" w:fill="BDD7EE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Risks from complexity, novelty, or uncertainty of the technology used.</w:t>
            </w:r>
          </w:p>
        </w:tc>
      </w:tr>
      <w:tr>
        <w:tc>
          <w:tcPr>
            <w:tcW w:type="dxa" w:w="312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ST</w:t>
            </w:r>
          </w:p>
        </w:tc>
        <w:tc>
          <w:tcPr>
            <w:tcW w:type="dxa" w:w="312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000000"/>
                <w:sz w:val="18"/>
              </w:rPr>
              <w:t>Staff Size &amp; Experience</w:t>
            </w:r>
          </w:p>
        </w:tc>
        <w:tc>
          <w:tcPr>
            <w:tcW w:type="dxa" w:w="312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Risks related to skills, experience, and availability of the team.</w:t>
            </w:r>
          </w:p>
        </w:tc>
      </w:tr>
    </w:tbl>
    <w:p>
      <w:pPr>
        <w:spacing w:before="120" w:after="40"/>
        <w:jc w:val="left"/>
      </w:pPr>
      <w:r>
        <w:rPr>
          <w:b/>
          <w:color w:val="2E75B6"/>
          <w:sz w:val="21"/>
        </w:rPr>
        <w:t>Probability Scale  &amp;  Impact Severity</w:t>
      </w:r>
    </w:p>
    <w:tbl>
      <w:tblPr>
        <w:tblW w:type="auto" w:w="0"/>
        <w:tblLook w:firstColumn="1" w:firstRow="1" w:lastColumn="0" w:lastRow="0" w:noHBand="0" w:noVBand="1" w:val="04A0"/>
        <w:tblW w:type="pct" w:w="5000"/>
      </w:tblPr>
      <w:tblGrid>
        <w:gridCol w:w="4252"/>
        <w:gridCol w:w="4774"/>
      </w:tblGrid>
      <w:tr>
        <w:tc>
          <w:tcPr>
            <w:tcW w:type="dxa" w:w="4680"/>
            <w:vAlign w:val="top"/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84"/>
              <w:gridCol w:w="2268"/>
            </w:tblGrid>
            <w:tr>
              <w:tc>
                <w:tcPr>
                  <w:tcW w:type="dxa" w:w="2340"/>
                  <w:shd w:val="clear" w:color="auto" w:fill="2E75B6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b/>
                      <w:i w:val="0"/>
                      <w:color w:val="FFFFFF"/>
                      <w:sz w:val="18"/>
                    </w:rPr>
                    <w:t>Range</w:t>
                  </w:r>
                </w:p>
              </w:tc>
              <w:tc>
                <w:tcPr>
                  <w:tcW w:type="dxa" w:w="2340"/>
                  <w:shd w:val="clear" w:color="auto" w:fill="2E75B6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b/>
                      <w:i w:val="0"/>
                      <w:color w:val="FFFFFF"/>
                      <w:sz w:val="18"/>
                    </w:rPr>
                    <w:t>Interpretation</w:t>
                  </w:r>
                </w:p>
              </w:tc>
            </w:tr>
            <w:tr>
              <w:tc>
                <w:tcPr>
                  <w:tcW w:type="dxa" w:w="2340"/>
                  <w:shd w:val="clear" w:color="auto" w:fill="FFFFFF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b w:val="0"/>
                      <w:i w:val="0"/>
                      <w:color w:val="000000"/>
                      <w:sz w:val="18"/>
                    </w:rPr>
                    <w:t>80% – 100%</w:t>
                  </w:r>
                </w:p>
              </w:tc>
              <w:tc>
                <w:tcPr>
                  <w:tcW w:type="dxa" w:w="2340"/>
                  <w:shd w:val="clear" w:color="auto" w:fill="FFFFFF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b w:val="0"/>
                      <w:i w:val="0"/>
                      <w:color w:val="000000"/>
                      <w:sz w:val="18"/>
                    </w:rPr>
                    <w:t>Very High</w:t>
                  </w:r>
                </w:p>
              </w:tc>
            </w:tr>
            <w:tr>
              <w:tc>
                <w:tcPr>
                  <w:tcW w:type="dxa" w:w="2340"/>
                  <w:shd w:val="clear" w:color="auto" w:fill="BDD7EE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b w:val="0"/>
                      <w:i w:val="0"/>
                      <w:color w:val="000000"/>
                      <w:sz w:val="18"/>
                    </w:rPr>
                    <w:t>60% – 79%</w:t>
                  </w:r>
                </w:p>
              </w:tc>
              <w:tc>
                <w:tcPr>
                  <w:tcW w:type="dxa" w:w="2340"/>
                  <w:shd w:val="clear" w:color="auto" w:fill="BDD7EE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b w:val="0"/>
                      <w:i w:val="0"/>
                      <w:color w:val="000000"/>
                      <w:sz w:val="18"/>
                    </w:rPr>
                    <w:t>High</w:t>
                  </w:r>
                </w:p>
              </w:tc>
            </w:tr>
            <w:tr>
              <w:tc>
                <w:tcPr>
                  <w:tcW w:type="dxa" w:w="2340"/>
                  <w:shd w:val="clear" w:color="auto" w:fill="FFFFFF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b w:val="0"/>
                      <w:i w:val="0"/>
                      <w:color w:val="000000"/>
                      <w:sz w:val="18"/>
                    </w:rPr>
                    <w:t>40% – 59%</w:t>
                  </w:r>
                </w:p>
              </w:tc>
              <w:tc>
                <w:tcPr>
                  <w:tcW w:type="dxa" w:w="2340"/>
                  <w:shd w:val="clear" w:color="auto" w:fill="FFFFFF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b w:val="0"/>
                      <w:i w:val="0"/>
                      <w:color w:val="000000"/>
                      <w:sz w:val="18"/>
                    </w:rPr>
                    <w:t>Medium</w:t>
                  </w:r>
                </w:p>
              </w:tc>
            </w:tr>
            <w:tr>
              <w:tc>
                <w:tcPr>
                  <w:tcW w:type="dxa" w:w="2340"/>
                  <w:shd w:val="clear" w:color="auto" w:fill="BDD7EE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b w:val="0"/>
                      <w:i w:val="0"/>
                      <w:color w:val="000000"/>
                      <w:sz w:val="18"/>
                    </w:rPr>
                    <w:t>20% – 39%</w:t>
                  </w:r>
                </w:p>
              </w:tc>
              <w:tc>
                <w:tcPr>
                  <w:tcW w:type="dxa" w:w="2340"/>
                  <w:shd w:val="clear" w:color="auto" w:fill="BDD7EE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b w:val="0"/>
                      <w:i w:val="0"/>
                      <w:color w:val="000000"/>
                      <w:sz w:val="18"/>
                    </w:rPr>
                    <w:t>Low</w:t>
                  </w:r>
                </w:p>
              </w:tc>
            </w:tr>
            <w:tr>
              <w:tc>
                <w:tcPr>
                  <w:tcW w:type="dxa" w:w="2340"/>
                  <w:shd w:val="clear" w:color="auto" w:fill="FFFFFF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b w:val="0"/>
                      <w:i w:val="0"/>
                      <w:color w:val="000000"/>
                      <w:sz w:val="18"/>
                    </w:rPr>
                    <w:t>&lt; 20%</w:t>
                  </w:r>
                </w:p>
              </w:tc>
              <w:tc>
                <w:tcPr>
                  <w:tcW w:type="dxa" w:w="2340"/>
                  <w:shd w:val="clear" w:color="auto" w:fill="FFFFFF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b w:val="0"/>
                      <w:i w:val="0"/>
                      <w:color w:val="000000"/>
                      <w:sz w:val="18"/>
                    </w:rPr>
                    <w:t>Very Low</w:t>
                  </w:r>
                </w:p>
              </w:tc>
            </w:tr>
          </w:tbl>
          <w:p/>
        </w:tc>
        <w:tc>
          <w:tcPr>
            <w:tcW w:type="dxa" w:w="4680"/>
            <w:vAlign w:val="top"/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567"/>
              <w:gridCol w:w="1701"/>
              <w:gridCol w:w="2506"/>
            </w:tblGrid>
            <w:tr>
              <w:tc>
                <w:tcPr>
                  <w:tcW w:type="dxa" w:w="1560"/>
                  <w:shd w:val="clear" w:color="auto" w:fill="2E75B6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b/>
                      <w:i w:val="0"/>
                      <w:color w:val="FFFFFF"/>
                      <w:sz w:val="18"/>
                    </w:rPr>
                    <w:t>Lvl</w:t>
                  </w:r>
                </w:p>
              </w:tc>
              <w:tc>
                <w:tcPr>
                  <w:tcW w:type="dxa" w:w="1560"/>
                  <w:shd w:val="clear" w:color="auto" w:fill="2E75B6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b/>
                      <w:i w:val="0"/>
                      <w:color w:val="FFFFFF"/>
                      <w:sz w:val="18"/>
                    </w:rPr>
                    <w:t>Label</w:t>
                  </w:r>
                </w:p>
              </w:tc>
              <w:tc>
                <w:tcPr>
                  <w:tcW w:type="dxa" w:w="1560"/>
                  <w:shd w:val="clear" w:color="auto" w:fill="2E75B6"/>
                  <w:vAlign w:val="center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/>
                      <w:i w:val="0"/>
                      <w:color w:val="FFFFFF"/>
                      <w:sz w:val="18"/>
                    </w:rPr>
                    <w:t>Description</w:t>
                  </w:r>
                </w:p>
              </w:tc>
            </w:tr>
            <w:tr>
              <w:tc>
                <w:tcPr>
                  <w:tcW w:type="dxa" w:w="1560"/>
                  <w:shd w:val="clear" w:color="auto" w:fill="FFFFFF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b w:val="0"/>
                      <w:i w:val="0"/>
                      <w:color w:val="000000"/>
                      <w:sz w:val="18"/>
                    </w:rPr>
                    <w:t>1</w:t>
                  </w:r>
                </w:p>
              </w:tc>
              <w:tc>
                <w:tcPr>
                  <w:tcW w:type="dxa" w:w="1560"/>
                  <w:shd w:val="clear" w:color="auto" w:fill="FFFFFF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b w:val="0"/>
                      <w:i w:val="0"/>
                      <w:color w:val="000000"/>
                      <w:sz w:val="18"/>
                    </w:rPr>
                    <w:t>Catastrophic</w:t>
                  </w:r>
                </w:p>
              </w:tc>
              <w:tc>
                <w:tcPr>
                  <w:tcW w:type="dxa" w:w="1560"/>
                  <w:shd w:val="clear" w:color="auto" w:fill="FFFFFF"/>
                  <w:vAlign w:val="center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 w:val="0"/>
                      <w:i w:val="0"/>
                      <w:color w:val="000000"/>
                      <w:sz w:val="18"/>
                    </w:rPr>
                    <w:t>Mission failure; financial loss &gt; $500K</w:t>
                  </w:r>
                </w:p>
              </w:tc>
            </w:tr>
            <w:tr>
              <w:tc>
                <w:tcPr>
                  <w:tcW w:type="dxa" w:w="1560"/>
                  <w:shd w:val="clear" w:color="auto" w:fill="BDD7EE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b w:val="0"/>
                      <w:i w:val="0"/>
                      <w:color w:val="000000"/>
                      <w:sz w:val="18"/>
                    </w:rPr>
                    <w:t>2</w:t>
                  </w:r>
                </w:p>
              </w:tc>
              <w:tc>
                <w:tcPr>
                  <w:tcW w:type="dxa" w:w="1560"/>
                  <w:shd w:val="clear" w:color="auto" w:fill="BDD7EE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b w:val="0"/>
                      <w:i w:val="0"/>
                      <w:color w:val="000000"/>
                      <w:sz w:val="18"/>
                    </w:rPr>
                    <w:t>Critical</w:t>
                  </w:r>
                </w:p>
              </w:tc>
              <w:tc>
                <w:tcPr>
                  <w:tcW w:type="dxa" w:w="1560"/>
                  <w:shd w:val="clear" w:color="auto" w:fill="BDD7EE"/>
                  <w:vAlign w:val="center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 w:val="0"/>
                      <w:i w:val="0"/>
                      <w:color w:val="000000"/>
                      <w:sz w:val="18"/>
                    </w:rPr>
                    <w:t>Significant degradation; $100K – $500K</w:t>
                  </w:r>
                </w:p>
              </w:tc>
            </w:tr>
            <w:tr>
              <w:tc>
                <w:tcPr>
                  <w:tcW w:type="dxa" w:w="1560"/>
                  <w:shd w:val="clear" w:color="auto" w:fill="FFFFFF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b w:val="0"/>
                      <w:i w:val="0"/>
                      <w:color w:val="000000"/>
                      <w:sz w:val="18"/>
                    </w:rPr>
                    <w:t>3</w:t>
                  </w:r>
                </w:p>
              </w:tc>
              <w:tc>
                <w:tcPr>
                  <w:tcW w:type="dxa" w:w="1560"/>
                  <w:shd w:val="clear" w:color="auto" w:fill="FFFFFF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b w:val="0"/>
                      <w:i w:val="0"/>
                      <w:color w:val="000000"/>
                      <w:sz w:val="18"/>
                    </w:rPr>
                    <w:t>Marginal</w:t>
                  </w:r>
                </w:p>
              </w:tc>
              <w:tc>
                <w:tcPr>
                  <w:tcW w:type="dxa" w:w="1560"/>
                  <w:shd w:val="clear" w:color="auto" w:fill="FFFFFF"/>
                  <w:vAlign w:val="center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 w:val="0"/>
                      <w:i w:val="0"/>
                      <w:color w:val="000000"/>
                      <w:sz w:val="18"/>
                    </w:rPr>
                    <w:t>Minor degradation; $1K – $100K</w:t>
                  </w:r>
                </w:p>
              </w:tc>
            </w:tr>
            <w:tr>
              <w:tc>
                <w:tcPr>
                  <w:tcW w:type="dxa" w:w="1560"/>
                  <w:shd w:val="clear" w:color="auto" w:fill="BDD7EE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b w:val="0"/>
                      <w:i w:val="0"/>
                      <w:color w:val="000000"/>
                      <w:sz w:val="18"/>
                    </w:rPr>
                    <w:t>4</w:t>
                  </w:r>
                </w:p>
              </w:tc>
              <w:tc>
                <w:tcPr>
                  <w:tcW w:type="dxa" w:w="1560"/>
                  <w:shd w:val="clear" w:color="auto" w:fill="BDD7EE"/>
                  <w:vAlign w:val="cente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b w:val="0"/>
                      <w:i w:val="0"/>
                      <w:color w:val="000000"/>
                      <w:sz w:val="18"/>
                    </w:rPr>
                    <w:t>Negligible</w:t>
                  </w:r>
                </w:p>
              </w:tc>
              <w:tc>
                <w:tcPr>
                  <w:tcW w:type="dxa" w:w="1560"/>
                  <w:shd w:val="clear" w:color="auto" w:fill="BDD7EE"/>
                  <w:vAlign w:val="center"/>
                </w:tcPr>
                <w:p>
                  <w:pPr>
                    <w:spacing w:before="20" w:after="20"/>
                    <w:jc w:val="left"/>
                  </w:pPr>
                  <w:r>
                    <w:rPr>
                      <w:b w:val="0"/>
                      <w:i w:val="0"/>
                      <w:color w:val="000000"/>
                      <w:sz w:val="18"/>
                    </w:rPr>
                    <w:t>Minor inconvenience; &lt; $1K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spacing w:before="200" w:after="60"/>
        <w:jc w:val="left"/>
      </w:pPr>
      <w:r>
        <w:rPr>
          <w:b/>
          <w:color w:val="1F3B6B"/>
          <w:sz w:val="26"/>
        </w:rPr>
        <w:t>2.  Step 1 – Risk Table (Initial Identification)</w:t>
      </w:r>
    </w:p>
    <w:p>
      <w:pPr>
        <w:spacing w:before="40" w:after="40"/>
        <w:jc w:val="both"/>
      </w:pPr>
      <w:r>
        <w:rPr>
          <w:i w:val="0"/>
          <w:color w:val="000000"/>
          <w:sz w:val="20"/>
        </w:rPr>
        <w:t>All identified risks are listed below with a unique ID, description, category, estimated probability, impact level, and a brief RMMM reference.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624"/>
        <w:gridCol w:w="3005"/>
        <w:gridCol w:w="907"/>
        <w:gridCol w:w="1077"/>
        <w:gridCol w:w="1077"/>
        <w:gridCol w:w="2336"/>
      </w:tblGrid>
      <w:tr>
        <w:trPr>
          <w:cantSplit w:val="1"/>
        </w:trPr>
        <w:tc>
          <w:tcPr>
            <w:tcW w:type="dxa" w:w="1560"/>
            <w:shd w:val="clear" w:color="auto" w:fill="1F3B6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Risk</w:t>
              <w:br/>
              <w:t>ID</w:t>
            </w:r>
          </w:p>
        </w:tc>
        <w:tc>
          <w:tcPr>
            <w:tcW w:type="dxa" w:w="1560"/>
            <w:shd w:val="clear" w:color="auto" w:fill="1F3B6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Risk Description</w:t>
            </w:r>
          </w:p>
        </w:tc>
        <w:tc>
          <w:tcPr>
            <w:tcW w:type="dxa" w:w="1560"/>
            <w:shd w:val="clear" w:color="auto" w:fill="1F3B6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Cat.</w:t>
            </w:r>
          </w:p>
        </w:tc>
        <w:tc>
          <w:tcPr>
            <w:tcW w:type="dxa" w:w="1560"/>
            <w:shd w:val="clear" w:color="auto" w:fill="1F3B6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Probability</w:t>
            </w:r>
          </w:p>
        </w:tc>
        <w:tc>
          <w:tcPr>
            <w:tcW w:type="dxa" w:w="1560"/>
            <w:shd w:val="clear" w:color="auto" w:fill="1F3B6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Impact</w:t>
            </w:r>
          </w:p>
        </w:tc>
        <w:tc>
          <w:tcPr>
            <w:tcW w:type="dxa" w:w="1560"/>
            <w:shd w:val="clear" w:color="auto" w:fill="1F3B6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RMMM Summary</w:t>
            </w:r>
          </w:p>
        </w:tc>
      </w:tr>
      <w:tr>
        <w:trPr>
          <w:cantSplit w:val="1"/>
        </w:trPr>
        <w:tc>
          <w:tcPr>
            <w:tcW w:type="dxa" w:w="156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R1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Rapid scope expansion due to evolving enterprise requirements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BU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70%</w:t>
              <w:br/>
              <w:t>(High)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3 – Marginal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Define and freeze scope clearly; get stakeholder sign-off; use change-contr…</w:t>
            </w:r>
          </w:p>
        </w:tc>
      </w:tr>
      <w:tr>
        <w:trPr>
          <w:cantSplit w:val="1"/>
        </w:trPr>
        <w:tc>
          <w:tcPr>
            <w:tcW w:type="dxa" w:w="1560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R2</w:t>
            </w:r>
          </w:p>
        </w:tc>
        <w:tc>
          <w:tcPr>
            <w:tcW w:type="dxa" w:w="1560"/>
            <w:shd w:val="clear" w:color="auto" w:fill="BDD7EE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AI/ML service integration complexity causes schedule delays</w:t>
            </w:r>
          </w:p>
        </w:tc>
        <w:tc>
          <w:tcPr>
            <w:tcW w:type="dxa" w:w="1560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TE</w:t>
            </w:r>
          </w:p>
        </w:tc>
        <w:tc>
          <w:tcPr>
            <w:tcW w:type="dxa" w:w="1560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65%</w:t>
              <w:br/>
              <w:t>(High)</w:t>
            </w:r>
          </w:p>
        </w:tc>
        <w:tc>
          <w:tcPr>
            <w:tcW w:type="dxa" w:w="1560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2 – Critical</w:t>
            </w:r>
          </w:p>
        </w:tc>
        <w:tc>
          <w:tcPr>
            <w:tcW w:type="dxa" w:w="1560"/>
            <w:shd w:val="clear" w:color="auto" w:fill="BDD7EE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Spike AI/ML modules early; use containerised ML pipelines; allocate 20 % sc…</w:t>
            </w:r>
          </w:p>
        </w:tc>
      </w:tr>
      <w:tr>
        <w:trPr>
          <w:cantSplit w:val="1"/>
        </w:trPr>
        <w:tc>
          <w:tcPr>
            <w:tcW w:type="dxa" w:w="156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R3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Data security breach or unauthorised access to sensitive business data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PS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55%</w:t>
              <w:br/>
              <w:t>(Medium)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1 – Catastrophic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Enforce JWT + TOTP 2FA; implement RBAC with least-privilege; run quarterly…</w:t>
            </w:r>
          </w:p>
        </w:tc>
      </w:tr>
      <w:tr>
        <w:trPr>
          <w:cantSplit w:val="1"/>
        </w:trPr>
        <w:tc>
          <w:tcPr>
            <w:tcW w:type="dxa" w:w="1560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R4</w:t>
            </w:r>
          </w:p>
        </w:tc>
        <w:tc>
          <w:tcPr>
            <w:tcW w:type="dxa" w:w="1560"/>
            <w:shd w:val="clear" w:color="auto" w:fill="BDD7EE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Third-party service outage (Supabase, Redis, Groq AI) disrupts operations</w:t>
            </w:r>
          </w:p>
        </w:tc>
        <w:tc>
          <w:tcPr>
            <w:tcW w:type="dxa" w:w="1560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DE</w:t>
            </w:r>
          </w:p>
        </w:tc>
        <w:tc>
          <w:tcPr>
            <w:tcW w:type="dxa" w:w="1560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50%</w:t>
              <w:br/>
              <w:t>(Medium)</w:t>
            </w:r>
          </w:p>
        </w:tc>
        <w:tc>
          <w:tcPr>
            <w:tcW w:type="dxa" w:w="1560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2 – Critical</w:t>
            </w:r>
          </w:p>
        </w:tc>
        <w:tc>
          <w:tcPr>
            <w:tcW w:type="dxa" w:w="1560"/>
            <w:shd w:val="clear" w:color="auto" w:fill="BDD7EE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Implement in-memory fallback for all ERP ops; use Redis caching; configure…</w:t>
            </w:r>
          </w:p>
        </w:tc>
      </w:tr>
      <w:tr>
        <w:trPr>
          <w:cantSplit w:val="1"/>
        </w:trPr>
        <w:tc>
          <w:tcPr>
            <w:tcW w:type="dxa" w:w="156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R5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Team skill gaps with advanced tech stack (FastAPI, Frappe, K8s, ML)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ST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45%</w:t>
              <w:br/>
              <w:t>(Medium)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2 – Critical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Conduct training sessions on key technologies; pair experienced devs with j…</w:t>
            </w:r>
          </w:p>
        </w:tc>
      </w:tr>
      <w:tr>
        <w:trPr>
          <w:cantSplit w:val="1"/>
        </w:trPr>
        <w:tc>
          <w:tcPr>
            <w:tcW w:type="dxa" w:w="1560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R6</w:t>
            </w:r>
          </w:p>
        </w:tc>
        <w:tc>
          <w:tcPr>
            <w:tcW w:type="dxa" w:w="1560"/>
            <w:shd w:val="clear" w:color="auto" w:fill="BDD7EE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Performance degradation under high concurrent user load</w:t>
            </w:r>
          </w:p>
        </w:tc>
        <w:tc>
          <w:tcPr>
            <w:tcW w:type="dxa" w:w="1560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PS</w:t>
            </w:r>
          </w:p>
        </w:tc>
        <w:tc>
          <w:tcPr>
            <w:tcW w:type="dxa" w:w="1560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40%</w:t>
              <w:br/>
              <w:t>(Medium)</w:t>
            </w:r>
          </w:p>
        </w:tc>
        <w:tc>
          <w:tcPr>
            <w:tcW w:type="dxa" w:w="1560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2 – Critical</w:t>
            </w:r>
          </w:p>
        </w:tc>
        <w:tc>
          <w:tcPr>
            <w:tcW w:type="dxa" w:w="1560"/>
            <w:shd w:val="clear" w:color="auto" w:fill="BDD7EE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Load test with target concurrency before each release; use K8s HPA (3-repli…</w:t>
            </w:r>
          </w:p>
        </w:tc>
      </w:tr>
      <w:tr>
        <w:trPr>
          <w:cantSplit w:val="1"/>
        </w:trPr>
        <w:tc>
          <w:tcPr>
            <w:tcW w:type="dxa" w:w="156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R7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Customer resistance to adopting the new integrated ERP platform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CU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35%</w:t>
              <w:br/>
              <w:t>(Low)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3 – Marginal</w:t>
            </w:r>
          </w:p>
        </w:tc>
        <w:tc>
          <w:tcPr>
            <w:tcW w:type="dxa" w:w="156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Involve key stakeholders in design reviews; provide onboarding tutorials; o…</w:t>
            </w:r>
          </w:p>
        </w:tc>
      </w:tr>
      <w:tr>
        <w:trPr>
          <w:cantSplit w:val="1"/>
        </w:trPr>
        <w:tc>
          <w:tcPr>
            <w:tcW w:type="dxa" w:w="1560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R8</w:t>
            </w:r>
          </w:p>
        </w:tc>
        <w:tc>
          <w:tcPr>
            <w:tcW w:type="dxa" w:w="1560"/>
            <w:shd w:val="clear" w:color="auto" w:fill="BDD7EE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Budget overrun due to underestimated infrastructure and AI API costs</w:t>
            </w:r>
          </w:p>
        </w:tc>
        <w:tc>
          <w:tcPr>
            <w:tcW w:type="dxa" w:w="1560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BU</w:t>
            </w:r>
          </w:p>
        </w:tc>
        <w:tc>
          <w:tcPr>
            <w:tcW w:type="dxa" w:w="1560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30%</w:t>
              <w:br/>
              <w:t>(Low)</w:t>
            </w:r>
          </w:p>
        </w:tc>
        <w:tc>
          <w:tcPr>
            <w:tcW w:type="dxa" w:w="1560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2 – Critical</w:t>
            </w:r>
          </w:p>
        </w:tc>
        <w:tc>
          <w:tcPr>
            <w:tcW w:type="dxa" w:w="1560"/>
            <w:shd w:val="clear" w:color="auto" w:fill="BDD7EE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7"/>
              </w:rPr>
              <w:t>Perform detailed cloud-cost modelling before sprint starts; set budget aler…</w:t>
            </w:r>
          </w:p>
        </w:tc>
      </w:tr>
    </w:tbl>
    <w:p>
      <w:r>
        <w:br w:type="page"/>
      </w:r>
    </w:p>
    <w:p>
      <w:pPr>
        <w:spacing w:before="200" w:after="60"/>
        <w:jc w:val="left"/>
      </w:pPr>
      <w:r>
        <w:rPr>
          <w:b/>
          <w:color w:val="1F3B6B"/>
          <w:sz w:val="26"/>
        </w:rPr>
        <w:t>3.  Step 2 – Risk Table Sorted by Probability (Descending)</w:t>
      </w:r>
    </w:p>
    <w:p>
      <w:pPr>
        <w:spacing w:before="40" w:after="40"/>
        <w:jc w:val="both"/>
      </w:pPr>
      <w:r>
        <w:rPr>
          <w:i w:val="0"/>
          <w:color w:val="000000"/>
          <w:sz w:val="20"/>
        </w:rPr>
        <w:t>Risks re-ordered in descending probability so that the highest-likelihood risks receive the most immediate management attention.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624"/>
        <w:gridCol w:w="3572"/>
        <w:gridCol w:w="907"/>
        <w:gridCol w:w="1247"/>
        <w:gridCol w:w="2676"/>
      </w:tblGrid>
      <w:tr>
        <w:trPr>
          <w:cantSplit w:val="1"/>
        </w:trPr>
        <w:tc>
          <w:tcPr>
            <w:tcW w:type="dxa" w:w="1872"/>
            <w:shd w:val="clear" w:color="auto" w:fill="1F3B6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Risk</w:t>
              <w:br/>
              <w:t>ID</w:t>
            </w:r>
          </w:p>
        </w:tc>
        <w:tc>
          <w:tcPr>
            <w:tcW w:type="dxa" w:w="1872"/>
            <w:shd w:val="clear" w:color="auto" w:fill="1F3B6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Risk Description</w:t>
            </w:r>
          </w:p>
        </w:tc>
        <w:tc>
          <w:tcPr>
            <w:tcW w:type="dxa" w:w="1872"/>
            <w:shd w:val="clear" w:color="auto" w:fill="1F3B6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Cat.</w:t>
            </w:r>
          </w:p>
        </w:tc>
        <w:tc>
          <w:tcPr>
            <w:tcW w:type="dxa" w:w="1872"/>
            <w:shd w:val="clear" w:color="auto" w:fill="1F3B6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Probability</w:t>
            </w:r>
          </w:p>
        </w:tc>
        <w:tc>
          <w:tcPr>
            <w:tcW w:type="dxa" w:w="1872"/>
            <w:shd w:val="clear" w:color="auto" w:fill="1F3B6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Impact Level</w:t>
            </w:r>
          </w:p>
        </w:tc>
      </w:tr>
      <w:tr>
        <w:trPr>
          <w:cantSplit w:val="1"/>
        </w:trPr>
        <w:tc>
          <w:tcPr>
            <w:tcW w:type="dxa" w:w="187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R1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Rapid scope expansion due to evolving enterprise requirements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BU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70%</w:t>
              <w:br/>
              <w:t>(High)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3 – Marginal</w:t>
            </w:r>
          </w:p>
        </w:tc>
      </w:tr>
      <w:tr>
        <w:trPr>
          <w:cantSplit w:val="1"/>
        </w:trPr>
        <w:tc>
          <w:tcPr>
            <w:tcW w:type="dxa" w:w="1872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R2</w:t>
            </w:r>
          </w:p>
        </w:tc>
        <w:tc>
          <w:tcPr>
            <w:tcW w:type="dxa" w:w="1872"/>
            <w:shd w:val="clear" w:color="auto" w:fill="BDD7EE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AI/ML service integration complexity causes schedule delays</w:t>
            </w:r>
          </w:p>
        </w:tc>
        <w:tc>
          <w:tcPr>
            <w:tcW w:type="dxa" w:w="1872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TE</w:t>
            </w:r>
          </w:p>
        </w:tc>
        <w:tc>
          <w:tcPr>
            <w:tcW w:type="dxa" w:w="1872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65%</w:t>
              <w:br/>
              <w:t>(High)</w:t>
            </w:r>
          </w:p>
        </w:tc>
        <w:tc>
          <w:tcPr>
            <w:tcW w:type="dxa" w:w="1872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2 – Critical</w:t>
            </w:r>
          </w:p>
        </w:tc>
      </w:tr>
      <w:tr>
        <w:trPr>
          <w:cantSplit w:val="1"/>
        </w:trPr>
        <w:tc>
          <w:tcPr>
            <w:tcW w:type="dxa" w:w="187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R3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Data security breach or unauthorised access to sensitive business data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PS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55%</w:t>
              <w:br/>
              <w:t>(Medium)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1 – Catastrophic</w:t>
            </w:r>
          </w:p>
        </w:tc>
      </w:tr>
      <w:tr>
        <w:trPr>
          <w:cantSplit w:val="1"/>
        </w:trPr>
        <w:tc>
          <w:tcPr>
            <w:tcW w:type="dxa" w:w="1872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R4</w:t>
            </w:r>
          </w:p>
        </w:tc>
        <w:tc>
          <w:tcPr>
            <w:tcW w:type="dxa" w:w="1872"/>
            <w:shd w:val="clear" w:color="auto" w:fill="BDD7EE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Third-party service outage (Supabase, Redis, Groq AI) disrupts operations</w:t>
            </w:r>
          </w:p>
        </w:tc>
        <w:tc>
          <w:tcPr>
            <w:tcW w:type="dxa" w:w="1872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DE</w:t>
            </w:r>
          </w:p>
        </w:tc>
        <w:tc>
          <w:tcPr>
            <w:tcW w:type="dxa" w:w="1872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50%</w:t>
              <w:br/>
              <w:t>(Medium)</w:t>
            </w:r>
          </w:p>
        </w:tc>
        <w:tc>
          <w:tcPr>
            <w:tcW w:type="dxa" w:w="1872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2 – Critical</w:t>
            </w:r>
          </w:p>
        </w:tc>
      </w:tr>
      <w:tr>
        <w:trPr>
          <w:cantSplit w:val="1"/>
        </w:trPr>
        <w:tc>
          <w:tcPr>
            <w:tcW w:type="dxa" w:w="187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R5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Team skill gaps with advanced tech stack (FastAPI, Frappe, K8s, ML)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ST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45%</w:t>
              <w:br/>
              <w:t>(Medium)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2 – Critical</w:t>
            </w:r>
          </w:p>
        </w:tc>
      </w:tr>
      <w:tr>
        <w:trPr>
          <w:cantSplit w:val="1"/>
        </w:trPr>
        <w:tc>
          <w:tcPr>
            <w:tcW w:type="dxa" w:w="1872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R6</w:t>
            </w:r>
          </w:p>
        </w:tc>
        <w:tc>
          <w:tcPr>
            <w:tcW w:type="dxa" w:w="1872"/>
            <w:shd w:val="clear" w:color="auto" w:fill="BDD7EE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Performance degradation under high concurrent user load</w:t>
            </w:r>
          </w:p>
        </w:tc>
        <w:tc>
          <w:tcPr>
            <w:tcW w:type="dxa" w:w="1872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PS</w:t>
            </w:r>
          </w:p>
        </w:tc>
        <w:tc>
          <w:tcPr>
            <w:tcW w:type="dxa" w:w="1872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40%</w:t>
              <w:br/>
              <w:t>(Medium)</w:t>
            </w:r>
          </w:p>
        </w:tc>
        <w:tc>
          <w:tcPr>
            <w:tcW w:type="dxa" w:w="1872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2 – Critical</w:t>
            </w:r>
          </w:p>
        </w:tc>
      </w:tr>
      <w:tr>
        <w:trPr>
          <w:cantSplit w:val="1"/>
        </w:trPr>
        <w:tc>
          <w:tcPr>
            <w:tcW w:type="dxa" w:w="187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R7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Customer resistance to adopting the new integrated ERP platform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CU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35%</w:t>
              <w:br/>
              <w:t>(Low)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3 – Marginal</w:t>
            </w:r>
          </w:p>
        </w:tc>
      </w:tr>
      <w:tr>
        <w:trPr>
          <w:cantSplit w:val="1"/>
        </w:trPr>
        <w:tc>
          <w:tcPr>
            <w:tcW w:type="dxa" w:w="1872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R8</w:t>
            </w:r>
          </w:p>
        </w:tc>
        <w:tc>
          <w:tcPr>
            <w:tcW w:type="dxa" w:w="1872"/>
            <w:shd w:val="clear" w:color="auto" w:fill="BDD7EE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8"/>
              </w:rPr>
              <w:t>Budget overrun due to underestimated infrastructure and AI API costs</w:t>
            </w:r>
          </w:p>
        </w:tc>
        <w:tc>
          <w:tcPr>
            <w:tcW w:type="dxa" w:w="1872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000000"/>
                <w:sz w:val="18"/>
              </w:rPr>
              <w:t>BU</w:t>
            </w:r>
          </w:p>
        </w:tc>
        <w:tc>
          <w:tcPr>
            <w:tcW w:type="dxa" w:w="1872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30%</w:t>
              <w:br/>
              <w:t>(Low)</w:t>
            </w:r>
          </w:p>
        </w:tc>
        <w:tc>
          <w:tcPr>
            <w:tcW w:type="dxa" w:w="1872"/>
            <w:shd w:val="clear" w:color="auto" w:fill="BDD7EE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8"/>
              </w:rPr>
              <w:t>2 – Critical</w:t>
            </w:r>
          </w:p>
        </w:tc>
      </w:tr>
    </w:tbl>
    <w:p>
      <w:r>
        <w:br w:type="page"/>
      </w:r>
    </w:p>
    <w:p>
      <w:pPr>
        <w:spacing w:before="200" w:after="60"/>
        <w:jc w:val="left"/>
      </w:pPr>
      <w:r>
        <w:rPr>
          <w:b/>
          <w:color w:val="1F3B6B"/>
          <w:sz w:val="26"/>
        </w:rPr>
        <w:t>4.  Step 3 – Risk Information Sheets (RIS)</w:t>
      </w:r>
    </w:p>
    <w:p>
      <w:pPr>
        <w:spacing w:before="40" w:after="40"/>
        <w:jc w:val="both"/>
      </w:pPr>
      <w:r>
        <w:rPr>
          <w:i w:val="0"/>
          <w:color w:val="000000"/>
          <w:sz w:val="20"/>
        </w:rPr>
        <w:t>A Risk Information Sheet is produced for each of the eight identified risks.  Each sheet details sub-conditions, mitigation strategies, contingency plans, trigger criteria, and ownership assignments.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</w:tblPr>
      <w:tblGrid>
        <w:gridCol w:w="9360"/>
      </w:tblGrid>
      <w:tr>
        <w:tc>
          <w:tcPr>
            <w:tcW w:type="dxa" w:w="9360"/>
            <w:shd w:val="clear" w:color="auto" w:fill="1F3B6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20"/>
              </w:rPr>
              <w:t>Risk Information Sheet (RIS)   |   Risk ID: R1   |   Probability: 70 % (High)   |   Impact: 3 – Marginal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</w:tblPr>
      <w:tblGrid>
        <w:gridCol w:w="2256"/>
        <w:gridCol w:w="2256"/>
        <w:gridCol w:w="2256"/>
        <w:gridCol w:w="2256"/>
      </w:tblGrid>
      <w:tr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Date:  </w:t>
            </w:r>
            <w:r>
              <w:rPr>
                <w:color w:val="000000"/>
                <w:sz w:val="17"/>
              </w:rPr>
              <w:t>24 / 04 / 2026</w:t>
            </w:r>
          </w:p>
        </w:tc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Category:  </w:t>
            </w:r>
            <w:r>
              <w:rPr>
                <w:color w:val="000000"/>
                <w:sz w:val="17"/>
              </w:rPr>
              <w:t>BU – Business Impact</w:t>
            </w:r>
          </w:p>
        </w:tc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Assigned To:  </w:t>
            </w:r>
            <w:r>
              <w:rPr>
                <w:color w:val="000000"/>
                <w:sz w:val="17"/>
              </w:rPr>
              <w:t>Prahallad Padhan  (Product Owner)</w:t>
            </w:r>
          </w:p>
        </w:tc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Originator:  </w:t>
            </w:r>
            <w:r>
              <w:rPr>
                <w:color w:val="000000"/>
                <w:sz w:val="17"/>
              </w:rPr>
              <w:t>Ranveer Rai Khare  (Scrum Master)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2154"/>
        <w:gridCol w:w="6871"/>
      </w:tblGrid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6871"/>
            <w:shd w:val="clear" w:color="auto" w:fill="E2EFDA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Stakeholders continuously request additional features beyond the agreed scope, resulting in schedule slippage and cost overrun.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Refinement &amp;</w:t>
              <w:br/>
              <w:t>Context</w:t>
              <w:br/>
              <w:t>(Sub-conditions)</w:t>
            </w:r>
          </w:p>
        </w:tc>
        <w:tc>
          <w:tcPr>
            <w:tcW w:type="dxa" w:w="687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 xml:space="preserve">  Sub-condition 1:  Requirements were collected informally without formal sign-off.</w:t>
              <w:br/>
              <w:t xml:space="preserve">  Sub-condition 2:  Multiple stakeholder groups have conflicting priorities.</w:t>
              <w:br/>
              <w:t xml:space="preserve">  Sub-condition 3:  Market changes prompt leadership to request mid-sprint additions.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Mitigation &amp;</w:t>
              <w:br/>
              <w:t>Monitoring</w:t>
              <w:br/>
              <w:t>Strategies</w:t>
            </w:r>
          </w:p>
        </w:tc>
        <w:tc>
          <w:tcPr>
            <w:tcW w:type="dxa" w:w="6871"/>
            <w:shd w:val="clear" w:color="auto" w:fill="E2EFDA"/>
            <w:vAlign w:val="top"/>
          </w:tcPr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1.  Establish a formal Change Control Board (CCB) with documented approval workflows.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2.  Baseline scope in a signed Software Requirements Specification (SRS).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3.  Use backlog grooming to assess impact of every change before acceptance.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4.  Set a sprint change-freeze policy: no new requirements after sprint planning.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Contingency Plan</w:t>
              <w:br/>
              <w:t>&amp; Management</w:t>
            </w:r>
          </w:p>
        </w:tc>
        <w:tc>
          <w:tcPr>
            <w:tcW w:type="dxa" w:w="6871"/>
            <w:shd w:val="clear" w:color="auto" w:fill="FFFFFF"/>
            <w:vAlign w:val="top"/>
          </w:tcPr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1.  Renegotiate project timeline and budget for every approved change.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2.  Defer non-critical features to a future release roadmap.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3.  Escalate to project sponsor if scope growth exceeds 15 % of baseline.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4.  Initiate a formal re-baselining with an updated WBS.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Trigger</w:t>
            </w:r>
          </w:p>
        </w:tc>
        <w:tc>
          <w:tcPr>
            <w:tcW w:type="dxa" w:w="6871"/>
            <w:shd w:val="clear" w:color="auto" w:fill="E2EFDA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Approved change requests exceed 10 % of baseline story points in any sprint.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</w:tblPr>
      <w:tblGrid>
        <w:gridCol w:w="9360"/>
      </w:tblGrid>
      <w:tr>
        <w:tc>
          <w:tcPr>
            <w:tcW w:type="dxa" w:w="9360"/>
            <w:shd w:val="clear" w:color="auto" w:fill="1F3B6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20"/>
              </w:rPr>
              <w:t>Risk Information Sheet (RIS)   |   Risk ID: R2   |   Probability: 65 % (High)   |   Impact: 2 – Critical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</w:tblPr>
      <w:tblGrid>
        <w:gridCol w:w="2256"/>
        <w:gridCol w:w="2256"/>
        <w:gridCol w:w="2256"/>
        <w:gridCol w:w="2256"/>
      </w:tblGrid>
      <w:tr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Date:  </w:t>
            </w:r>
            <w:r>
              <w:rPr>
                <w:color w:val="000000"/>
                <w:sz w:val="17"/>
              </w:rPr>
              <w:t>24 / 04 / 2026</w:t>
            </w:r>
          </w:p>
        </w:tc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Category:  </w:t>
            </w:r>
            <w:r>
              <w:rPr>
                <w:color w:val="000000"/>
                <w:sz w:val="17"/>
              </w:rPr>
              <w:t>TE – Technology to be Built</w:t>
            </w:r>
          </w:p>
        </w:tc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Assigned To:  </w:t>
            </w:r>
            <w:r>
              <w:rPr>
                <w:color w:val="000000"/>
                <w:sz w:val="17"/>
              </w:rPr>
              <w:t>Shivansh Srivastava  (Product Developer)</w:t>
            </w:r>
          </w:p>
        </w:tc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Originator:  </w:t>
            </w:r>
            <w:r>
              <w:rPr>
                <w:color w:val="000000"/>
                <w:sz w:val="17"/>
              </w:rPr>
              <w:t>Ranveer Rai Khare  (Scrum Master)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2154"/>
        <w:gridCol w:w="6871"/>
      </w:tblGrid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6871"/>
            <w:shd w:val="clear" w:color="auto" w:fill="E2EFDA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Integration of AI/ML services (anomaly detection, fraud scoring, dynamic pricing, predictive inventory, lead scoring) is more complex than estimated, causing schedule delays and performance issues.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Refinement &amp;</w:t>
              <w:br/>
              <w:t>Context</w:t>
              <w:br/>
              <w:t>(Sub-conditions)</w:t>
            </w:r>
          </w:p>
        </w:tc>
        <w:tc>
          <w:tcPr>
            <w:tcW w:type="dxa" w:w="687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 xml:space="preserve">  Sub-condition 1:  AI/ML libraries require dependency resolution across Python versions.</w:t>
              <w:br/>
              <w:t xml:space="preserve">  Sub-condition 2:  Model training data quality is lower than expected.</w:t>
              <w:br/>
              <w:t xml:space="preserve">  Sub-condition 3:  Real-time inference latency does not meet the ≤ 200 ms SLA.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Mitigation &amp;</w:t>
              <w:br/>
              <w:t>Monitoring</w:t>
              <w:br/>
              <w:t>Strategies</w:t>
            </w:r>
          </w:p>
        </w:tc>
        <w:tc>
          <w:tcPr>
            <w:tcW w:type="dxa" w:w="6871"/>
            <w:shd w:val="clear" w:color="auto" w:fill="E2EFDA"/>
            <w:vAlign w:val="top"/>
          </w:tcPr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1.  Allocate a dedicated 2-week AI/ML spike at the start of each milestone.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2.  Containerise all ML services independently to isolate failures.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3.  Implement rule-based fallback logic for each ML service if a model is unavailable.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4.  Track model accuracy and latency metrics via the monitoring dashboard.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Contingency Plan</w:t>
              <w:br/>
              <w:t>&amp; Management</w:t>
            </w:r>
          </w:p>
        </w:tc>
        <w:tc>
          <w:tcPr>
            <w:tcW w:type="dxa" w:w="6871"/>
            <w:shd w:val="clear" w:color="auto" w:fill="FFFFFF"/>
            <w:vAlign w:val="top"/>
          </w:tcPr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1.  Substitute unavailable ML features with enhanced rule-based approximations.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2.  Extend sprint timeline by up to 20 % buffer for AI integration blockers.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3.  Reduce AI feature scope to core functions only for the initial release.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4.  Engage an external ML consultant if internal team cannot resolve blockers.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Trigger</w:t>
            </w:r>
          </w:p>
        </w:tc>
        <w:tc>
          <w:tcPr>
            <w:tcW w:type="dxa" w:w="6871"/>
            <w:shd w:val="clear" w:color="auto" w:fill="E2EFDA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AI/ML integration tasks remain blocked for more than 3 consecutive days.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</w:tblPr>
      <w:tblGrid>
        <w:gridCol w:w="9360"/>
      </w:tblGrid>
      <w:tr>
        <w:tc>
          <w:tcPr>
            <w:tcW w:type="dxa" w:w="9360"/>
            <w:shd w:val="clear" w:color="auto" w:fill="1F3B6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20"/>
              </w:rPr>
              <w:t>Risk Information Sheet (RIS)   |   Risk ID: R3   |   Probability: 55 % (Medium)   |   Impact: 1 – Catastrophic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</w:tblPr>
      <w:tblGrid>
        <w:gridCol w:w="2256"/>
        <w:gridCol w:w="2256"/>
        <w:gridCol w:w="2256"/>
        <w:gridCol w:w="2256"/>
      </w:tblGrid>
      <w:tr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Date:  </w:t>
            </w:r>
            <w:r>
              <w:rPr>
                <w:color w:val="000000"/>
                <w:sz w:val="17"/>
              </w:rPr>
              <w:t>24 / 04 / 2026</w:t>
            </w:r>
          </w:p>
        </w:tc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Category:  </w:t>
            </w:r>
            <w:r>
              <w:rPr>
                <w:color w:val="000000"/>
                <w:sz w:val="17"/>
              </w:rPr>
              <w:t>PS – Product Size</w:t>
            </w:r>
          </w:p>
        </w:tc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Assigned To:  </w:t>
            </w:r>
            <w:r>
              <w:rPr>
                <w:color w:val="000000"/>
                <w:sz w:val="17"/>
              </w:rPr>
              <w:t>Shivansh Srivastava  (Product Developer)</w:t>
            </w:r>
          </w:p>
        </w:tc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Originator:  </w:t>
            </w:r>
            <w:r>
              <w:rPr>
                <w:color w:val="000000"/>
                <w:sz w:val="17"/>
              </w:rPr>
              <w:t>Prahallad Padhan  (Product Owner)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2154"/>
        <w:gridCol w:w="6871"/>
      </w:tblGrid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6871"/>
            <w:shd w:val="clear" w:color="auto" w:fill="E2EFDA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Unauthorised access to sensitive business data (financial records, employee data, customer PII) due to exploited security vulnerabilities in the IBMS platform.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Refinement &amp;</w:t>
              <w:br/>
              <w:t>Context</w:t>
              <w:br/>
              <w:t>(Sub-conditions)</w:t>
            </w:r>
          </w:p>
        </w:tc>
        <w:tc>
          <w:tcPr>
            <w:tcW w:type="dxa" w:w="687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 xml:space="preserve">  Sub-condition 1:  JWT secret rotation not enforced; long-lived tokens become exploitable.</w:t>
              <w:br/>
              <w:t xml:space="preserve">  Sub-condition 2:  Supabase Row-Level Security (RLS) policies misconfigured for certain roles.</w:t>
              <w:br/>
              <w:t xml:space="preserve">  Sub-condition 3:  Third-party dependency with a known CVE included in the Docker image.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Mitigation &amp;</w:t>
              <w:br/>
              <w:t>Monitoring</w:t>
              <w:br/>
              <w:t>Strategies</w:t>
            </w:r>
          </w:p>
        </w:tc>
        <w:tc>
          <w:tcPr>
            <w:tcW w:type="dxa" w:w="6871"/>
            <w:shd w:val="clear" w:color="auto" w:fill="E2EFDA"/>
            <w:vAlign w:val="top"/>
          </w:tcPr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1.  Enforce JWT + TOTP 2FA for all admin and manager roles.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2.  Run automated penetration tests quarterly; patch Critical/High CVEs within 7 days.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3.  Verify and test Supabase RLS policies for every table before each release.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4.  Conduct monthly dependency vulnerability scans (pip-audit / OWASP Dependency-Check).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Contingency Plan</w:t>
              <w:br/>
              <w:t>&amp; Management</w:t>
            </w:r>
          </w:p>
        </w:tc>
        <w:tc>
          <w:tcPr>
            <w:tcW w:type="dxa" w:w="6871"/>
            <w:shd w:val="clear" w:color="auto" w:fill="FFFFFF"/>
            <w:vAlign w:val="top"/>
          </w:tcPr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1.  Immediately revoke all active sessions and force re-authentication on breach.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2.  Notify affected stakeholders and regulators within 72 hours per breach regulation.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3.  Engage a certified incident-response team to contain and remediate the breach.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4.  Perform a full post-incident security review and implement corrective controls.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Trigger</w:t>
            </w:r>
          </w:p>
        </w:tc>
        <w:tc>
          <w:tcPr>
            <w:tcW w:type="dxa" w:w="6871"/>
            <w:shd w:val="clear" w:color="auto" w:fill="E2EFDA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Audit logs show access patterns inconsistent with normal user behaviour, or a CVE with CVSS ≥ 8.0 is disclosed for a used dependency.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</w:tblPr>
      <w:tblGrid>
        <w:gridCol w:w="9360"/>
      </w:tblGrid>
      <w:tr>
        <w:tc>
          <w:tcPr>
            <w:tcW w:type="dxa" w:w="9360"/>
            <w:shd w:val="clear" w:color="auto" w:fill="1F3B6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20"/>
              </w:rPr>
              <w:t>Risk Information Sheet (RIS)   |   Risk ID: R4   |   Probability: 50 % (Medium)   |   Impact: 2 – Critical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</w:tblPr>
      <w:tblGrid>
        <w:gridCol w:w="2256"/>
        <w:gridCol w:w="2256"/>
        <w:gridCol w:w="2256"/>
        <w:gridCol w:w="2256"/>
      </w:tblGrid>
      <w:tr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Date:  </w:t>
            </w:r>
            <w:r>
              <w:rPr>
                <w:color w:val="000000"/>
                <w:sz w:val="17"/>
              </w:rPr>
              <w:t>24 / 04 / 2026</w:t>
            </w:r>
          </w:p>
        </w:tc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Category:  </w:t>
            </w:r>
            <w:r>
              <w:rPr>
                <w:color w:val="000000"/>
                <w:sz w:val="17"/>
              </w:rPr>
              <w:t>DE – Development Environment</w:t>
            </w:r>
          </w:p>
        </w:tc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Assigned To:  </w:t>
            </w:r>
            <w:r>
              <w:rPr>
                <w:color w:val="000000"/>
                <w:sz w:val="17"/>
              </w:rPr>
              <w:t>Shivansh Srivastava  (Product Developer)</w:t>
            </w:r>
          </w:p>
        </w:tc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Originator:  </w:t>
            </w:r>
            <w:r>
              <w:rPr>
                <w:color w:val="000000"/>
                <w:sz w:val="17"/>
              </w:rPr>
              <w:t>Ranveer Rai Khare  (Scrum Master)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2154"/>
        <w:gridCol w:w="6871"/>
      </w:tblGrid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6871"/>
            <w:shd w:val="clear" w:color="auto" w:fill="E2EFDA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Outage or degradation of critical third-party services — Supabase, Redis, Groq AI API — disrupts core IBMS operations.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Refinement &amp;</w:t>
              <w:br/>
              <w:t>Context</w:t>
              <w:br/>
              <w:t>(Sub-conditions)</w:t>
            </w:r>
          </w:p>
        </w:tc>
        <w:tc>
          <w:tcPr>
            <w:tcW w:type="dxa" w:w="687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 xml:space="preserve">  Sub-condition 1:  Single-region Supabase deployment is a single point of failure.</w:t>
              <w:br/>
              <w:t xml:space="preserve">  Sub-condition 2:  Redis is not replicated; cache loss causes database overload.</w:t>
              <w:br/>
              <w:t xml:space="preserve">  Sub-condition 3:  Groq AI API rate limits are exceeded during peak usage.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Mitigation &amp;</w:t>
              <w:br/>
              <w:t>Monitoring</w:t>
              <w:br/>
              <w:t>Strategies</w:t>
            </w:r>
          </w:p>
        </w:tc>
        <w:tc>
          <w:tcPr>
            <w:tcW w:type="dxa" w:w="6871"/>
            <w:shd w:val="clear" w:color="auto" w:fill="E2EFDA"/>
            <w:vAlign w:val="top"/>
          </w:tcPr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1.  Implement in-memory fallback stores for all ERP ops when Supabase is unreachable.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2.  Deploy Redis with a replica and configure automatic failover.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3.  Cache Groq AI responses in Redis with appropriate TTL to reduce API call volume.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4.  Monitor /api/health endpoint; alert the team on any dependency degradation.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Contingency Plan</w:t>
              <w:br/>
              <w:t>&amp; Management</w:t>
            </w:r>
          </w:p>
        </w:tc>
        <w:tc>
          <w:tcPr>
            <w:tcW w:type="dxa" w:w="6871"/>
            <w:shd w:val="clear" w:color="auto" w:fill="FFFFFF"/>
            <w:vAlign w:val="top"/>
          </w:tcPr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1.  Activate manual override procedures for critical business operations.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2.  Switch to backup Supabase project or PostgreSQL if primary is down &gt; 1 hour.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3.  Disable AI-powered features temporarily; serve cached or default responses.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4.  Communicate service status and ETA to users via an in-app notification banner.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Trigger</w:t>
            </w:r>
          </w:p>
        </w:tc>
        <w:tc>
          <w:tcPr>
            <w:tcW w:type="dxa" w:w="6871"/>
            <w:shd w:val="clear" w:color="auto" w:fill="E2EFDA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Health-check endpoint reports a dependency as unhealthy for &gt; 5 minutes, or error rate exceeds 5 % over a 10-minute window.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</w:tblPr>
      <w:tblGrid>
        <w:gridCol w:w="9360"/>
      </w:tblGrid>
      <w:tr>
        <w:tc>
          <w:tcPr>
            <w:tcW w:type="dxa" w:w="9360"/>
            <w:shd w:val="clear" w:color="auto" w:fill="1F3B6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20"/>
              </w:rPr>
              <w:t>Risk Information Sheet (RIS)   |   Risk ID: R5   |   Probability: 45 % (Medium)   |   Impact: 2 – Critical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</w:tblPr>
      <w:tblGrid>
        <w:gridCol w:w="2256"/>
        <w:gridCol w:w="2256"/>
        <w:gridCol w:w="2256"/>
        <w:gridCol w:w="2256"/>
      </w:tblGrid>
      <w:tr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Date:  </w:t>
            </w:r>
            <w:r>
              <w:rPr>
                <w:color w:val="000000"/>
                <w:sz w:val="17"/>
              </w:rPr>
              <w:t>24 / 04 / 2026</w:t>
            </w:r>
          </w:p>
        </w:tc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Category:  </w:t>
            </w:r>
            <w:r>
              <w:rPr>
                <w:color w:val="000000"/>
                <w:sz w:val="17"/>
              </w:rPr>
              <w:t>ST – Staff Size &amp; Experience</w:t>
            </w:r>
          </w:p>
        </w:tc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Assigned To:  </w:t>
            </w:r>
            <w:r>
              <w:rPr>
                <w:color w:val="000000"/>
                <w:sz w:val="17"/>
              </w:rPr>
              <w:t>Ranveer Rai Khare  (Scrum Master)</w:t>
            </w:r>
          </w:p>
        </w:tc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Originator:  </w:t>
            </w:r>
            <w:r>
              <w:rPr>
                <w:color w:val="000000"/>
                <w:sz w:val="17"/>
              </w:rPr>
              <w:t>Prahallad Padhan  (Product Owner)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2154"/>
        <w:gridCol w:w="6871"/>
      </w:tblGrid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6871"/>
            <w:shd w:val="clear" w:color="auto" w:fill="E2EFDA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Team members lack sufficient experience with FastAPI async patterns, the Frappe framework, Kubernetes, or ML model deployment, leading to low-quality code and rework.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Refinement &amp;</w:t>
              <w:br/>
              <w:t>Context</w:t>
              <w:br/>
              <w:t>(Sub-conditions)</w:t>
            </w:r>
          </w:p>
        </w:tc>
        <w:tc>
          <w:tcPr>
            <w:tcW w:type="dxa" w:w="687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 xml:space="preserve">  Sub-condition 1:  New members unfamiliar with Frappe's hook system and DocType conventions.</w:t>
              <w:br/>
              <w:t xml:space="preserve">  Sub-condition 2:  Insufficient K8s experience leads to misconfigured deployment manifests.</w:t>
              <w:br/>
              <w:t xml:space="preserve">  Sub-condition 3:  Lack of async Python expertise causes blocking I/O anti-patterns in FastAPI.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Mitigation &amp;</w:t>
              <w:br/>
              <w:t>Monitoring</w:t>
              <w:br/>
              <w:t>Strategies</w:t>
            </w:r>
          </w:p>
        </w:tc>
        <w:tc>
          <w:tcPr>
            <w:tcW w:type="dxa" w:w="6871"/>
            <w:shd w:val="clear" w:color="auto" w:fill="E2EFDA"/>
            <w:vAlign w:val="top"/>
          </w:tcPr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1.  Conduct technology-specific onboarding workshops in the project's first two weeks.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2.  Pair junior developers with a senior mentor for all critical modules.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3.  Maintain an internal wiki with code patterns, pitfalls, and architectural decisions.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4.  Allocate a 15 % ramp-up time buffer in the first sprint per new team member.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Contingency Plan</w:t>
              <w:br/>
              <w:t>&amp; Management</w:t>
            </w:r>
          </w:p>
        </w:tc>
        <w:tc>
          <w:tcPr>
            <w:tcW w:type="dxa" w:w="6871"/>
            <w:shd w:val="clear" w:color="auto" w:fill="FFFFFF"/>
            <w:vAlign w:val="top"/>
          </w:tcPr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1.  Engage specialist contractors for Frappe or K8s tasks if skill gap is confirmed.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2.  Reduce technical scope to areas within proven team competencies for v1.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3.  Obtain targeted training from certified providers (FastAPI, K8s, Frappe).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4.  Reassign modules to better-matched team members based on skill audit.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Trigger</w:t>
            </w:r>
          </w:p>
        </w:tc>
        <w:tc>
          <w:tcPr>
            <w:tcW w:type="dxa" w:w="6871"/>
            <w:shd w:val="clear" w:color="auto" w:fill="E2EFDA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Sprint velocity drops &gt; 30 % below plan two sprints in a row, or code-review defect rate exceeds 40 % for a specific module.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</w:tblPr>
      <w:tblGrid>
        <w:gridCol w:w="9360"/>
      </w:tblGrid>
      <w:tr>
        <w:tc>
          <w:tcPr>
            <w:tcW w:type="dxa" w:w="9360"/>
            <w:shd w:val="clear" w:color="auto" w:fill="1F3B6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20"/>
              </w:rPr>
              <w:t>Risk Information Sheet (RIS)   |   Risk ID: R6   |   Probability: 40 % (Medium)   |   Impact: 2 – Critical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</w:tblPr>
      <w:tblGrid>
        <w:gridCol w:w="2256"/>
        <w:gridCol w:w="2256"/>
        <w:gridCol w:w="2256"/>
        <w:gridCol w:w="2256"/>
      </w:tblGrid>
      <w:tr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Date:  </w:t>
            </w:r>
            <w:r>
              <w:rPr>
                <w:color w:val="000000"/>
                <w:sz w:val="17"/>
              </w:rPr>
              <w:t>24 / 04 / 2026</w:t>
            </w:r>
          </w:p>
        </w:tc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Category:  </w:t>
            </w:r>
            <w:r>
              <w:rPr>
                <w:color w:val="000000"/>
                <w:sz w:val="17"/>
              </w:rPr>
              <w:t>PS – Product Size</w:t>
            </w:r>
          </w:p>
        </w:tc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Assigned To:  </w:t>
            </w:r>
            <w:r>
              <w:rPr>
                <w:color w:val="000000"/>
                <w:sz w:val="17"/>
              </w:rPr>
              <w:t>Shivansh Srivastava  (Product Developer)</w:t>
            </w:r>
          </w:p>
        </w:tc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Originator:  </w:t>
            </w:r>
            <w:r>
              <w:rPr>
                <w:color w:val="000000"/>
                <w:sz w:val="17"/>
              </w:rPr>
              <w:t>Ranveer Rai Khare  (Scrum Master)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2154"/>
        <w:gridCol w:w="6871"/>
      </w:tblGrid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6871"/>
            <w:shd w:val="clear" w:color="auto" w:fill="E2EFDA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The IBMS platform degrades significantly under high concurrent user load, failing to serve real-time KPI WebSocket updates and ERP requests within SLA.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Refinement &amp;</w:t>
              <w:br/>
              <w:t>Context</w:t>
              <w:br/>
              <w:t>(Sub-conditions)</w:t>
            </w:r>
          </w:p>
        </w:tc>
        <w:tc>
          <w:tcPr>
            <w:tcW w:type="dxa" w:w="687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 xml:space="preserve">  Sub-condition 1:  WebSocket broadcast to many concurrent clients is not optimised.</w:t>
              <w:br/>
              <w:t xml:space="preserve">  Sub-condition 2:  Supabase connection pool is exhausted under high concurrency (&gt; 200 users).</w:t>
              <w:br/>
              <w:t xml:space="preserve">  Sub-condition 3:  ML inference endpoints are not horizontally scaled and become bottlenecks.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Mitigation &amp;</w:t>
              <w:br/>
              <w:t>Monitoring</w:t>
              <w:br/>
              <w:t>Strategies</w:t>
            </w:r>
          </w:p>
        </w:tc>
        <w:tc>
          <w:tcPr>
            <w:tcW w:type="dxa" w:w="6871"/>
            <w:shd w:val="clear" w:color="auto" w:fill="E2EFDA"/>
            <w:vAlign w:val="top"/>
          </w:tcPr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1.  Run load tests (Locust / k6) at target concurrency before each major release.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2.  Use Kubernetes HPA to auto-scale pods based on CPU/memory metrics.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3.  Cache KPI data in Redis with a 15-second TTL to reduce database load.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4.  Profile and optimise Supabase queries; add appropriate indexes.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Contingency Plan</w:t>
              <w:br/>
              <w:t>&amp; Management</w:t>
            </w:r>
          </w:p>
        </w:tc>
        <w:tc>
          <w:tcPr>
            <w:tcW w:type="dxa" w:w="6871"/>
            <w:shd w:val="clear" w:color="auto" w:fill="FFFFFF"/>
            <w:vAlign w:val="top"/>
          </w:tcPr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1.  Throttle WebSocket clients and reduce KPI update frequency during peak load.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2.  Scale Kubernetes replicas manually beyond HPA limits if needed.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3.  Degrade gracefully: disable non-essential background jobs under high load.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4.  Negotiate a temporary SLA relaxation while performance improvements are applied.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Trigger</w:t>
            </w:r>
          </w:p>
        </w:tc>
        <w:tc>
          <w:tcPr>
            <w:tcW w:type="dxa" w:w="6871"/>
            <w:shd w:val="clear" w:color="auto" w:fill="E2EFDA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P95 API response time exceeds 2 seconds, or WebSocket disconnections exceed 10 % of active connections in any 5-minute window.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</w:tblPr>
      <w:tblGrid>
        <w:gridCol w:w="9360"/>
      </w:tblGrid>
      <w:tr>
        <w:tc>
          <w:tcPr>
            <w:tcW w:type="dxa" w:w="9360"/>
            <w:shd w:val="clear" w:color="auto" w:fill="1F3B6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20"/>
              </w:rPr>
              <w:t>Risk Information Sheet (RIS)   |   Risk ID: R7   |   Probability: 35 % (Low)   |   Impact: 3 – Marginal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</w:tblPr>
      <w:tblGrid>
        <w:gridCol w:w="2256"/>
        <w:gridCol w:w="2256"/>
        <w:gridCol w:w="2256"/>
        <w:gridCol w:w="2256"/>
      </w:tblGrid>
      <w:tr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Date:  </w:t>
            </w:r>
            <w:r>
              <w:rPr>
                <w:color w:val="000000"/>
                <w:sz w:val="17"/>
              </w:rPr>
              <w:t>24 / 04 / 2026</w:t>
            </w:r>
          </w:p>
        </w:tc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Category:  </w:t>
            </w:r>
            <w:r>
              <w:rPr>
                <w:color w:val="000000"/>
                <w:sz w:val="17"/>
              </w:rPr>
              <w:t>CU – Customer Characteristics</w:t>
            </w:r>
          </w:p>
        </w:tc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Assigned To:  </w:t>
            </w:r>
            <w:r>
              <w:rPr>
                <w:color w:val="000000"/>
                <w:sz w:val="17"/>
              </w:rPr>
              <w:t>Prahallad Padhan  (Product Owner)</w:t>
            </w:r>
          </w:p>
        </w:tc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Originator:  </w:t>
            </w:r>
            <w:r>
              <w:rPr>
                <w:color w:val="000000"/>
                <w:sz w:val="17"/>
              </w:rPr>
              <w:t>Ranveer Rai Khare  (Scrum Master)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2154"/>
        <w:gridCol w:w="6871"/>
      </w:tblGrid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6871"/>
            <w:shd w:val="clear" w:color="auto" w:fill="E2EFDA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Enterprise clients resist adopting IBMS due to unfamiliarity with the new system, fear of data-migration risks, or preference for legacy tools.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Refinement &amp;</w:t>
              <w:br/>
              <w:t>Context</w:t>
              <w:br/>
              <w:t>(Sub-conditions)</w:t>
            </w:r>
          </w:p>
        </w:tc>
        <w:tc>
          <w:tcPr>
            <w:tcW w:type="dxa" w:w="687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 xml:space="preserve">  Sub-condition 1:  End users were not involved in the requirements-gathering phase.</w:t>
              <w:br/>
              <w:t xml:space="preserve">  Sub-condition 2:  No structured change-management or training programme was planned.</w:t>
              <w:br/>
              <w:t xml:space="preserve">  Sub-condition 3:  Data migration from legacy systems is perceived as high risk by the IT department.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Mitigation &amp;</w:t>
              <w:br/>
              <w:t>Monitoring</w:t>
              <w:br/>
              <w:t>Strategies</w:t>
            </w:r>
          </w:p>
        </w:tc>
        <w:tc>
          <w:tcPr>
            <w:tcW w:type="dxa" w:w="6871"/>
            <w:shd w:val="clear" w:color="auto" w:fill="E2EFDA"/>
            <w:vAlign w:val="top"/>
          </w:tcPr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1.  Involve key end-user representatives in sprint demos and UAT sessions.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2.  Develop comprehensive user guides and video tutorials before go-live.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3.  Offer a phased rollout with a parallel-run period to build user confidence.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4.  Assign a dedicated Customer Success point-of-contact for the first 3 months.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Contingency Plan</w:t>
              <w:br/>
              <w:t>&amp; Management</w:t>
            </w:r>
          </w:p>
        </w:tc>
        <w:tc>
          <w:tcPr>
            <w:tcW w:type="dxa" w:w="6871"/>
            <w:shd w:val="clear" w:color="auto" w:fill="FFFFFF"/>
            <w:vAlign w:val="top"/>
          </w:tcPr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1.  Extend the parallel-run period and delay full cutover until adoption metrics are met.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2.  Provide on-site training sessions for power users at no extra charge.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3.  Simplify the UI for less tech-savvy users based on usability testing feedback.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4.  Set up a dedicated support channel (email / Slack) during the adoption phase.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Trigger</w:t>
            </w:r>
          </w:p>
        </w:tc>
        <w:tc>
          <w:tcPr>
            <w:tcW w:type="dxa" w:w="6871"/>
            <w:shd w:val="clear" w:color="auto" w:fill="E2EFDA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User adoption rate is below 60 % after 4 weeks of go-live, or NPS score is below 20 in the first post-launch survey.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</w:tblPr>
      <w:tblGrid>
        <w:gridCol w:w="9360"/>
      </w:tblGrid>
      <w:tr>
        <w:tc>
          <w:tcPr>
            <w:tcW w:type="dxa" w:w="9360"/>
            <w:shd w:val="clear" w:color="auto" w:fill="1F3B6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20"/>
              </w:rPr>
              <w:t>Risk Information Sheet (RIS)   |   Risk ID: R8   |   Probability: 30 % (Low)   |   Impact: 2 – Critical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</w:tblPr>
      <w:tblGrid>
        <w:gridCol w:w="2256"/>
        <w:gridCol w:w="2256"/>
        <w:gridCol w:w="2256"/>
        <w:gridCol w:w="2256"/>
      </w:tblGrid>
      <w:tr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Date:  </w:t>
            </w:r>
            <w:r>
              <w:rPr>
                <w:color w:val="000000"/>
                <w:sz w:val="17"/>
              </w:rPr>
              <w:t>24 / 04 / 2026</w:t>
            </w:r>
          </w:p>
        </w:tc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Category:  </w:t>
            </w:r>
            <w:r>
              <w:rPr>
                <w:color w:val="000000"/>
                <w:sz w:val="17"/>
              </w:rPr>
              <w:t>BU – Business Impact</w:t>
            </w:r>
          </w:p>
        </w:tc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Assigned To:  </w:t>
            </w:r>
            <w:r>
              <w:rPr>
                <w:color w:val="000000"/>
                <w:sz w:val="17"/>
              </w:rPr>
              <w:t>Prahallad Padhan  (Product Owner)</w:t>
            </w:r>
          </w:p>
        </w:tc>
        <w:tc>
          <w:tcPr>
            <w:tcW w:type="dxa" w:w="2340"/>
            <w:shd w:val="clear" w:color="auto" w:fill="BDD7EE"/>
          </w:tcPr>
          <w:p>
            <w:pPr>
              <w:spacing w:before="40" w:after="40"/>
            </w:pPr>
            <w:r>
              <w:rPr>
                <w:b/>
                <w:color w:val="1F3B6B"/>
                <w:sz w:val="17"/>
              </w:rPr>
              <w:t xml:space="preserve">Originator:  </w:t>
            </w:r>
            <w:r>
              <w:rPr>
                <w:color w:val="000000"/>
                <w:sz w:val="17"/>
              </w:rPr>
              <w:t>Ranveer Rai Khare  (Scrum Master)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type="pct" w:w="5000"/>
      </w:tblPr>
      <w:tblGrid>
        <w:gridCol w:w="2154"/>
        <w:gridCol w:w="6871"/>
      </w:tblGrid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6871"/>
            <w:shd w:val="clear" w:color="auto" w:fill="E2EFDA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The project budget is exceeded due to underestimation of cloud infrastructure costs (GCP / AWS), AI API usage fees (Groq), and third-party service subscriptions.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Refinement &amp;</w:t>
              <w:br/>
              <w:t>Context</w:t>
              <w:br/>
              <w:t>(Sub-conditions)</w:t>
            </w:r>
          </w:p>
        </w:tc>
        <w:tc>
          <w:tcPr>
            <w:tcW w:type="dxa" w:w="687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 xml:space="preserve">  Sub-condition 1:  Cloud resource costs were estimated at flat rates without usage-spike modelling.</w:t>
              <w:br/>
              <w:t xml:space="preserve">  Sub-condition 2:  Groq AI API charges are based on token volume, which was underestimated.</w:t>
              <w:br/>
              <w:t xml:space="preserve">  Sub-condition 3:  Supabase costs scale with database size and API requests beyond the free tier.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Mitigation &amp;</w:t>
              <w:br/>
              <w:t>Monitoring</w:t>
              <w:br/>
              <w:t>Strategies</w:t>
            </w:r>
          </w:p>
        </w:tc>
        <w:tc>
          <w:tcPr>
            <w:tcW w:type="dxa" w:w="6871"/>
            <w:shd w:val="clear" w:color="auto" w:fill="E2EFDA"/>
            <w:vAlign w:val="top"/>
          </w:tcPr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1.  Build a detailed cloud cost model using GCP/AWS calculators before each sprint.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2.  Set billing alerts at 70 % and 90 % thresholds on all cloud accounts.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3.  Review infrastructure costs in bi-weekly budget review meetings.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4.  Maintain a 15 % contingency reserve in the project budget.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Contingency Plan</w:t>
              <w:br/>
              <w:t>&amp; Management</w:t>
            </w:r>
          </w:p>
        </w:tc>
        <w:tc>
          <w:tcPr>
            <w:tcW w:type="dxa" w:w="6871"/>
            <w:shd w:val="clear" w:color="auto" w:fill="FFFFFF"/>
            <w:vAlign w:val="top"/>
          </w:tcPr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1.  Right-size cloud resources (reduce instance types, shut unused regions) immediately.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2.  Replace Groq AI with a self-hosted open-source model (Ollama / Llama) if costs spike.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3.  Pause non-essential staging environments during cost-overrun periods.</w:t>
            </w:r>
          </w:p>
          <w:p>
            <w:pPr>
              <w:spacing w:before="20" w:after="20"/>
            </w:pPr>
            <w:r>
              <w:rPr>
                <w:color w:val="000000"/>
                <w:sz w:val="19"/>
              </w:rPr>
              <w:t xml:space="preserve">  4.  Initiate a formal budget re-baseline request with the project sponsor.</w:t>
            </w:r>
          </w:p>
        </w:tc>
      </w:tr>
      <w:tr>
        <w:trPr>
          <w:cantSplit w:val="1"/>
        </w:trPr>
        <w:tc>
          <w:tcPr>
            <w:tcW w:type="dxa" w:w="2154"/>
            <w:shd w:val="clear" w:color="auto" w:fill="2E75B6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FFFFFF"/>
                <w:sz w:val="19"/>
              </w:rPr>
              <w:t>Trigger</w:t>
            </w:r>
          </w:p>
        </w:tc>
        <w:tc>
          <w:tcPr>
            <w:tcW w:type="dxa" w:w="6871"/>
            <w:shd w:val="clear" w:color="auto" w:fill="E2EFDA"/>
            <w:vAlign w:val="center"/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Monthly cloud spend exceeds the monthly budget by &gt; 15 %, or cumulative project spend reaches 85 % of the total approved budget before 75 % of milestones are complete.</w:t>
            </w:r>
          </w:p>
        </w:tc>
      </w:tr>
    </w:tbl>
    <w:p>
      <w:pPr>
        <w:spacing w:before="0" w:after="0"/>
      </w:pPr>
    </w:p>
    <w:p>
      <w:pPr>
        <w:spacing w:before="200" w:after="60"/>
        <w:jc w:val="left"/>
      </w:pPr>
      <w:r>
        <w:rPr>
          <w:b/>
          <w:color w:val="1F3B6B"/>
          <w:sz w:val="26"/>
        </w:rPr>
        <w:t>5.  Summary &amp; Review Notes</w:t>
      </w:r>
    </w:p>
    <w:p>
      <w:pPr>
        <w:spacing w:before="40" w:after="40"/>
        <w:jc w:val="both"/>
      </w:pPr>
      <w:r>
        <w:rPr>
          <w:i w:val="0"/>
          <w:color w:val="000000"/>
          <w:sz w:val="20"/>
        </w:rPr>
        <w:t>Each identified risk has an individual Risk Information Sheet (RIS) as documented above.  This RMMM Plan must be reviewed at the start of every sprint and updated whenever a risk's probability or impact changes.  New risks discovered during the project lifecycle must be added immediately with a new Risk ID and a corresponding RIS.</w:t>
      </w:r>
    </w:p>
    <w:p>
      <w:pPr>
        <w:spacing w:before="40" w:after="40"/>
        <w:jc w:val="both"/>
      </w:pPr>
      <w:r>
        <w:rPr>
          <w:i/>
          <w:color w:val="000000"/>
          <w:sz w:val="20"/>
        </w:rPr>
        <w:t>Probability values are consensus estimates agreed by the team using the Wideband Delphi technique.  Impact levels follow the four-tier severity scale (Catastrophic → Negligible) as defined in Pressman's Software Engineering textbook.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