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b/>
          <w:i w:val="0"/>
          <w:color w:val="1F3B6B"/>
          <w:sz w:val="60"/>
        </w:rPr>
        <w:t>RMMM Plan</w:t>
      </w:r>
    </w:p>
    <w:p>
      <w:pPr>
        <w:spacing w:before="0" w:after="360"/>
        <w:jc w:val="center"/>
      </w:pPr>
      <w:r>
        <w:rPr>
          <w:b w:val="0"/>
          <w:i/>
          <w:color w:val="2E75B6"/>
          <w:sz w:val="30"/>
        </w:rPr>
        <w:t>Risk Mitigation, Monitoring, and Management Plan</w:t>
      </w:r>
    </w:p>
    <w:p>
      <w:pPr>
        <w:spacing w:before="0" w:after="200"/>
        <w:jc w:val="center"/>
      </w:pPr>
      <w:r>
        <w:rPr>
          <w:b/>
          <w:i w:val="0"/>
          <w:color w:val="000000"/>
          <w:sz w:val="24"/>
        </w:rPr>
        <w:t>Project: Integrated Business Management Suite (IBMS)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4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551"/>
        <w:gridCol w:w="6474"/>
      </w:tblGrid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April 24, 2026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Course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SEPM (Software Engineering and Project Management)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Team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Shivansh Srivastava   –   Product Developer</w:t>
              <w:br/>
              <w:t>Prahallad Padhan       –   Product Owner</w:t>
              <w:br/>
              <w:t>Ranveer Rai Khare      –   Scrum Master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Integrated Business Management Suite (IBMS)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Version 1.0  |  April 2026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1.  Introduction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This document presents the Risk Mitigation, Monitoring, and Management (RMMM) Plan for the Integrated Business Management Suite (IBMS) — an AI-first Enterprise Resource Planning platform built on FastAPI, Frappe, Supabase, and machine-learning services.  The plan identifies key risks, assigns probability and impact values, and specifies concrete mitigation strategies for each risk.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The plan follows the three-step process (Pressman, 2015):</w:t>
      </w:r>
    </w:p>
    <w:p>
      <w:pPr>
        <w:pStyle w:val="ListBullet"/>
        <w:spacing w:before="20" w:after="20"/>
      </w:pPr>
      <w:r>
        <w:rPr>
          <w:sz w:val="19"/>
        </w:rPr>
        <w:t>Step 1 – Form a Risk Table listing all identified risks.</w:t>
      </w:r>
    </w:p>
    <w:p>
      <w:pPr>
        <w:pStyle w:val="ListBullet"/>
        <w:spacing w:before="20" w:after="20"/>
      </w:pPr>
      <w:r>
        <w:rPr>
          <w:sz w:val="19"/>
        </w:rPr>
        <w:t>Step 2 – Sort risks in descending order of probability.</w:t>
      </w:r>
    </w:p>
    <w:p>
      <w:pPr>
        <w:pStyle w:val="ListBullet"/>
        <w:spacing w:before="20" w:after="20"/>
      </w:pPr>
      <w:r>
        <w:rPr>
          <w:sz w:val="19"/>
        </w:rPr>
        <w:t>Step 3 – Produce a Risk Information Sheet (RIS) for each individual risk.</w:t>
      </w:r>
    </w:p>
    <w:p>
      <w:pPr>
        <w:spacing w:before="120" w:after="40"/>
        <w:jc w:val="left"/>
      </w:pPr>
      <w:r>
        <w:rPr>
          <w:b/>
          <w:color w:val="2E75B6"/>
          <w:sz w:val="21"/>
        </w:rPr>
        <w:t>Risk Category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020"/>
        <w:gridCol w:w="2438"/>
        <w:gridCol w:w="5567"/>
      </w:tblGrid>
      <w:tr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Short Form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Category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Product Size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overall size, scale, and complexity of the software.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Business Impact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business constraints: market conditions, competition, management.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Customer Characteristics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customer behaviour, expectations, and communication.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PD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Process Definition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unclear, undefined, or poorly followed development processes.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Development Environment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availability, reliability, and quality of dev tools.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Technology to be Built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complexity, novelty, or uncertainty of the technology used.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Staff Size &amp; Experience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skills, experience, and availability of the team.</w:t>
            </w:r>
          </w:p>
        </w:tc>
      </w:tr>
    </w:tbl>
    <w:p>
      <w:pPr>
        <w:spacing w:before="120" w:after="40"/>
        <w:jc w:val="left"/>
      </w:pPr>
      <w:r>
        <w:rPr>
          <w:b/>
          <w:color w:val="2E75B6"/>
          <w:sz w:val="21"/>
        </w:rPr>
        <w:t>Probability Scale  &amp;  Impact Severity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4252"/>
        <w:gridCol w:w="4774"/>
      </w:tblGrid>
      <w:tr>
        <w:tc>
          <w:tcPr>
            <w:tcW w:type="dxa" w:w="4680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84"/>
              <w:gridCol w:w="2268"/>
            </w:tblGrid>
            <w:tr>
              <w:tc>
                <w:tcPr>
                  <w:tcW w:type="dxa" w:w="234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Range</w:t>
                  </w:r>
                </w:p>
              </w:tc>
              <w:tc>
                <w:tcPr>
                  <w:tcW w:type="dxa" w:w="234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Interpretation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80% – 100%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Very High</w:t>
                  </w:r>
                </w:p>
              </w:tc>
            </w:tr>
            <w:tr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60% – 79%</w:t>
                  </w:r>
                </w:p>
              </w:tc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High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40% – 59%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Medium</w:t>
                  </w:r>
                </w:p>
              </w:tc>
            </w:tr>
            <w:tr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20% – 39%</w:t>
                  </w:r>
                </w:p>
              </w:tc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Low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&lt; 20%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Very Low</w:t>
                  </w:r>
                </w:p>
              </w:tc>
            </w:tr>
          </w:tbl>
          <w:p/>
        </w:tc>
        <w:tc>
          <w:tcPr>
            <w:tcW w:type="dxa" w:w="4680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67"/>
              <w:gridCol w:w="1701"/>
              <w:gridCol w:w="2506"/>
            </w:tblGrid>
            <w:tr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Lvl</w:t>
                  </w:r>
                </w:p>
              </w:tc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Label</w:t>
                  </w:r>
                </w:p>
              </w:tc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Description</w:t>
                  </w:r>
                </w:p>
              </w:tc>
            </w:tr>
            <w:tr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Catastrophic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Mission failure; financial loss &gt; $500K</w:t>
                  </w:r>
                </w:p>
              </w:tc>
            </w:tr>
            <w:tr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Critical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Significant degradation; $100K – $500K</w:t>
                  </w:r>
                </w:p>
              </w:tc>
            </w:tr>
            <w:tr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Marginal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Minor degradation; $1K – $100K</w:t>
                  </w:r>
                </w:p>
              </w:tc>
            </w:tr>
            <w:tr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Negligible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Minor inconvenience; &lt; $1K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2.  Step 1 – Risk Table (Initial Identification)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All identified risks are listed below with a unique ID, description, category, estimated probability, impact level, and a brief RMMM 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624"/>
        <w:gridCol w:w="3005"/>
        <w:gridCol w:w="907"/>
        <w:gridCol w:w="1077"/>
        <w:gridCol w:w="1077"/>
        <w:gridCol w:w="2336"/>
      </w:tblGrid>
      <w:tr>
        <w:trPr>
          <w:cantSplit w:val="1"/>
        </w:trPr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</w:t>
              <w:br/>
              <w:t>ID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Description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Cat.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Probability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RMMM Summary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Rapid scope expansion due to evolving enterprise requirements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70%</w:t>
              <w:br/>
              <w:t>(High)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Define and freeze scope clearly; get stakeholder sign-off; use change-contr…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AI/ML service integration complexity causes schedule delays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65%</w:t>
              <w:br/>
              <w:t>(High)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Spike AI/ML modules early; use containerised ML pipelines; allocate 20 % sc…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 security breach or unauthorised access to sensitive business data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55%</w:t>
              <w:br/>
              <w:t>(Medium)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 – Catastrophic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Enforce JWT + TOTP 2FA; implement RBAC with least-privilege; run quarterly…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Third-party service outage (Supabase, Redis, Groq AI) disrupts operations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50%</w:t>
              <w:br/>
              <w:t>(Medium)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Implement in-memory fallback for all ERP ops; use Redis caching; configure…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Team skill gaps with advanced tech stack (FastAPI, Frappe, K8s, ML)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45%</w:t>
              <w:br/>
              <w:t>(Medium)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Conduct training sessions on key technologies; pair experienced devs with j…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Performance degradation under high concurrent user load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40%</w:t>
              <w:br/>
              <w:t>(Medium)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Load test with target concurrency before each release; use K8s HPA (3-repli…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Customer resistance to adopting the new integrated ERP platform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35%</w:t>
              <w:br/>
              <w:t>(Low)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Involve key stakeholders in design reviews; provide onboarding tutorials; o…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Budget overrun due to underestimated infrastructure and AI API costs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30%</w:t>
              <w:br/>
              <w:t>(Low)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Perform detailed cloud-cost modelling before sprint starts; set budget aler…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3.  Step 2 – Risk Table Sorted by Probability (Descending)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Risks re-ordered in descending probability so that the highest-likelihood risks receive the most immediate management attention.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624"/>
        <w:gridCol w:w="3572"/>
        <w:gridCol w:w="907"/>
        <w:gridCol w:w="1247"/>
        <w:gridCol w:w="2676"/>
      </w:tblGrid>
      <w:tr>
        <w:trPr>
          <w:cantSplit w:val="1"/>
        </w:trPr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</w:t>
              <w:br/>
              <w:t>ID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Description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Cat.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Probability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Impact Level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Rapid scope expansion due to evolving enterprise requirements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70%</w:t>
              <w:br/>
              <w:t>(High)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AI/ML service integration complexity causes schedule delays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65%</w:t>
              <w:br/>
              <w:t>(High)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 security breach or unauthorised access to sensitive business data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55%</w:t>
              <w:br/>
              <w:t>(Medium)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 – Catastrophic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Third-party service outage (Supabase, Redis, Groq AI) disrupts operations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50%</w:t>
              <w:br/>
              <w:t>(Medium)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Team skill gaps with advanced tech stack (FastAPI, Frappe, K8s, ML)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45%</w:t>
              <w:br/>
              <w:t>(Medium)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Performance degradation under high concurrent user load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40%</w:t>
              <w:br/>
              <w:t>(Medium)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Customer resistance to adopting the new integrated ERP platform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35%</w:t>
              <w:br/>
              <w:t>(Low)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Budget overrun due to underestimated infrastructure and AI API costs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30%</w:t>
              <w:br/>
              <w:t>(Low)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4.  Step 3 – Risk Information Sheets (RIS)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A Risk Information Sheet is produced for each of the eight identified risks.  Each sheet details sub-conditions, mitigation strategies, contingency plans, trigger criteria, and ownership assignments.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R1   |   Probability: 70 % (High)   |   Impact: 3 – Marginal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BU – Business Impact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Stakeholders continuously request additional features beyond the agreed scope, resulting in schedule slippage and cost overrun.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Requirements were collected informally without formal sign-off.</w:t>
              <w:br/>
              <w:t xml:space="preserve">  Sub-condition 2:  Multiple stakeholder groups have conflicting priorities.</w:t>
              <w:br/>
              <w:t xml:space="preserve">  Sub-condition 3:  Market changes prompt leadership to request mid-sprint additions.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Establish a formal Change Control Board (CCB) with documented approval workflows.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Baseline scope in a signed Software Requirements Specification (SRS).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Use backlog grooming to assess impact of every change before acceptance.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Set a sprint change-freeze policy: no new requirements after sprint planning.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Renegotiate project timeline and budget for every approved change.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Defer non-critical features to a future release roadmap.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Escalate to project sponsor if scope growth exceeds 15 % of baseline.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Initiate a formal re-baselining with an updated WBS.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Approved change requests exceed 10 % of baseline story points in any sprint.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R2   |   Probability: 65 % (High)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TE – Technology to be Built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Integration of AI/ML services (anomaly detection, fraud scoring, dynamic pricing, predictive inventory, lead scoring) is more complex than estimated, causing schedule delays and performance issues.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AI/ML libraries require dependency resolution across Python versions.</w:t>
              <w:br/>
              <w:t xml:space="preserve">  Sub-condition 2:  Model training data quality is lower than expected.</w:t>
              <w:br/>
              <w:t xml:space="preserve">  Sub-condition 3:  Real-time inference latency does not meet the ≤ 200 ms SLA.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Allocate a dedicated 2-week AI/ML spike at the start of each milestone.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Containerise all ML services independently to isolate failures.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Implement rule-based fallback logic for each ML service if a model is unavailable.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Track model accuracy and latency metrics via the monitoring dashboard.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Substitute unavailable ML features with enhanced rule-based approximations.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Extend sprint timeline by up to 20 % buffer for AI integration blockers.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Reduce AI feature scope to core functions only for the initial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Engage an external ML consultant if internal team cannot resolve blockers.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AI/ML integration tasks remain blocked for more than 3 consecutive days.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R3   |   Probability: 55 % (Medium)   |   Impact: 1 – Catastrophic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PS – Product Size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Unauthorised access to sensitive business data (financial records, employee data, customer PII) due to exploited security vulnerabilities in the IBMS platform.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JWT secret rotation not enforced; long-lived tokens become exploitable.</w:t>
              <w:br/>
              <w:t xml:space="preserve">  Sub-condition 2:  Supabase Row-Level Security (RLS) policies misconfigured for certain roles.</w:t>
              <w:br/>
              <w:t xml:space="preserve">  Sub-condition 3:  Third-party dependency with a known CVE included in the Docker image.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Enforce JWT + TOTP 2FA for all admin and manager roles.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Run automated penetration tests quarterly; patch Critical/High CVEs within 7 days.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Verify and test Supabase RLS policies for every table before each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Conduct monthly dependency vulnerability scans (pip-audit / OWASP Dependency-Check).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Immediately revoke all active sessions and force re-authentication on breach.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Notify affected stakeholders and regulators within 72 hours per breach regulation.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Engage a certified incident-response team to contain and remediate the breach.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Perform a full post-incident security review and implement corrective controls.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Audit logs show access patterns inconsistent with normal user behaviour, or a CVE with CVSS ≥ 8.0 is disclosed for a used dependency.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R4   |   Probability: 50 %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DE – Development Environment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Outage or degradation of critical third-party services — Supabase, Redis, Groq AI API — disrupts core IBMS operations.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Single-region Supabase deployment is a single point of failure.</w:t>
              <w:br/>
              <w:t xml:space="preserve">  Sub-condition 2:  Redis is not replicated; cache loss causes database overload.</w:t>
              <w:br/>
              <w:t xml:space="preserve">  Sub-condition 3:  Groq AI API rate limits are exceeded during peak usage.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Implement in-memory fallback stores for all ERP ops when Supabase is unreachable.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Deploy Redis with a replica and configure automatic failover.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Cache Groq AI responses in Redis with appropriate TTL to reduce API call volume.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Monitor /api/health endpoint; alert the team on any dependency degradation.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Activate manual override procedures for critical business operations.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Switch to backup Supabase project or PostgreSQL if primary is down &gt; 1 hour.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Disable AI-powered features temporarily; serve cached or default responses.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Communicate service status and ETA to users via an in-app notification banner.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Health-check endpoint reports a dependency as unhealthy for &gt; 5 minutes, or error rate exceeds 5 % over a 10-minute window.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R5   |   Probability: 45 %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ST – Staff Size &amp; Experience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Team members lack sufficient experience with FastAPI async patterns, the Frappe framework, Kubernetes, or ML model deployment, leading to low-quality code and rework.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New members unfamiliar with Frappe's hook system and DocType conventions.</w:t>
              <w:br/>
              <w:t xml:space="preserve">  Sub-condition 2:  Insufficient K8s experience leads to misconfigured deployment manifests.</w:t>
              <w:br/>
              <w:t xml:space="preserve">  Sub-condition 3:  Lack of async Python expertise causes blocking I/O anti-patterns in FastAPI.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Conduct technology-specific onboarding workshops in the project's first two weeks.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Pair junior developers with a senior mentor for all critical modules.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Maintain an internal wiki with code patterns, pitfalls, and architectural decisions.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Allocate a 15 % ramp-up time buffer in the first sprint per new team member.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Engage specialist contractors for Frappe or K8s tasks if skill gap is confirmed.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Reduce technical scope to areas within proven team competencies for v1.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Obtain targeted training from certified providers (FastAPI, K8s, Frappe).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Reassign modules to better-matched team members based on skill audit.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Sprint velocity drops &gt; 30 % below plan two sprints in a row, or code-review defect rate exceeds 40 % for a specific module.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R6   |   Probability: 40 %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PS – Product Size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IBMS platform degrades significantly under high concurrent user load, failing to serve real-time KPI WebSocket updates and ERP requests within SLA.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WebSocket broadcast to many concurrent clients is not optimised.</w:t>
              <w:br/>
              <w:t xml:space="preserve">  Sub-condition 2:  Supabase connection pool is exhausted under high concurrency (&gt; 200 users).</w:t>
              <w:br/>
              <w:t xml:space="preserve">  Sub-condition 3:  ML inference endpoints are not horizontally scaled and become bottlenecks.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Run load tests (Locust / k6) at target concurrency before each major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Use Kubernetes HPA to auto-scale pods based on CPU/memory metrics.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Cache KPI data in Redis with a 15-second TTL to reduce database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Profile and optimise Supabase queries; add appropriate indexes.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Throttle WebSocket clients and reduce KPI update frequency during peak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Scale Kubernetes replicas manually beyond HPA limits if needed.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Degrade gracefully: disable non-essential background jobs under high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Negotiate a temporary SLA relaxation while performance improvements are applied.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P95 API response time exceeds 2 seconds, or WebSocket disconnections exceed 10 % of active connections in any 5-minute window.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R7   |   Probability: 35 % (Low)   |   Impact: 3 – Marginal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CU – Customer Characteristics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Enterprise clients resist adopting IBMS due to unfamiliarity with the new system, fear of data-migration risks, or preference for legacy tools.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End users were not involved in the requirements-gathering phase.</w:t>
              <w:br/>
              <w:t xml:space="preserve">  Sub-condition 2:  No structured change-management or training programme was planned.</w:t>
              <w:br/>
              <w:t xml:space="preserve">  Sub-condition 3:  Data migration from legacy systems is perceived as high risk by the IT department.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Involve key end-user representatives in sprint demos and UAT sessions.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Develop comprehensive user guides and video tutorials before go-live.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Offer a phased rollout with a parallel-run period to build user confidence.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Assign a dedicated Customer Success point-of-contact for the first 3 months.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Extend the parallel-run period and delay full cutover until adoption metrics are met.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Provide on-site training sessions for power users at no extra charge.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Simplify the UI for less tech-savvy users based on usability testing feedback.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Set up a dedicated support channel (email / Slack) during the adoption phase.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User adoption rate is below 60 % after 4 weeks of go-live, or NPS score is below 20 in the first post-launch survey.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R8   |   Probability: 30 % (Low)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BU – Business Impact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project budget is exceeded due to underestimation of cloud infrastructure costs (GCP / AWS), AI API usage fees (Groq), and third-party service subscriptions.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Cloud resource costs were estimated at flat rates without usage-spike modelling.</w:t>
              <w:br/>
              <w:t xml:space="preserve">  Sub-condition 2:  Groq AI API charges are based on token volume, which was underestimated.</w:t>
              <w:br/>
              <w:t xml:space="preserve">  Sub-condition 3:  Supabase costs scale with database size and API requests beyond the free tier.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Build a detailed cloud cost model using GCP/AWS calculators before each sprint.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Set billing alerts at 70 % and 90 % thresholds on all cloud accounts.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Review infrastructure costs in bi-weekly budget review meetings.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Maintain a 15 % contingency reserve in the project budget.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Right-size cloud resources (reduce instance types, shut unused regions) immediately.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Replace Groq AI with a self-hosted open-source model (Ollama / Llama) if costs spike.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Pause non-essential staging environments during cost-overrun periods.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Initiate a formal budget re-baseline request with the project sponsor.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Monthly cloud spend exceeds the monthly budget by &gt; 15 %, or cumulative project spend reaches 85 % of the total approved budget before 75 % of milestones are complete.</w:t>
            </w:r>
          </w:p>
        </w:tc>
      </w:tr>
    </w:tbl>
    <w:p>
      <w:pPr>
        <w:spacing w:before="0" w:after="0"/>
      </w:pPr>
    </w:p>
    <w:p>
      <w:pPr>
        <w:spacing w:before="200" w:after="60"/>
        <w:jc w:val="left"/>
      </w:pPr>
      <w:r>
        <w:rPr>
          <w:b/>
          <w:color w:val="1F3B6B"/>
          <w:sz w:val="26"/>
        </w:rPr>
        <w:t>5.  Summary &amp; Review Notes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Each identified risk has an individual Risk Information Sheet (RIS) as documented above.  This RMMM Plan must be reviewed at the start of every sprint and updated whenever a risk's probability or impact changes.  New risks discovered during the project lifecycle must be added immediately with a new Risk ID and a corresponding RIS.</w:t>
      </w:r>
    </w:p>
    <w:p>
      <w:pPr>
        <w:spacing w:before="40" w:after="40"/>
        <w:jc w:val="both"/>
      </w:pPr>
      <w:r>
        <w:rPr>
          <w:i/>
          <w:color w:val="000000"/>
          <w:sz w:val="20"/>
        </w:rPr>
        <w:t>Probability values are consensus estimates agreed by the team using the Wideband Delphi technique.  Impact levels follow the four-tier severity scale (Catastrophic → Negligible) as defined in Pressman's Software Engineering textbook.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